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41762" w14:textId="77777777" w:rsidR="00382ADA" w:rsidRDefault="00AB5637">
      <w:r>
        <w:rPr>
          <w:rFonts w:ascii="Verdana" w:hAnsi="Verdana"/>
          <w:noProof/>
          <w:lang w:eastAsia="en-ZA"/>
        </w:rPr>
        <w:drawing>
          <wp:inline distT="0" distB="0" distL="0" distR="0" wp14:anchorId="540417E4" wp14:editId="540417E5">
            <wp:extent cx="3562350" cy="752475"/>
            <wp:effectExtent l="0" t="0" r="0" b="9525"/>
            <wp:docPr id="1" name="Picture 1"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62350" cy="752475"/>
                    </a:xfrm>
                    <a:prstGeom prst="rect">
                      <a:avLst/>
                    </a:prstGeom>
                    <a:noFill/>
                    <a:ln>
                      <a:noFill/>
                    </a:ln>
                  </pic:spPr>
                </pic:pic>
              </a:graphicData>
            </a:graphic>
          </wp:inline>
        </w:drawing>
      </w:r>
    </w:p>
    <w:p w14:paraId="54041764" w14:textId="4205BB1A" w:rsidR="00AB5637" w:rsidRPr="00A06583" w:rsidRDefault="008C19C4" w:rsidP="001976A7">
      <w:pPr>
        <w:pStyle w:val="Heading1"/>
        <w:spacing w:before="0" w:after="0" w:line="320" w:lineRule="atLeast"/>
        <w:rPr>
          <w:rFonts w:ascii="Verdana" w:hAnsi="Verdana"/>
          <w:sz w:val="24"/>
          <w:szCs w:val="24"/>
        </w:rPr>
      </w:pPr>
      <w:r>
        <w:rPr>
          <w:rFonts w:ascii="Verdana" w:hAnsi="Verdana"/>
          <w:sz w:val="24"/>
          <w:szCs w:val="24"/>
        </w:rPr>
        <w:t xml:space="preserve">State of the </w:t>
      </w:r>
      <w:r w:rsidR="00FC15C7">
        <w:rPr>
          <w:rFonts w:ascii="Verdana" w:hAnsi="Verdana"/>
          <w:sz w:val="24"/>
          <w:szCs w:val="24"/>
        </w:rPr>
        <w:t>S</w:t>
      </w:r>
      <w:r w:rsidR="00834896">
        <w:rPr>
          <w:rFonts w:ascii="Verdana" w:hAnsi="Verdana"/>
          <w:sz w:val="24"/>
          <w:szCs w:val="24"/>
        </w:rPr>
        <w:t xml:space="preserve">outh </w:t>
      </w:r>
      <w:r w:rsidR="00FC15C7">
        <w:rPr>
          <w:rFonts w:ascii="Verdana" w:hAnsi="Verdana"/>
          <w:sz w:val="24"/>
          <w:szCs w:val="24"/>
        </w:rPr>
        <w:t>A</w:t>
      </w:r>
      <w:r w:rsidR="00834896">
        <w:rPr>
          <w:rFonts w:ascii="Verdana" w:hAnsi="Verdana"/>
          <w:sz w:val="24"/>
          <w:szCs w:val="24"/>
        </w:rPr>
        <w:t>frican</w:t>
      </w:r>
      <w:r w:rsidR="00FC15C7">
        <w:rPr>
          <w:rFonts w:ascii="Verdana" w:hAnsi="Verdana"/>
          <w:sz w:val="24"/>
          <w:szCs w:val="24"/>
        </w:rPr>
        <w:t xml:space="preserve"> </w:t>
      </w:r>
      <w:r w:rsidR="00D3426D">
        <w:rPr>
          <w:rFonts w:ascii="Verdana" w:hAnsi="Verdana"/>
          <w:sz w:val="24"/>
          <w:szCs w:val="24"/>
        </w:rPr>
        <w:t>E</w:t>
      </w:r>
      <w:r w:rsidR="00834896">
        <w:rPr>
          <w:rFonts w:ascii="Verdana" w:hAnsi="Verdana"/>
          <w:sz w:val="24"/>
          <w:szCs w:val="24"/>
        </w:rPr>
        <w:t xml:space="preserve">xchange </w:t>
      </w:r>
      <w:r w:rsidR="00D3426D">
        <w:rPr>
          <w:rFonts w:ascii="Verdana" w:hAnsi="Verdana"/>
          <w:sz w:val="24"/>
          <w:szCs w:val="24"/>
        </w:rPr>
        <w:t>T</w:t>
      </w:r>
      <w:r w:rsidR="00834896">
        <w:rPr>
          <w:rFonts w:ascii="Verdana" w:hAnsi="Verdana"/>
          <w:sz w:val="24"/>
          <w:szCs w:val="24"/>
        </w:rPr>
        <w:t xml:space="preserve">raded </w:t>
      </w:r>
      <w:r w:rsidR="00D3426D">
        <w:rPr>
          <w:rFonts w:ascii="Verdana" w:hAnsi="Verdana"/>
          <w:sz w:val="24"/>
          <w:szCs w:val="24"/>
        </w:rPr>
        <w:t>P</w:t>
      </w:r>
      <w:r w:rsidR="00834896">
        <w:rPr>
          <w:rFonts w:ascii="Verdana" w:hAnsi="Verdana"/>
          <w:sz w:val="24"/>
          <w:szCs w:val="24"/>
        </w:rPr>
        <w:t>roduct (ETP)</w:t>
      </w:r>
      <w:r>
        <w:rPr>
          <w:rFonts w:ascii="Verdana" w:hAnsi="Verdana"/>
          <w:sz w:val="24"/>
          <w:szCs w:val="24"/>
        </w:rPr>
        <w:t xml:space="preserve"> Industry </w:t>
      </w:r>
      <w:r w:rsidR="00FC15C7">
        <w:rPr>
          <w:rFonts w:ascii="Verdana" w:hAnsi="Verdana"/>
          <w:sz w:val="24"/>
          <w:szCs w:val="24"/>
        </w:rPr>
        <w:t xml:space="preserve">– </w:t>
      </w:r>
      <w:r w:rsidR="00DB291B">
        <w:rPr>
          <w:rFonts w:ascii="Verdana" w:hAnsi="Verdana"/>
          <w:sz w:val="24"/>
          <w:szCs w:val="24"/>
        </w:rPr>
        <w:t>a</w:t>
      </w:r>
      <w:r w:rsidR="00441724">
        <w:rPr>
          <w:rFonts w:ascii="Verdana" w:hAnsi="Verdana"/>
          <w:sz w:val="24"/>
          <w:szCs w:val="24"/>
        </w:rPr>
        <w:t xml:space="preserve">s </w:t>
      </w:r>
      <w:r w:rsidR="00B6448D">
        <w:rPr>
          <w:rFonts w:ascii="Verdana" w:hAnsi="Verdana"/>
          <w:sz w:val="24"/>
          <w:szCs w:val="24"/>
        </w:rPr>
        <w:t>a</w:t>
      </w:r>
      <w:r w:rsidR="00441724">
        <w:rPr>
          <w:rFonts w:ascii="Verdana" w:hAnsi="Verdana"/>
          <w:sz w:val="24"/>
          <w:szCs w:val="24"/>
        </w:rPr>
        <w:t xml:space="preserve">t </w:t>
      </w:r>
      <w:r w:rsidR="003C6031">
        <w:rPr>
          <w:rFonts w:ascii="Verdana" w:hAnsi="Verdana"/>
          <w:sz w:val="24"/>
          <w:szCs w:val="24"/>
        </w:rPr>
        <w:t xml:space="preserve">30 </w:t>
      </w:r>
      <w:r w:rsidR="004C1102">
        <w:rPr>
          <w:rFonts w:ascii="Verdana" w:hAnsi="Verdana"/>
          <w:sz w:val="24"/>
          <w:szCs w:val="24"/>
        </w:rPr>
        <w:t>September</w:t>
      </w:r>
      <w:r w:rsidR="00870751">
        <w:rPr>
          <w:rFonts w:ascii="Verdana" w:hAnsi="Verdana"/>
          <w:sz w:val="24"/>
          <w:szCs w:val="24"/>
        </w:rPr>
        <w:t xml:space="preserve"> 201</w:t>
      </w:r>
      <w:r w:rsidR="007017CF">
        <w:rPr>
          <w:rFonts w:ascii="Verdana" w:hAnsi="Verdana"/>
          <w:sz w:val="24"/>
          <w:szCs w:val="24"/>
        </w:rPr>
        <w:t>9</w:t>
      </w:r>
    </w:p>
    <w:p w14:paraId="54041766" w14:textId="77777777" w:rsidR="00AB5637" w:rsidRPr="00F7786F" w:rsidRDefault="00AB5637" w:rsidP="001976A7">
      <w:pPr>
        <w:pStyle w:val="Heading1"/>
        <w:spacing w:before="0" w:after="0" w:line="320" w:lineRule="atLeast"/>
        <w:rPr>
          <w:rFonts w:ascii="Verdana" w:hAnsi="Verdana"/>
          <w:b w:val="0"/>
          <w:sz w:val="22"/>
          <w:szCs w:val="22"/>
        </w:rPr>
      </w:pPr>
      <w:r w:rsidRPr="00F7786F">
        <w:rPr>
          <w:rFonts w:ascii="Verdana" w:hAnsi="Verdana"/>
          <w:sz w:val="22"/>
          <w:szCs w:val="22"/>
        </w:rPr>
        <w:t>Mike Brown, Managing Director, etfSA.co.za</w:t>
      </w:r>
    </w:p>
    <w:p w14:paraId="1B1021F2" w14:textId="77777777" w:rsidR="005D7F9E" w:rsidRDefault="005D7F9E" w:rsidP="001976A7">
      <w:pPr>
        <w:spacing w:after="0" w:line="320" w:lineRule="atLeast"/>
        <w:jc w:val="both"/>
        <w:rPr>
          <w:rFonts w:ascii="Verdana" w:hAnsi="Verdana"/>
          <w:sz w:val="21"/>
          <w:szCs w:val="21"/>
        </w:rPr>
      </w:pPr>
    </w:p>
    <w:p w14:paraId="02968165" w14:textId="03B3257E" w:rsidR="007D1C48" w:rsidRDefault="00511FB5" w:rsidP="00FC62D1">
      <w:pPr>
        <w:spacing w:after="0" w:line="300" w:lineRule="atLeast"/>
        <w:jc w:val="both"/>
        <w:rPr>
          <w:rFonts w:ascii="Verdana" w:hAnsi="Verdana"/>
          <w:b/>
          <w:color w:val="C00000"/>
          <w:sz w:val="24"/>
          <w:szCs w:val="24"/>
        </w:rPr>
      </w:pPr>
      <w:r w:rsidRPr="003A3D19">
        <w:rPr>
          <w:rFonts w:ascii="Verdana" w:hAnsi="Verdana"/>
          <w:b/>
          <w:color w:val="C00000"/>
          <w:sz w:val="24"/>
          <w:szCs w:val="24"/>
        </w:rPr>
        <w:t>Market Capitalisation</w:t>
      </w:r>
    </w:p>
    <w:p w14:paraId="55BE0BF4" w14:textId="0C846525" w:rsidR="00D72BC0" w:rsidRDefault="004C1102" w:rsidP="00CD37BB">
      <w:pPr>
        <w:spacing w:after="0" w:line="320" w:lineRule="atLeast"/>
        <w:jc w:val="both"/>
        <w:rPr>
          <w:rFonts w:ascii="Verdana" w:hAnsi="Verdana"/>
          <w:color w:val="000000" w:themeColor="text1"/>
          <w:sz w:val="21"/>
          <w:szCs w:val="21"/>
        </w:rPr>
      </w:pPr>
      <w:r>
        <w:rPr>
          <w:rFonts w:ascii="Verdana" w:hAnsi="Verdana"/>
          <w:color w:val="000000" w:themeColor="text1"/>
          <w:sz w:val="21"/>
          <w:szCs w:val="21"/>
        </w:rPr>
        <w:t xml:space="preserve">The market capitalisation of the </w:t>
      </w:r>
      <w:r w:rsidR="005248F6">
        <w:rPr>
          <w:rFonts w:ascii="Verdana" w:hAnsi="Verdana"/>
          <w:color w:val="000000" w:themeColor="text1"/>
          <w:sz w:val="21"/>
          <w:szCs w:val="21"/>
        </w:rPr>
        <w:t xml:space="preserve">total </w:t>
      </w:r>
      <w:r>
        <w:rPr>
          <w:rFonts w:ascii="Verdana" w:hAnsi="Verdana"/>
          <w:color w:val="000000" w:themeColor="text1"/>
          <w:sz w:val="21"/>
          <w:szCs w:val="21"/>
        </w:rPr>
        <w:t>SA E</w:t>
      </w:r>
      <w:r w:rsidR="003C6031">
        <w:rPr>
          <w:rFonts w:ascii="Verdana" w:hAnsi="Verdana"/>
          <w:color w:val="000000" w:themeColor="text1"/>
          <w:sz w:val="21"/>
          <w:szCs w:val="21"/>
        </w:rPr>
        <w:t xml:space="preserve">xchange Traded Products </w:t>
      </w:r>
      <w:r>
        <w:rPr>
          <w:rFonts w:ascii="Verdana" w:hAnsi="Verdana"/>
          <w:color w:val="000000" w:themeColor="text1"/>
          <w:sz w:val="21"/>
          <w:szCs w:val="21"/>
        </w:rPr>
        <w:t xml:space="preserve">industry continued to rise strongly in the third quarter of 2019.  It now amounts to </w:t>
      </w:r>
      <w:r w:rsidR="00F14ACA">
        <w:rPr>
          <w:rFonts w:ascii="Verdana" w:hAnsi="Verdana"/>
          <w:color w:val="000000" w:themeColor="text1"/>
          <w:sz w:val="21"/>
          <w:szCs w:val="21"/>
        </w:rPr>
        <w:t>R</w:t>
      </w:r>
      <w:r w:rsidR="007017CF">
        <w:rPr>
          <w:rFonts w:ascii="Verdana" w:hAnsi="Verdana"/>
          <w:color w:val="000000" w:themeColor="text1"/>
          <w:sz w:val="21"/>
          <w:szCs w:val="21"/>
        </w:rPr>
        <w:t>9</w:t>
      </w:r>
      <w:r>
        <w:rPr>
          <w:rFonts w:ascii="Verdana" w:hAnsi="Verdana"/>
          <w:color w:val="000000" w:themeColor="text1"/>
          <w:sz w:val="21"/>
          <w:szCs w:val="21"/>
        </w:rPr>
        <w:t>9</w:t>
      </w:r>
      <w:r w:rsidR="00F14ACA">
        <w:rPr>
          <w:rFonts w:ascii="Verdana" w:hAnsi="Verdana"/>
          <w:color w:val="000000" w:themeColor="text1"/>
          <w:sz w:val="21"/>
          <w:szCs w:val="21"/>
        </w:rPr>
        <w:t>,</w:t>
      </w:r>
      <w:r w:rsidR="003C6031">
        <w:rPr>
          <w:rFonts w:ascii="Verdana" w:hAnsi="Verdana"/>
          <w:color w:val="000000" w:themeColor="text1"/>
          <w:sz w:val="21"/>
          <w:szCs w:val="21"/>
        </w:rPr>
        <w:t>3</w:t>
      </w:r>
      <w:r w:rsidR="00F14ACA">
        <w:rPr>
          <w:rFonts w:ascii="Verdana" w:hAnsi="Verdana"/>
          <w:color w:val="000000" w:themeColor="text1"/>
          <w:sz w:val="21"/>
          <w:szCs w:val="21"/>
        </w:rPr>
        <w:t xml:space="preserve"> billion</w:t>
      </w:r>
      <w:r>
        <w:rPr>
          <w:rFonts w:ascii="Verdana" w:hAnsi="Verdana"/>
          <w:color w:val="000000" w:themeColor="text1"/>
          <w:sz w:val="21"/>
          <w:szCs w:val="21"/>
        </w:rPr>
        <w:t xml:space="preserve">, an increase of 27,6% on the total value of the ETP industry at the end of 2018.  </w:t>
      </w:r>
    </w:p>
    <w:p w14:paraId="07AF6E62" w14:textId="702A6942" w:rsidR="00D826DB" w:rsidRDefault="00D826DB" w:rsidP="00137500">
      <w:pPr>
        <w:spacing w:after="0" w:line="340" w:lineRule="atLeast"/>
        <w:jc w:val="both"/>
        <w:rPr>
          <w:rFonts w:ascii="Verdana" w:hAnsi="Verdana"/>
          <w:color w:val="000000" w:themeColor="text1"/>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686"/>
      </w:tblGrid>
      <w:tr w:rsidR="00F411F7" w14:paraId="02D18F07" w14:textId="77777777" w:rsidTr="00AF7BAB">
        <w:tc>
          <w:tcPr>
            <w:tcW w:w="2595" w:type="dxa"/>
            <w:vAlign w:val="center"/>
          </w:tcPr>
          <w:p w14:paraId="1EC26A6C" w14:textId="4F0A38FB" w:rsidR="00D826DB" w:rsidRDefault="004C1102" w:rsidP="00CD37BB">
            <w:pPr>
              <w:spacing w:line="320" w:lineRule="atLeast"/>
              <w:rPr>
                <w:rFonts w:ascii="Verdana" w:hAnsi="Verdana"/>
                <w:color w:val="000000" w:themeColor="text1"/>
                <w:sz w:val="21"/>
                <w:szCs w:val="21"/>
              </w:rPr>
            </w:pPr>
            <w:r>
              <w:rPr>
                <w:rFonts w:ascii="Verdana" w:hAnsi="Verdana"/>
                <w:color w:val="000000" w:themeColor="text1"/>
                <w:sz w:val="21"/>
                <w:szCs w:val="21"/>
              </w:rPr>
              <w:t xml:space="preserve">During the third quarter of this year, total market capitalisation grew from R91,3 billion on 30 June 2019 to R99,3 billion on 30 September 2019.  The R8 billion gain stemmed mainly from a rise in commodity ETFs in issue and from price gains in these products. </w:t>
            </w:r>
          </w:p>
        </w:tc>
        <w:tc>
          <w:tcPr>
            <w:tcW w:w="7326" w:type="dxa"/>
            <w:vAlign w:val="center"/>
          </w:tcPr>
          <w:p w14:paraId="237962D7" w14:textId="0576B5FE" w:rsidR="00D826DB" w:rsidRDefault="00AF7BAB" w:rsidP="00F411F7">
            <w:pPr>
              <w:spacing w:line="340" w:lineRule="atLeast"/>
              <w:jc w:val="right"/>
              <w:rPr>
                <w:rFonts w:ascii="Verdana" w:hAnsi="Verdana"/>
                <w:color w:val="000000" w:themeColor="text1"/>
                <w:sz w:val="21"/>
                <w:szCs w:val="21"/>
              </w:rPr>
            </w:pPr>
            <w:r>
              <w:rPr>
                <w:noProof/>
              </w:rPr>
              <w:drawing>
                <wp:inline distT="0" distB="0" distL="0" distR="0" wp14:anchorId="363095FC" wp14:editId="3315F74F">
                  <wp:extent cx="4727575" cy="3092450"/>
                  <wp:effectExtent l="0" t="0" r="15875" b="12700"/>
                  <wp:docPr id="3" name="Chart 3">
                    <a:extLst xmlns:a="http://schemas.openxmlformats.org/drawingml/2006/main">
                      <a:ext uri="{FF2B5EF4-FFF2-40B4-BE49-F238E27FC236}">
                        <a16:creationId xmlns:a16="http://schemas.microsoft.com/office/drawing/2014/main" id="{A6D53289-DBFE-40C9-AB8D-05167AAB53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1E714AD5" w14:textId="4FD59B1F" w:rsidR="00083E17" w:rsidRDefault="00083E17" w:rsidP="00CD37BB">
      <w:pPr>
        <w:spacing w:after="0" w:line="320" w:lineRule="atLeast"/>
        <w:jc w:val="both"/>
        <w:rPr>
          <w:rFonts w:ascii="Verdana" w:hAnsi="Verdana"/>
          <w:color w:val="000000" w:themeColor="text1"/>
          <w:sz w:val="21"/>
          <w:szCs w:val="21"/>
        </w:rPr>
      </w:pPr>
    </w:p>
    <w:p w14:paraId="7C99C60C" w14:textId="77777777" w:rsidR="005F72F5" w:rsidRDefault="005F72F5" w:rsidP="00CD37BB">
      <w:pPr>
        <w:spacing w:after="0" w:line="320" w:lineRule="atLeast"/>
        <w:jc w:val="both"/>
        <w:rPr>
          <w:rFonts w:ascii="Verdana" w:hAnsi="Verdana"/>
          <w:color w:val="000000" w:themeColor="text1"/>
          <w:sz w:val="21"/>
          <w:szCs w:val="21"/>
        </w:rPr>
      </w:pPr>
    </w:p>
    <w:p w14:paraId="6B7A6171" w14:textId="31509AA9" w:rsidR="004B0713" w:rsidRPr="003A3D19" w:rsidRDefault="00B5062D" w:rsidP="00CD37BB">
      <w:pPr>
        <w:spacing w:after="0" w:line="320" w:lineRule="atLeast"/>
        <w:jc w:val="both"/>
        <w:rPr>
          <w:rFonts w:ascii="Verdana" w:hAnsi="Verdana"/>
          <w:b/>
          <w:color w:val="C00000"/>
          <w:sz w:val="24"/>
          <w:szCs w:val="24"/>
        </w:rPr>
      </w:pPr>
      <w:r>
        <w:rPr>
          <w:rFonts w:ascii="Verdana" w:hAnsi="Verdana"/>
          <w:b/>
          <w:color w:val="C00000"/>
          <w:sz w:val="24"/>
          <w:szCs w:val="24"/>
        </w:rPr>
        <w:t>New Capital Raised</w:t>
      </w:r>
    </w:p>
    <w:p w14:paraId="5B43E09A" w14:textId="48F13479" w:rsidR="00D307D7" w:rsidRDefault="00D307D7" w:rsidP="007153E8">
      <w:pPr>
        <w:spacing w:after="0" w:line="320" w:lineRule="atLeast"/>
        <w:rPr>
          <w:rFonts w:ascii="Verdana" w:hAnsi="Verdana"/>
          <w:color w:val="000000"/>
          <w:sz w:val="21"/>
          <w:szCs w:val="21"/>
        </w:rPr>
      </w:pPr>
      <w:r>
        <w:rPr>
          <w:rFonts w:ascii="Verdana" w:hAnsi="Verdana"/>
          <w:color w:val="000000"/>
          <w:sz w:val="21"/>
          <w:szCs w:val="21"/>
        </w:rPr>
        <w:t xml:space="preserve">Total new capital raised in the first </w:t>
      </w:r>
      <w:r w:rsidR="00F91371">
        <w:rPr>
          <w:rFonts w:ascii="Verdana" w:hAnsi="Verdana"/>
          <w:color w:val="000000"/>
          <w:sz w:val="21"/>
          <w:szCs w:val="21"/>
        </w:rPr>
        <w:t>nine</w:t>
      </w:r>
      <w:r>
        <w:rPr>
          <w:rFonts w:ascii="Verdana" w:hAnsi="Verdana"/>
          <w:color w:val="000000"/>
          <w:sz w:val="21"/>
          <w:szCs w:val="21"/>
        </w:rPr>
        <w:t xml:space="preserve"> months of 2019 was R7 864,9 million, R7 724,6 million for ETFs and R140,7 million for ETNs.  </w:t>
      </w:r>
    </w:p>
    <w:p w14:paraId="104E0345" w14:textId="1BE01ED9" w:rsidR="00D307D7" w:rsidRDefault="00D307D7" w:rsidP="007153E8">
      <w:pPr>
        <w:spacing w:after="0" w:line="320" w:lineRule="atLeast"/>
        <w:rPr>
          <w:rFonts w:ascii="Verdana" w:hAnsi="Verdana"/>
          <w:color w:val="000000"/>
          <w:sz w:val="21"/>
          <w:szCs w:val="21"/>
        </w:rPr>
      </w:pPr>
    </w:p>
    <w:p w14:paraId="000C27D4" w14:textId="468F06CD" w:rsidR="00D307D7" w:rsidRDefault="00D307D7" w:rsidP="007153E8">
      <w:pPr>
        <w:spacing w:after="0" w:line="320" w:lineRule="atLeast"/>
        <w:rPr>
          <w:rFonts w:ascii="Verdana" w:hAnsi="Verdana"/>
          <w:color w:val="000000"/>
          <w:sz w:val="21"/>
          <w:szCs w:val="21"/>
        </w:rPr>
      </w:pPr>
      <w:r>
        <w:rPr>
          <w:rFonts w:ascii="Verdana" w:hAnsi="Verdana"/>
          <w:color w:val="000000"/>
          <w:sz w:val="21"/>
          <w:szCs w:val="21"/>
        </w:rPr>
        <w:t>Four new ETFs were issued in this period, all of these smart beta products.  Absa (NewFunds) issued 3 ETFs which manage volatility by switching between cash and equities</w:t>
      </w:r>
      <w:r w:rsidR="007640DF">
        <w:rPr>
          <w:rFonts w:ascii="Verdana" w:hAnsi="Verdana"/>
          <w:color w:val="000000"/>
          <w:sz w:val="21"/>
          <w:szCs w:val="21"/>
        </w:rPr>
        <w:t>, depend</w:t>
      </w:r>
      <w:r w:rsidR="00F91371">
        <w:rPr>
          <w:rFonts w:ascii="Verdana" w:hAnsi="Verdana"/>
          <w:color w:val="000000"/>
          <w:sz w:val="21"/>
          <w:szCs w:val="21"/>
        </w:rPr>
        <w:t>ing</w:t>
      </w:r>
      <w:r w:rsidR="007640DF">
        <w:rPr>
          <w:rFonts w:ascii="Verdana" w:hAnsi="Verdana"/>
          <w:color w:val="000000"/>
          <w:sz w:val="21"/>
          <w:szCs w:val="21"/>
        </w:rPr>
        <w:t xml:space="preserve"> on momentum and drawdown targets being reached.  The extent of the portfolio adjustments re</w:t>
      </w:r>
      <w:r w:rsidR="0075656E">
        <w:rPr>
          <w:rFonts w:ascii="Verdana" w:hAnsi="Verdana"/>
          <w:color w:val="000000"/>
          <w:sz w:val="21"/>
          <w:szCs w:val="21"/>
        </w:rPr>
        <w:t>ly</w:t>
      </w:r>
      <w:r w:rsidR="007640DF">
        <w:rPr>
          <w:rFonts w:ascii="Verdana" w:hAnsi="Verdana"/>
          <w:color w:val="000000"/>
          <w:sz w:val="21"/>
          <w:szCs w:val="21"/>
        </w:rPr>
        <w:t xml:space="preserve"> o</w:t>
      </w:r>
      <w:r w:rsidR="00F91371">
        <w:rPr>
          <w:rFonts w:ascii="Verdana" w:hAnsi="Verdana"/>
          <w:color w:val="000000"/>
          <w:sz w:val="21"/>
          <w:szCs w:val="21"/>
        </w:rPr>
        <w:t>n</w:t>
      </w:r>
      <w:r w:rsidR="007640DF">
        <w:rPr>
          <w:rFonts w:ascii="Verdana" w:hAnsi="Verdana"/>
          <w:color w:val="000000"/>
          <w:sz w:val="21"/>
          <w:szCs w:val="21"/>
        </w:rPr>
        <w:t xml:space="preserve"> </w:t>
      </w:r>
      <w:r w:rsidR="0075656E">
        <w:rPr>
          <w:rFonts w:ascii="Verdana" w:hAnsi="Verdana"/>
          <w:color w:val="000000"/>
          <w:sz w:val="21"/>
          <w:szCs w:val="21"/>
        </w:rPr>
        <w:t xml:space="preserve">various </w:t>
      </w:r>
      <w:r w:rsidR="007640DF">
        <w:rPr>
          <w:rFonts w:ascii="Verdana" w:hAnsi="Verdana"/>
          <w:color w:val="000000"/>
          <w:sz w:val="21"/>
          <w:szCs w:val="21"/>
        </w:rPr>
        <w:t>trigger levels being breached</w:t>
      </w:r>
      <w:r w:rsidR="0075656E">
        <w:rPr>
          <w:rFonts w:ascii="Verdana" w:hAnsi="Verdana"/>
          <w:color w:val="000000"/>
          <w:sz w:val="21"/>
          <w:szCs w:val="21"/>
        </w:rPr>
        <w:t xml:space="preserve"> and</w:t>
      </w:r>
      <w:r w:rsidR="007640DF">
        <w:rPr>
          <w:rFonts w:ascii="Verdana" w:hAnsi="Verdana"/>
          <w:color w:val="000000"/>
          <w:sz w:val="21"/>
          <w:szCs w:val="21"/>
        </w:rPr>
        <w:t xml:space="preserve"> is </w:t>
      </w:r>
      <w:r w:rsidR="00F91371">
        <w:rPr>
          <w:rFonts w:ascii="Verdana" w:hAnsi="Verdana"/>
          <w:color w:val="000000"/>
          <w:sz w:val="21"/>
          <w:szCs w:val="21"/>
        </w:rPr>
        <w:t>governed</w:t>
      </w:r>
      <w:r w:rsidR="007640DF">
        <w:rPr>
          <w:rFonts w:ascii="Verdana" w:hAnsi="Verdana"/>
          <w:color w:val="000000"/>
          <w:sz w:val="21"/>
          <w:szCs w:val="21"/>
        </w:rPr>
        <w:t xml:space="preserve"> by </w:t>
      </w:r>
      <w:r w:rsidR="00F91371">
        <w:rPr>
          <w:rFonts w:ascii="Verdana" w:hAnsi="Verdana"/>
          <w:color w:val="000000"/>
          <w:sz w:val="21"/>
          <w:szCs w:val="21"/>
        </w:rPr>
        <w:t xml:space="preserve">three strategies, namely </w:t>
      </w:r>
      <w:r w:rsidR="007640DF">
        <w:rPr>
          <w:rFonts w:ascii="Verdana" w:hAnsi="Verdana"/>
          <w:color w:val="000000"/>
          <w:sz w:val="21"/>
          <w:szCs w:val="21"/>
        </w:rPr>
        <w:t>defensive</w:t>
      </w:r>
      <w:r w:rsidR="00F91371">
        <w:rPr>
          <w:rFonts w:ascii="Verdana" w:hAnsi="Verdana"/>
          <w:color w:val="000000"/>
          <w:sz w:val="21"/>
          <w:szCs w:val="21"/>
        </w:rPr>
        <w:t>,</w:t>
      </w:r>
      <w:r w:rsidR="007640DF">
        <w:rPr>
          <w:rFonts w:ascii="Verdana" w:hAnsi="Verdana"/>
          <w:color w:val="000000"/>
          <w:sz w:val="21"/>
          <w:szCs w:val="21"/>
        </w:rPr>
        <w:t xml:space="preserve"> high growth and moderate.  This formula driven approach to asset allocation changes is </w:t>
      </w:r>
      <w:r w:rsidR="0075656E">
        <w:rPr>
          <w:rFonts w:ascii="Verdana" w:hAnsi="Verdana"/>
          <w:color w:val="000000"/>
          <w:sz w:val="21"/>
          <w:szCs w:val="21"/>
        </w:rPr>
        <w:t xml:space="preserve">a </w:t>
      </w:r>
      <w:r w:rsidR="00F91371">
        <w:rPr>
          <w:rFonts w:ascii="Verdana" w:hAnsi="Verdana"/>
          <w:color w:val="000000"/>
          <w:sz w:val="21"/>
          <w:szCs w:val="21"/>
        </w:rPr>
        <w:t>part</w:t>
      </w:r>
      <w:r w:rsidR="007640DF">
        <w:rPr>
          <w:rFonts w:ascii="Verdana" w:hAnsi="Verdana"/>
          <w:color w:val="000000"/>
          <w:sz w:val="21"/>
          <w:szCs w:val="21"/>
        </w:rPr>
        <w:t xml:space="preserve"> active/part passive investment strategy, which </w:t>
      </w:r>
      <w:r w:rsidR="0075656E">
        <w:rPr>
          <w:rFonts w:ascii="Verdana" w:hAnsi="Verdana"/>
          <w:color w:val="000000"/>
          <w:sz w:val="21"/>
          <w:szCs w:val="21"/>
        </w:rPr>
        <w:t>is a first for South African ETFs</w:t>
      </w:r>
      <w:r w:rsidR="007640DF">
        <w:rPr>
          <w:rFonts w:ascii="Verdana" w:hAnsi="Verdana"/>
          <w:color w:val="000000"/>
          <w:sz w:val="21"/>
          <w:szCs w:val="21"/>
        </w:rPr>
        <w:t xml:space="preserve">. </w:t>
      </w:r>
    </w:p>
    <w:p w14:paraId="61B7619E" w14:textId="5328CAC1" w:rsidR="007640DF" w:rsidRDefault="007640DF" w:rsidP="007153E8">
      <w:pPr>
        <w:spacing w:after="0" w:line="320" w:lineRule="atLeast"/>
        <w:rPr>
          <w:rFonts w:ascii="Verdana" w:hAnsi="Verdana"/>
          <w:color w:val="000000"/>
          <w:sz w:val="21"/>
          <w:szCs w:val="21"/>
        </w:rPr>
      </w:pPr>
    </w:p>
    <w:p w14:paraId="5EF73E94" w14:textId="1EEF733C" w:rsidR="007640DF" w:rsidRDefault="007640DF" w:rsidP="007153E8">
      <w:pPr>
        <w:spacing w:after="0" w:line="320" w:lineRule="atLeast"/>
        <w:rPr>
          <w:rFonts w:ascii="Verdana" w:hAnsi="Verdana"/>
          <w:color w:val="000000"/>
          <w:sz w:val="21"/>
          <w:szCs w:val="21"/>
        </w:rPr>
      </w:pPr>
      <w:r>
        <w:rPr>
          <w:rFonts w:ascii="Verdana" w:hAnsi="Verdana"/>
          <w:color w:val="000000"/>
          <w:sz w:val="21"/>
          <w:szCs w:val="21"/>
        </w:rPr>
        <w:t xml:space="preserve">Absa (NewFunds) was able to </w:t>
      </w:r>
      <w:r w:rsidR="00F91371">
        <w:rPr>
          <w:rFonts w:ascii="Verdana" w:hAnsi="Verdana"/>
          <w:color w:val="000000"/>
          <w:sz w:val="21"/>
          <w:szCs w:val="21"/>
        </w:rPr>
        <w:t>gain</w:t>
      </w:r>
      <w:r>
        <w:rPr>
          <w:rFonts w:ascii="Verdana" w:hAnsi="Verdana"/>
          <w:color w:val="000000"/>
          <w:sz w:val="21"/>
          <w:szCs w:val="21"/>
        </w:rPr>
        <w:t xml:space="preserve"> some institutional support for these products and a total of R150 million new capital was raised</w:t>
      </w:r>
      <w:r w:rsidR="0075656E">
        <w:rPr>
          <w:rFonts w:ascii="Verdana" w:hAnsi="Verdana"/>
          <w:color w:val="000000"/>
          <w:sz w:val="21"/>
          <w:szCs w:val="21"/>
        </w:rPr>
        <w:t xml:space="preserve">.  </w:t>
      </w:r>
    </w:p>
    <w:p w14:paraId="09BD3BDF" w14:textId="3E0D97CA" w:rsidR="00CD37BB" w:rsidRDefault="00CD37BB" w:rsidP="007153E8">
      <w:pPr>
        <w:spacing w:after="0" w:line="320" w:lineRule="atLeast"/>
        <w:rPr>
          <w:rFonts w:ascii="Verdana" w:hAnsi="Verdana"/>
          <w:color w:val="000000"/>
          <w:sz w:val="21"/>
          <w:szCs w:val="21"/>
        </w:rPr>
      </w:pPr>
      <w:r>
        <w:rPr>
          <w:rFonts w:ascii="Verdana" w:hAnsi="Verdana"/>
          <w:color w:val="000000"/>
          <w:sz w:val="21"/>
          <w:szCs w:val="21"/>
        </w:rPr>
        <w:br w:type="page"/>
      </w:r>
    </w:p>
    <w:p w14:paraId="2365AA1E" w14:textId="77777777" w:rsidR="00137500" w:rsidRDefault="00137500" w:rsidP="00E71803">
      <w:pPr>
        <w:spacing w:after="0" w:line="320" w:lineRule="atLeast"/>
        <w:rPr>
          <w:rFonts w:ascii="Verdana" w:hAnsi="Verdana"/>
          <w:color w:val="000000"/>
          <w:sz w:val="21"/>
          <w:szCs w:val="21"/>
        </w:rPr>
      </w:pPr>
    </w:p>
    <w:p w14:paraId="26C09989" w14:textId="7C7C31E0" w:rsidR="00AB779B" w:rsidRDefault="007640DF" w:rsidP="00E71803">
      <w:pPr>
        <w:spacing w:after="0" w:line="320" w:lineRule="atLeast"/>
        <w:rPr>
          <w:rFonts w:ascii="Verdana" w:hAnsi="Verdana"/>
          <w:color w:val="000000"/>
          <w:sz w:val="21"/>
          <w:szCs w:val="21"/>
        </w:rPr>
      </w:pPr>
      <w:r>
        <w:rPr>
          <w:rFonts w:ascii="Verdana" w:hAnsi="Verdana"/>
          <w:color w:val="000000"/>
          <w:sz w:val="21"/>
          <w:szCs w:val="21"/>
        </w:rPr>
        <w:t xml:space="preserve">CoreShares replaced their Equally Weighted ETF with a smart beta product, the Scientific Beta Multi Factor ETF, which uses </w:t>
      </w:r>
      <w:r w:rsidR="00F91371">
        <w:rPr>
          <w:rFonts w:ascii="Verdana" w:hAnsi="Verdana"/>
          <w:color w:val="000000"/>
          <w:sz w:val="21"/>
          <w:szCs w:val="21"/>
        </w:rPr>
        <w:t>six</w:t>
      </w:r>
      <w:r>
        <w:rPr>
          <w:rFonts w:ascii="Verdana" w:hAnsi="Verdana"/>
          <w:color w:val="000000"/>
          <w:sz w:val="21"/>
          <w:szCs w:val="21"/>
        </w:rPr>
        <w:t xml:space="preserve"> risk factor criteria to </w:t>
      </w:r>
      <w:r w:rsidR="00B7090D">
        <w:rPr>
          <w:rFonts w:ascii="Verdana" w:hAnsi="Verdana"/>
          <w:color w:val="000000"/>
          <w:sz w:val="21"/>
          <w:szCs w:val="21"/>
        </w:rPr>
        <w:t>construct</w:t>
      </w:r>
      <w:r>
        <w:rPr>
          <w:rFonts w:ascii="Verdana" w:hAnsi="Verdana"/>
          <w:color w:val="000000"/>
          <w:sz w:val="21"/>
          <w:szCs w:val="21"/>
        </w:rPr>
        <w:t xml:space="preserve"> its portfolio.  As the mandate differs materially from the Equally </w:t>
      </w:r>
      <w:r w:rsidR="002E4F01">
        <w:rPr>
          <w:rFonts w:ascii="Verdana" w:hAnsi="Verdana"/>
          <w:color w:val="000000"/>
          <w:sz w:val="21"/>
          <w:szCs w:val="21"/>
        </w:rPr>
        <w:t>Weighted</w:t>
      </w:r>
      <w:r>
        <w:rPr>
          <w:rFonts w:ascii="Verdana" w:hAnsi="Verdana"/>
          <w:color w:val="000000"/>
          <w:sz w:val="21"/>
          <w:szCs w:val="21"/>
        </w:rPr>
        <w:t xml:space="preserve"> Top 40 ETF, it </w:t>
      </w:r>
      <w:r w:rsidR="00B7090D">
        <w:rPr>
          <w:rFonts w:ascii="Verdana" w:hAnsi="Verdana"/>
          <w:color w:val="000000"/>
          <w:sz w:val="21"/>
          <w:szCs w:val="21"/>
        </w:rPr>
        <w:t>can be regarded</w:t>
      </w:r>
      <w:r>
        <w:rPr>
          <w:rFonts w:ascii="Verdana" w:hAnsi="Verdana"/>
          <w:color w:val="000000"/>
          <w:sz w:val="21"/>
          <w:szCs w:val="21"/>
        </w:rPr>
        <w:t xml:space="preserve"> as a new product.  </w:t>
      </w:r>
    </w:p>
    <w:p w14:paraId="7B3C259E" w14:textId="4D7C0DD1" w:rsidR="007640DF" w:rsidRDefault="007640DF" w:rsidP="00E71803">
      <w:pPr>
        <w:spacing w:after="0" w:line="320" w:lineRule="atLeast"/>
        <w:rPr>
          <w:rFonts w:ascii="Verdana" w:hAnsi="Verdana"/>
          <w:color w:val="000000"/>
          <w:sz w:val="21"/>
          <w:szCs w:val="21"/>
        </w:rPr>
      </w:pPr>
    </w:p>
    <w:p w14:paraId="2B2AE8AA" w14:textId="7663E006" w:rsidR="007640DF" w:rsidRDefault="007640DF" w:rsidP="00E71803">
      <w:pPr>
        <w:spacing w:after="0" w:line="320" w:lineRule="atLeast"/>
        <w:rPr>
          <w:rFonts w:ascii="Verdana" w:hAnsi="Verdana"/>
          <w:color w:val="000000"/>
          <w:sz w:val="21"/>
          <w:szCs w:val="21"/>
        </w:rPr>
      </w:pPr>
      <w:r>
        <w:rPr>
          <w:rFonts w:ascii="Verdana" w:hAnsi="Verdana"/>
          <w:color w:val="000000"/>
          <w:sz w:val="21"/>
          <w:szCs w:val="21"/>
        </w:rPr>
        <w:t xml:space="preserve">The CoreShares Multi Factor ETF and the </w:t>
      </w:r>
      <w:r w:rsidR="00B7090D">
        <w:rPr>
          <w:rFonts w:ascii="Verdana" w:hAnsi="Verdana"/>
          <w:color w:val="000000"/>
          <w:sz w:val="21"/>
          <w:szCs w:val="21"/>
        </w:rPr>
        <w:t>three</w:t>
      </w:r>
      <w:r>
        <w:rPr>
          <w:rFonts w:ascii="Verdana" w:hAnsi="Verdana"/>
          <w:color w:val="000000"/>
          <w:sz w:val="21"/>
          <w:szCs w:val="21"/>
        </w:rPr>
        <w:t xml:space="preserve"> managed volatility Absa ETFs, point to the increasing sophistication of the local ETF market.  </w:t>
      </w:r>
    </w:p>
    <w:p w14:paraId="2F388C5C" w14:textId="276D68A2" w:rsidR="007640DF" w:rsidRDefault="007640DF" w:rsidP="00E71803">
      <w:pPr>
        <w:spacing w:after="0" w:line="320" w:lineRule="atLeast"/>
        <w:rPr>
          <w:rFonts w:ascii="Verdana" w:hAnsi="Verdana"/>
          <w:color w:val="000000"/>
          <w:sz w:val="21"/>
          <w:szCs w:val="21"/>
        </w:rPr>
      </w:pPr>
    </w:p>
    <w:p w14:paraId="2B53E612" w14:textId="6C521082" w:rsidR="007640DF" w:rsidRDefault="007640DF" w:rsidP="00E71803">
      <w:pPr>
        <w:spacing w:after="0" w:line="320" w:lineRule="atLeast"/>
        <w:rPr>
          <w:rFonts w:ascii="Verdana" w:hAnsi="Verdana"/>
          <w:color w:val="000000"/>
          <w:sz w:val="21"/>
          <w:szCs w:val="21"/>
        </w:rPr>
      </w:pPr>
      <w:r>
        <w:rPr>
          <w:rFonts w:ascii="Verdana" w:hAnsi="Verdana"/>
          <w:color w:val="000000"/>
          <w:sz w:val="21"/>
          <w:szCs w:val="21"/>
        </w:rPr>
        <w:t>The other new capital raised in the first three quarters of 2019 came predominantly from the issue of additional securities by commodity ETFs, notably platinum tracking products in the first quarter of 2019 a</w:t>
      </w:r>
      <w:r w:rsidR="00B7090D">
        <w:rPr>
          <w:rFonts w:ascii="Verdana" w:hAnsi="Verdana"/>
          <w:color w:val="000000"/>
          <w:sz w:val="21"/>
          <w:szCs w:val="21"/>
        </w:rPr>
        <w:t>n</w:t>
      </w:r>
      <w:r>
        <w:rPr>
          <w:rFonts w:ascii="Verdana" w:hAnsi="Verdana"/>
          <w:color w:val="000000"/>
          <w:sz w:val="21"/>
          <w:szCs w:val="21"/>
        </w:rPr>
        <w:t xml:space="preserve">d </w:t>
      </w:r>
      <w:r w:rsidR="00B7090D">
        <w:rPr>
          <w:rFonts w:ascii="Verdana" w:hAnsi="Verdana"/>
          <w:color w:val="000000"/>
          <w:sz w:val="21"/>
          <w:szCs w:val="21"/>
        </w:rPr>
        <w:t xml:space="preserve">by </w:t>
      </w:r>
      <w:r>
        <w:rPr>
          <w:rFonts w:ascii="Verdana" w:hAnsi="Verdana"/>
          <w:color w:val="000000"/>
          <w:sz w:val="21"/>
          <w:szCs w:val="21"/>
        </w:rPr>
        <w:t xml:space="preserve">gold tracker ETFs in the third quarter.  </w:t>
      </w:r>
    </w:p>
    <w:p w14:paraId="2E564C8C" w14:textId="1863313E" w:rsidR="00D040F4" w:rsidRDefault="00D040F4" w:rsidP="00E71803">
      <w:pPr>
        <w:spacing w:after="0" w:line="320" w:lineRule="atLeast"/>
        <w:rPr>
          <w:rFonts w:ascii="Verdana" w:hAnsi="Verdana"/>
          <w:color w:val="000000"/>
          <w:sz w:val="21"/>
          <w:szCs w:val="21"/>
        </w:rPr>
      </w:pPr>
    </w:p>
    <w:p w14:paraId="3064E454" w14:textId="77777777" w:rsidR="00A029E7" w:rsidRDefault="00A029E7" w:rsidP="00E71803">
      <w:pPr>
        <w:spacing w:after="0" w:line="320" w:lineRule="atLeast"/>
        <w:rPr>
          <w:rFonts w:ascii="Verdana" w:hAnsi="Verdana"/>
          <w:color w:val="000000"/>
          <w:sz w:val="21"/>
          <w:szCs w:val="21"/>
        </w:rPr>
      </w:pPr>
    </w:p>
    <w:p w14:paraId="691AD8A7" w14:textId="6D5AE0CB" w:rsidR="00A029E7" w:rsidRPr="003A3D19" w:rsidRDefault="00A029E7" w:rsidP="00A029E7">
      <w:pPr>
        <w:spacing w:after="0" w:line="240" w:lineRule="auto"/>
        <w:jc w:val="both"/>
        <w:rPr>
          <w:rFonts w:ascii="Verdana" w:hAnsi="Verdana"/>
          <w:b/>
          <w:color w:val="C00000"/>
          <w:sz w:val="24"/>
          <w:szCs w:val="24"/>
        </w:rPr>
      </w:pPr>
      <w:r>
        <w:rPr>
          <w:rFonts w:ascii="Verdana" w:hAnsi="Verdana"/>
          <w:b/>
          <w:color w:val="C00000"/>
          <w:sz w:val="24"/>
          <w:szCs w:val="24"/>
        </w:rPr>
        <w:t>The South African ETP Industry as at 3</w:t>
      </w:r>
      <w:r w:rsidR="00AB779B">
        <w:rPr>
          <w:rFonts w:ascii="Verdana" w:hAnsi="Verdana"/>
          <w:b/>
          <w:color w:val="C00000"/>
          <w:sz w:val="24"/>
          <w:szCs w:val="24"/>
        </w:rPr>
        <w:t>0</w:t>
      </w:r>
      <w:r>
        <w:rPr>
          <w:rFonts w:ascii="Verdana" w:hAnsi="Verdana"/>
          <w:b/>
          <w:color w:val="C00000"/>
          <w:sz w:val="24"/>
          <w:szCs w:val="24"/>
        </w:rPr>
        <w:t xml:space="preserve"> </w:t>
      </w:r>
      <w:r w:rsidR="00AB779B">
        <w:rPr>
          <w:rFonts w:ascii="Verdana" w:hAnsi="Verdana"/>
          <w:b/>
          <w:color w:val="C00000"/>
          <w:sz w:val="24"/>
          <w:szCs w:val="24"/>
        </w:rPr>
        <w:t>June</w:t>
      </w:r>
      <w:r>
        <w:rPr>
          <w:rFonts w:ascii="Verdana" w:hAnsi="Verdana"/>
          <w:b/>
          <w:color w:val="C00000"/>
          <w:sz w:val="24"/>
          <w:szCs w:val="24"/>
        </w:rPr>
        <w:t xml:space="preserve"> 2019</w:t>
      </w:r>
    </w:p>
    <w:p w14:paraId="574B99A3" w14:textId="6D224D37" w:rsidR="00340ED3" w:rsidRPr="00340ED3" w:rsidRDefault="00340ED3" w:rsidP="00083E17">
      <w:pPr>
        <w:spacing w:after="0" w:line="360" w:lineRule="atLeast"/>
        <w:rPr>
          <w:rFonts w:ascii="Verdana" w:hAnsi="Verdana"/>
          <w:b/>
          <w:color w:val="000000"/>
          <w:sz w:val="21"/>
          <w:szCs w:val="21"/>
        </w:rPr>
      </w:pPr>
      <w:r>
        <w:rPr>
          <w:rFonts w:ascii="Verdana" w:hAnsi="Verdana"/>
          <w:b/>
          <w:color w:val="000000"/>
          <w:sz w:val="21"/>
          <w:szCs w:val="21"/>
        </w:rPr>
        <w:t>Table A</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
        <w:gridCol w:w="1701"/>
        <w:gridCol w:w="993"/>
        <w:gridCol w:w="992"/>
        <w:gridCol w:w="1417"/>
        <w:gridCol w:w="1418"/>
        <w:gridCol w:w="1843"/>
      </w:tblGrid>
      <w:tr w:rsidR="00A029E7" w:rsidRPr="00AB6CBE" w14:paraId="6C58D851" w14:textId="77777777" w:rsidTr="00275FDA">
        <w:tc>
          <w:tcPr>
            <w:tcW w:w="9214" w:type="dxa"/>
            <w:gridSpan w:val="8"/>
            <w:shd w:val="clear" w:color="auto" w:fill="C00000"/>
            <w:vAlign w:val="center"/>
          </w:tcPr>
          <w:p w14:paraId="3570725C" w14:textId="77777777" w:rsidR="00A029E7" w:rsidRPr="003B4F95" w:rsidRDefault="00A029E7" w:rsidP="00A029E7">
            <w:pPr>
              <w:spacing w:before="20" w:after="20" w:line="280" w:lineRule="atLeast"/>
              <w:jc w:val="center"/>
              <w:rPr>
                <w:rFonts w:ascii="Verdana" w:hAnsi="Verdana"/>
                <w:b/>
                <w:color w:val="FFFFFF"/>
                <w:sz w:val="18"/>
                <w:szCs w:val="18"/>
              </w:rPr>
            </w:pPr>
            <w:r w:rsidRPr="003B4F95">
              <w:rPr>
                <w:rFonts w:ascii="Verdana" w:hAnsi="Verdana"/>
                <w:b/>
                <w:color w:val="FFFFFF"/>
                <w:sz w:val="18"/>
                <w:szCs w:val="18"/>
              </w:rPr>
              <w:t>The South African Exchange Traded Product Industry</w:t>
            </w:r>
          </w:p>
          <w:p w14:paraId="35DFF8CE" w14:textId="4622C19B" w:rsidR="00A029E7" w:rsidRPr="003B4F95" w:rsidRDefault="00A029E7" w:rsidP="00A029E7">
            <w:pPr>
              <w:spacing w:before="20" w:after="20" w:line="280" w:lineRule="atLeast"/>
              <w:jc w:val="center"/>
              <w:rPr>
                <w:rFonts w:ascii="Verdana" w:hAnsi="Verdana"/>
                <w:b/>
                <w:color w:val="FFFFFF"/>
                <w:sz w:val="18"/>
                <w:szCs w:val="18"/>
              </w:rPr>
            </w:pPr>
            <w:r w:rsidRPr="003B4F95">
              <w:rPr>
                <w:rFonts w:ascii="Verdana" w:hAnsi="Verdana"/>
                <w:b/>
                <w:color w:val="FFFFFF"/>
                <w:sz w:val="18"/>
                <w:szCs w:val="18"/>
              </w:rPr>
              <w:t xml:space="preserve">(as at </w:t>
            </w:r>
            <w:r w:rsidR="00FE2ED4">
              <w:rPr>
                <w:rFonts w:ascii="Verdana" w:hAnsi="Verdana"/>
                <w:b/>
                <w:color w:val="FFFFFF"/>
                <w:sz w:val="18"/>
                <w:szCs w:val="18"/>
              </w:rPr>
              <w:t xml:space="preserve">30 </w:t>
            </w:r>
            <w:r w:rsidR="007640DF">
              <w:rPr>
                <w:rFonts w:ascii="Verdana" w:hAnsi="Verdana"/>
                <w:b/>
                <w:color w:val="FFFFFF"/>
                <w:sz w:val="18"/>
                <w:szCs w:val="18"/>
              </w:rPr>
              <w:t>September</w:t>
            </w:r>
            <w:r w:rsidRPr="003B4F95">
              <w:rPr>
                <w:rFonts w:ascii="Verdana" w:hAnsi="Verdana"/>
                <w:b/>
                <w:color w:val="FFFFFF"/>
                <w:sz w:val="18"/>
                <w:szCs w:val="18"/>
              </w:rPr>
              <w:t xml:space="preserve"> 201</w:t>
            </w:r>
            <w:r>
              <w:rPr>
                <w:rFonts w:ascii="Verdana" w:hAnsi="Verdana"/>
                <w:b/>
                <w:color w:val="FFFFFF"/>
                <w:sz w:val="18"/>
                <w:szCs w:val="18"/>
              </w:rPr>
              <w:t>9</w:t>
            </w:r>
            <w:r w:rsidRPr="003B4F95">
              <w:rPr>
                <w:rFonts w:ascii="Verdana" w:hAnsi="Verdana"/>
                <w:b/>
                <w:color w:val="FFFFFF"/>
                <w:sz w:val="18"/>
                <w:szCs w:val="18"/>
              </w:rPr>
              <w:t>)</w:t>
            </w:r>
          </w:p>
        </w:tc>
      </w:tr>
      <w:tr w:rsidR="00A029E7" w:rsidRPr="00AB6CBE" w14:paraId="16BE5CAE" w14:textId="77777777" w:rsidTr="00275FDA">
        <w:trPr>
          <w:trHeight w:val="311"/>
        </w:trPr>
        <w:tc>
          <w:tcPr>
            <w:tcW w:w="567" w:type="dxa"/>
            <w:vMerge w:val="restart"/>
            <w:shd w:val="clear" w:color="auto" w:fill="4C4C4C"/>
            <w:vAlign w:val="center"/>
          </w:tcPr>
          <w:p w14:paraId="276F8155" w14:textId="77777777" w:rsidR="00A029E7" w:rsidRPr="003B4F95" w:rsidRDefault="00A029E7" w:rsidP="00A029E7">
            <w:pPr>
              <w:spacing w:before="20" w:after="20" w:line="280" w:lineRule="atLeast"/>
              <w:rPr>
                <w:rFonts w:ascii="Verdana" w:hAnsi="Verdana"/>
                <w:b/>
                <w:color w:val="FFFFFF"/>
                <w:sz w:val="18"/>
                <w:szCs w:val="18"/>
              </w:rPr>
            </w:pPr>
          </w:p>
        </w:tc>
        <w:tc>
          <w:tcPr>
            <w:tcW w:w="1984" w:type="dxa"/>
            <w:gridSpan w:val="2"/>
            <w:vMerge w:val="restart"/>
            <w:shd w:val="clear" w:color="auto" w:fill="4C4C4C"/>
            <w:vAlign w:val="center"/>
          </w:tcPr>
          <w:p w14:paraId="7BC14E8D" w14:textId="49AE90E9" w:rsidR="00A029E7" w:rsidRPr="003B4F95" w:rsidRDefault="00A029E7" w:rsidP="00A029E7">
            <w:pPr>
              <w:spacing w:before="20" w:after="20" w:line="280" w:lineRule="atLeast"/>
              <w:rPr>
                <w:rFonts w:ascii="Verdana" w:hAnsi="Verdana"/>
                <w:b/>
                <w:color w:val="FFFFFF"/>
                <w:sz w:val="18"/>
                <w:szCs w:val="18"/>
              </w:rPr>
            </w:pPr>
            <w:r w:rsidRPr="003B4F95">
              <w:rPr>
                <w:rFonts w:ascii="Verdana" w:hAnsi="Verdana"/>
                <w:b/>
                <w:color w:val="FFFFFF"/>
                <w:sz w:val="18"/>
                <w:szCs w:val="18"/>
              </w:rPr>
              <w:t>Issuer</w:t>
            </w:r>
          </w:p>
        </w:tc>
        <w:tc>
          <w:tcPr>
            <w:tcW w:w="1985" w:type="dxa"/>
            <w:gridSpan w:val="2"/>
            <w:shd w:val="clear" w:color="auto" w:fill="4C4C4C"/>
            <w:vAlign w:val="center"/>
          </w:tcPr>
          <w:p w14:paraId="41EF6BA9" w14:textId="77777777" w:rsidR="00A029E7" w:rsidRPr="003B4F95" w:rsidRDefault="00A029E7" w:rsidP="00A029E7">
            <w:pPr>
              <w:spacing w:before="20" w:after="20" w:line="280" w:lineRule="atLeast"/>
              <w:jc w:val="center"/>
              <w:rPr>
                <w:rFonts w:ascii="Verdana" w:hAnsi="Verdana"/>
                <w:b/>
                <w:color w:val="FFFFFF"/>
                <w:sz w:val="18"/>
                <w:szCs w:val="18"/>
              </w:rPr>
            </w:pPr>
            <w:r>
              <w:rPr>
                <w:rFonts w:ascii="Verdana" w:hAnsi="Verdana"/>
                <w:b/>
                <w:color w:val="FFFFFF"/>
                <w:sz w:val="18"/>
                <w:szCs w:val="18"/>
              </w:rPr>
              <w:t>Number of Products</w:t>
            </w:r>
          </w:p>
        </w:tc>
        <w:tc>
          <w:tcPr>
            <w:tcW w:w="2835" w:type="dxa"/>
            <w:gridSpan w:val="2"/>
            <w:shd w:val="clear" w:color="auto" w:fill="4C4C4C"/>
            <w:vAlign w:val="center"/>
          </w:tcPr>
          <w:p w14:paraId="190216BA" w14:textId="77777777" w:rsidR="00A029E7" w:rsidRPr="003B4F95" w:rsidRDefault="00A029E7" w:rsidP="00A029E7">
            <w:pPr>
              <w:spacing w:before="20" w:after="20" w:line="280" w:lineRule="atLeast"/>
              <w:jc w:val="center"/>
              <w:rPr>
                <w:rFonts w:ascii="Verdana" w:hAnsi="Verdana"/>
                <w:b/>
                <w:color w:val="FFFFFF"/>
                <w:sz w:val="18"/>
                <w:szCs w:val="18"/>
              </w:rPr>
            </w:pPr>
            <w:r w:rsidRPr="003B4F95">
              <w:rPr>
                <w:rFonts w:ascii="Verdana" w:hAnsi="Verdana"/>
                <w:b/>
                <w:color w:val="FFFFFF"/>
                <w:sz w:val="18"/>
                <w:szCs w:val="18"/>
              </w:rPr>
              <w:t>Value (Market Cap) of Shares in Issue (Rm)</w:t>
            </w:r>
          </w:p>
        </w:tc>
        <w:tc>
          <w:tcPr>
            <w:tcW w:w="1843" w:type="dxa"/>
            <w:vMerge w:val="restart"/>
            <w:shd w:val="clear" w:color="auto" w:fill="4C4C4C"/>
            <w:vAlign w:val="center"/>
          </w:tcPr>
          <w:p w14:paraId="002E995E" w14:textId="77777777" w:rsidR="00A029E7" w:rsidRPr="003B4F95" w:rsidRDefault="00A029E7" w:rsidP="00275FDA">
            <w:pPr>
              <w:spacing w:before="20" w:after="60" w:line="280" w:lineRule="atLeast"/>
              <w:jc w:val="right"/>
              <w:rPr>
                <w:rFonts w:ascii="Verdana" w:hAnsi="Verdana"/>
                <w:b/>
                <w:color w:val="FFFFFF"/>
                <w:sz w:val="18"/>
                <w:szCs w:val="18"/>
              </w:rPr>
            </w:pPr>
            <w:r>
              <w:rPr>
                <w:rFonts w:ascii="Verdana" w:hAnsi="Verdana"/>
                <w:b/>
                <w:color w:val="FFFFFF"/>
                <w:sz w:val="18"/>
                <w:szCs w:val="18"/>
              </w:rPr>
              <w:t>Total Market Capitalisation</w:t>
            </w:r>
            <w:r w:rsidRPr="003B4F95">
              <w:rPr>
                <w:rFonts w:ascii="Verdana" w:hAnsi="Verdana"/>
                <w:b/>
                <w:color w:val="FFFFFF"/>
                <w:sz w:val="18"/>
                <w:szCs w:val="18"/>
              </w:rPr>
              <w:t xml:space="preserve"> (Rm)</w:t>
            </w:r>
          </w:p>
        </w:tc>
      </w:tr>
      <w:tr w:rsidR="00A029E7" w:rsidRPr="00AB6CBE" w14:paraId="2AB06EA7" w14:textId="77777777" w:rsidTr="00275FDA">
        <w:trPr>
          <w:trHeight w:val="311"/>
        </w:trPr>
        <w:tc>
          <w:tcPr>
            <w:tcW w:w="567" w:type="dxa"/>
            <w:vMerge/>
            <w:shd w:val="clear" w:color="auto" w:fill="4C4C4C"/>
            <w:vAlign w:val="center"/>
          </w:tcPr>
          <w:p w14:paraId="1FF6352A" w14:textId="77777777" w:rsidR="00A029E7" w:rsidRPr="003B4F95" w:rsidRDefault="00A029E7" w:rsidP="00A029E7">
            <w:pPr>
              <w:spacing w:before="20" w:after="20" w:line="280" w:lineRule="atLeast"/>
              <w:rPr>
                <w:rFonts w:ascii="Verdana" w:hAnsi="Verdana"/>
                <w:b/>
                <w:color w:val="FFFFFF"/>
                <w:sz w:val="18"/>
                <w:szCs w:val="18"/>
              </w:rPr>
            </w:pPr>
          </w:p>
        </w:tc>
        <w:tc>
          <w:tcPr>
            <w:tcW w:w="1984" w:type="dxa"/>
            <w:gridSpan w:val="2"/>
            <w:vMerge/>
            <w:shd w:val="clear" w:color="auto" w:fill="4C4C4C"/>
          </w:tcPr>
          <w:p w14:paraId="436245B6" w14:textId="49FB5311" w:rsidR="00A029E7" w:rsidRPr="003B4F95" w:rsidRDefault="00A029E7" w:rsidP="00A029E7">
            <w:pPr>
              <w:spacing w:before="20" w:after="20" w:line="280" w:lineRule="atLeast"/>
              <w:rPr>
                <w:rFonts w:ascii="Verdana" w:hAnsi="Verdana"/>
                <w:b/>
                <w:color w:val="FFFFFF"/>
                <w:sz w:val="18"/>
                <w:szCs w:val="18"/>
              </w:rPr>
            </w:pPr>
          </w:p>
        </w:tc>
        <w:tc>
          <w:tcPr>
            <w:tcW w:w="993" w:type="dxa"/>
            <w:shd w:val="clear" w:color="auto" w:fill="4C4C4C"/>
            <w:vAlign w:val="center"/>
          </w:tcPr>
          <w:p w14:paraId="2C191EAD" w14:textId="77777777" w:rsidR="00A029E7" w:rsidRPr="003B4F95" w:rsidRDefault="00A029E7" w:rsidP="00A029E7">
            <w:pPr>
              <w:spacing w:before="20" w:after="20" w:line="280" w:lineRule="atLeast"/>
              <w:jc w:val="center"/>
              <w:rPr>
                <w:rFonts w:ascii="Verdana" w:hAnsi="Verdana"/>
                <w:b/>
                <w:color w:val="FFFFFF"/>
                <w:sz w:val="18"/>
                <w:szCs w:val="18"/>
              </w:rPr>
            </w:pPr>
            <w:r w:rsidRPr="003B4F95">
              <w:rPr>
                <w:rFonts w:ascii="Verdana" w:hAnsi="Verdana"/>
                <w:b/>
                <w:color w:val="FFFFFF"/>
                <w:sz w:val="18"/>
                <w:szCs w:val="18"/>
              </w:rPr>
              <w:t>ETFs</w:t>
            </w:r>
          </w:p>
        </w:tc>
        <w:tc>
          <w:tcPr>
            <w:tcW w:w="992" w:type="dxa"/>
            <w:shd w:val="clear" w:color="auto" w:fill="4C4C4C"/>
            <w:vAlign w:val="center"/>
          </w:tcPr>
          <w:p w14:paraId="5ABA983B" w14:textId="77777777" w:rsidR="00A029E7" w:rsidRPr="003B4F95" w:rsidRDefault="00A029E7" w:rsidP="00A029E7">
            <w:pPr>
              <w:spacing w:before="20" w:after="20" w:line="280" w:lineRule="atLeast"/>
              <w:jc w:val="center"/>
              <w:rPr>
                <w:rFonts w:ascii="Verdana" w:hAnsi="Verdana"/>
                <w:b/>
                <w:color w:val="FFFFFF"/>
                <w:sz w:val="18"/>
                <w:szCs w:val="18"/>
              </w:rPr>
            </w:pPr>
            <w:r>
              <w:rPr>
                <w:rFonts w:ascii="Verdana" w:hAnsi="Verdana"/>
                <w:b/>
                <w:color w:val="FFFFFF"/>
                <w:sz w:val="18"/>
                <w:szCs w:val="18"/>
              </w:rPr>
              <w:t>ETN</w:t>
            </w:r>
            <w:r w:rsidRPr="003B4F95">
              <w:rPr>
                <w:rFonts w:ascii="Verdana" w:hAnsi="Verdana"/>
                <w:b/>
                <w:color w:val="FFFFFF"/>
                <w:sz w:val="18"/>
                <w:szCs w:val="18"/>
              </w:rPr>
              <w:t>s</w:t>
            </w:r>
          </w:p>
        </w:tc>
        <w:tc>
          <w:tcPr>
            <w:tcW w:w="1417" w:type="dxa"/>
            <w:shd w:val="clear" w:color="auto" w:fill="4C4C4C"/>
            <w:vAlign w:val="center"/>
          </w:tcPr>
          <w:p w14:paraId="436EF0EA" w14:textId="77777777" w:rsidR="00A029E7" w:rsidRPr="003B4F95" w:rsidRDefault="00A029E7" w:rsidP="00A029E7">
            <w:pPr>
              <w:spacing w:before="20" w:after="20" w:line="280" w:lineRule="atLeast"/>
              <w:jc w:val="right"/>
              <w:rPr>
                <w:rFonts w:ascii="Verdana" w:hAnsi="Verdana"/>
                <w:b/>
                <w:color w:val="FFFFFF"/>
                <w:sz w:val="18"/>
                <w:szCs w:val="18"/>
              </w:rPr>
            </w:pPr>
            <w:r w:rsidRPr="003B4F95">
              <w:rPr>
                <w:rFonts w:ascii="Verdana" w:hAnsi="Verdana"/>
                <w:b/>
                <w:color w:val="FFFFFF"/>
                <w:sz w:val="18"/>
                <w:szCs w:val="18"/>
              </w:rPr>
              <w:t>ETFs</w:t>
            </w:r>
          </w:p>
        </w:tc>
        <w:tc>
          <w:tcPr>
            <w:tcW w:w="1418" w:type="dxa"/>
            <w:shd w:val="clear" w:color="auto" w:fill="4C4C4C"/>
            <w:vAlign w:val="center"/>
          </w:tcPr>
          <w:p w14:paraId="121D26EA" w14:textId="77777777" w:rsidR="00A029E7" w:rsidRPr="003B4F95" w:rsidRDefault="00A029E7" w:rsidP="00A029E7">
            <w:pPr>
              <w:spacing w:before="20" w:after="20" w:line="280" w:lineRule="atLeast"/>
              <w:jc w:val="right"/>
              <w:rPr>
                <w:rFonts w:ascii="Verdana" w:hAnsi="Verdana"/>
                <w:b/>
                <w:color w:val="FFFFFF"/>
                <w:sz w:val="18"/>
                <w:szCs w:val="18"/>
              </w:rPr>
            </w:pPr>
            <w:r w:rsidRPr="003B4F95">
              <w:rPr>
                <w:rFonts w:ascii="Verdana" w:hAnsi="Verdana"/>
                <w:b/>
                <w:color w:val="FFFFFF"/>
                <w:sz w:val="18"/>
                <w:szCs w:val="18"/>
              </w:rPr>
              <w:t>ETNs</w:t>
            </w:r>
          </w:p>
        </w:tc>
        <w:tc>
          <w:tcPr>
            <w:tcW w:w="1843" w:type="dxa"/>
            <w:vMerge/>
            <w:shd w:val="clear" w:color="auto" w:fill="4C4C4C"/>
            <w:vAlign w:val="center"/>
          </w:tcPr>
          <w:p w14:paraId="036A93B0" w14:textId="77777777" w:rsidR="00A029E7" w:rsidRPr="003B4F95" w:rsidRDefault="00A029E7" w:rsidP="00275FDA">
            <w:pPr>
              <w:spacing w:before="60" w:after="60" w:line="300" w:lineRule="atLeast"/>
              <w:jc w:val="right"/>
              <w:rPr>
                <w:rFonts w:ascii="Verdana" w:hAnsi="Verdana"/>
                <w:b/>
                <w:color w:val="FFFFFF"/>
                <w:sz w:val="18"/>
                <w:szCs w:val="18"/>
              </w:rPr>
            </w:pPr>
          </w:p>
        </w:tc>
      </w:tr>
      <w:tr w:rsidR="00A029E7" w:rsidRPr="00AB6CBE" w14:paraId="223242D5" w14:textId="77777777" w:rsidTr="00275FDA">
        <w:tc>
          <w:tcPr>
            <w:tcW w:w="567" w:type="dxa"/>
            <w:shd w:val="clear" w:color="auto" w:fill="auto"/>
          </w:tcPr>
          <w:p w14:paraId="4D91BA7C" w14:textId="77777777" w:rsidR="00A029E7" w:rsidRPr="003B4F95" w:rsidRDefault="00A029E7" w:rsidP="00A029E7">
            <w:pPr>
              <w:spacing w:before="40" w:after="40" w:line="280" w:lineRule="atLeast"/>
              <w:rPr>
                <w:rFonts w:ascii="Verdana" w:hAnsi="Verdana"/>
                <w:color w:val="000000"/>
                <w:sz w:val="18"/>
                <w:szCs w:val="18"/>
              </w:rPr>
            </w:pPr>
            <w:r w:rsidRPr="003B4F95">
              <w:rPr>
                <w:rFonts w:ascii="Verdana" w:hAnsi="Verdana"/>
                <w:color w:val="000000"/>
                <w:sz w:val="18"/>
                <w:szCs w:val="18"/>
              </w:rPr>
              <w:t>1.</w:t>
            </w:r>
          </w:p>
        </w:tc>
        <w:tc>
          <w:tcPr>
            <w:tcW w:w="1984" w:type="dxa"/>
            <w:gridSpan w:val="2"/>
            <w:shd w:val="clear" w:color="auto" w:fill="auto"/>
          </w:tcPr>
          <w:p w14:paraId="6AABFB44" w14:textId="77777777" w:rsidR="00A029E7" w:rsidRPr="003B4F95" w:rsidRDefault="00A029E7" w:rsidP="00A029E7">
            <w:pPr>
              <w:spacing w:before="40" w:after="40" w:line="280" w:lineRule="atLeast"/>
              <w:rPr>
                <w:rFonts w:ascii="Verdana" w:hAnsi="Verdana"/>
                <w:color w:val="000000"/>
                <w:sz w:val="18"/>
                <w:szCs w:val="18"/>
              </w:rPr>
            </w:pPr>
            <w:r w:rsidRPr="003B4F95">
              <w:rPr>
                <w:rFonts w:ascii="Verdana" w:hAnsi="Verdana"/>
                <w:color w:val="000000"/>
                <w:sz w:val="18"/>
                <w:szCs w:val="18"/>
              </w:rPr>
              <w:t xml:space="preserve">Absa </w:t>
            </w:r>
            <w:r>
              <w:rPr>
                <w:rFonts w:ascii="Verdana" w:hAnsi="Verdana"/>
                <w:color w:val="000000"/>
                <w:sz w:val="18"/>
                <w:szCs w:val="18"/>
              </w:rPr>
              <w:t>Capital</w:t>
            </w:r>
          </w:p>
        </w:tc>
        <w:tc>
          <w:tcPr>
            <w:tcW w:w="993" w:type="dxa"/>
            <w:shd w:val="clear" w:color="auto" w:fill="auto"/>
            <w:vAlign w:val="center"/>
          </w:tcPr>
          <w:p w14:paraId="62D33FD6" w14:textId="459DF660" w:rsidR="00A029E7" w:rsidRPr="003B4F95" w:rsidRDefault="00A029E7" w:rsidP="00A029E7">
            <w:pPr>
              <w:spacing w:before="40" w:after="40" w:line="280" w:lineRule="atLeast"/>
              <w:jc w:val="center"/>
              <w:rPr>
                <w:rFonts w:ascii="Verdana" w:hAnsi="Verdana"/>
                <w:color w:val="000000"/>
                <w:sz w:val="18"/>
                <w:szCs w:val="18"/>
              </w:rPr>
            </w:pPr>
            <w:r>
              <w:rPr>
                <w:rFonts w:ascii="Verdana" w:hAnsi="Verdana"/>
                <w:color w:val="000000"/>
                <w:sz w:val="18"/>
                <w:szCs w:val="18"/>
              </w:rPr>
              <w:t>21</w:t>
            </w:r>
          </w:p>
        </w:tc>
        <w:tc>
          <w:tcPr>
            <w:tcW w:w="992" w:type="dxa"/>
            <w:shd w:val="clear" w:color="auto" w:fill="auto"/>
            <w:vAlign w:val="center"/>
          </w:tcPr>
          <w:p w14:paraId="5D44D04E" w14:textId="77777777" w:rsidR="00A029E7" w:rsidRPr="003B4F95" w:rsidRDefault="00A029E7" w:rsidP="00A029E7">
            <w:pPr>
              <w:spacing w:before="40" w:after="40" w:line="280" w:lineRule="atLeast"/>
              <w:jc w:val="center"/>
              <w:rPr>
                <w:rFonts w:ascii="Verdana" w:hAnsi="Verdana"/>
                <w:color w:val="000000"/>
                <w:sz w:val="18"/>
                <w:szCs w:val="18"/>
              </w:rPr>
            </w:pPr>
            <w:r>
              <w:rPr>
                <w:rFonts w:ascii="Verdana" w:hAnsi="Verdana"/>
                <w:color w:val="000000"/>
                <w:sz w:val="18"/>
                <w:szCs w:val="18"/>
              </w:rPr>
              <w:t>5</w:t>
            </w:r>
          </w:p>
        </w:tc>
        <w:tc>
          <w:tcPr>
            <w:tcW w:w="1417" w:type="dxa"/>
            <w:vAlign w:val="center"/>
          </w:tcPr>
          <w:p w14:paraId="33F818D4" w14:textId="3B1D04CF" w:rsidR="00A029E7" w:rsidRPr="003B4F95" w:rsidRDefault="00E34CCA" w:rsidP="00A029E7">
            <w:pPr>
              <w:spacing w:before="40" w:after="40" w:line="280" w:lineRule="atLeast"/>
              <w:jc w:val="right"/>
              <w:rPr>
                <w:rFonts w:ascii="Verdana" w:hAnsi="Verdana"/>
                <w:color w:val="000000"/>
                <w:sz w:val="18"/>
                <w:szCs w:val="18"/>
              </w:rPr>
            </w:pPr>
            <w:r>
              <w:rPr>
                <w:rFonts w:ascii="Verdana" w:hAnsi="Verdana"/>
                <w:color w:val="000000"/>
                <w:sz w:val="18"/>
                <w:szCs w:val="18"/>
              </w:rPr>
              <w:t>31 504,7</w:t>
            </w:r>
          </w:p>
        </w:tc>
        <w:tc>
          <w:tcPr>
            <w:tcW w:w="1418" w:type="dxa"/>
            <w:vAlign w:val="center"/>
          </w:tcPr>
          <w:p w14:paraId="4FDD4459" w14:textId="7F013E58" w:rsidR="00A029E7" w:rsidRPr="003B4F95" w:rsidRDefault="00E34CCA" w:rsidP="00A029E7">
            <w:pPr>
              <w:spacing w:before="40" w:after="40" w:line="280" w:lineRule="atLeast"/>
              <w:jc w:val="right"/>
              <w:rPr>
                <w:rFonts w:ascii="Verdana" w:hAnsi="Verdana"/>
                <w:color w:val="000000"/>
                <w:sz w:val="18"/>
                <w:szCs w:val="18"/>
              </w:rPr>
            </w:pPr>
            <w:r>
              <w:rPr>
                <w:rFonts w:ascii="Verdana" w:hAnsi="Verdana"/>
                <w:color w:val="000000"/>
                <w:sz w:val="18"/>
                <w:szCs w:val="18"/>
              </w:rPr>
              <w:t>535,1</w:t>
            </w:r>
          </w:p>
        </w:tc>
        <w:tc>
          <w:tcPr>
            <w:tcW w:w="1843" w:type="dxa"/>
            <w:vAlign w:val="center"/>
          </w:tcPr>
          <w:p w14:paraId="7693E12C" w14:textId="177937C1" w:rsidR="00A029E7" w:rsidRPr="003B4F95" w:rsidRDefault="00E71803" w:rsidP="00A029E7">
            <w:pPr>
              <w:spacing w:before="40" w:after="40" w:line="280" w:lineRule="atLeast"/>
              <w:jc w:val="right"/>
              <w:rPr>
                <w:rFonts w:ascii="Verdana" w:hAnsi="Verdana"/>
                <w:color w:val="000000"/>
                <w:sz w:val="18"/>
                <w:szCs w:val="18"/>
              </w:rPr>
            </w:pPr>
            <w:r>
              <w:rPr>
                <w:rFonts w:ascii="Verdana" w:hAnsi="Verdana"/>
                <w:color w:val="000000"/>
                <w:sz w:val="18"/>
                <w:szCs w:val="18"/>
              </w:rPr>
              <w:t>32 039,8</w:t>
            </w:r>
          </w:p>
        </w:tc>
      </w:tr>
      <w:tr w:rsidR="00A029E7" w:rsidRPr="00AB6CBE" w14:paraId="31DF6B36" w14:textId="77777777" w:rsidTr="00275FDA">
        <w:tc>
          <w:tcPr>
            <w:tcW w:w="567" w:type="dxa"/>
            <w:shd w:val="clear" w:color="auto" w:fill="auto"/>
          </w:tcPr>
          <w:p w14:paraId="7D3AA3F1" w14:textId="77777777" w:rsidR="00A029E7" w:rsidRPr="003B4F95" w:rsidRDefault="00A029E7" w:rsidP="00A029E7">
            <w:pPr>
              <w:spacing w:before="40" w:after="40" w:line="280" w:lineRule="atLeast"/>
              <w:rPr>
                <w:rFonts w:ascii="Verdana" w:hAnsi="Verdana"/>
                <w:color w:val="000000"/>
                <w:sz w:val="18"/>
                <w:szCs w:val="18"/>
              </w:rPr>
            </w:pPr>
            <w:r>
              <w:rPr>
                <w:rFonts w:ascii="Verdana" w:hAnsi="Verdana"/>
                <w:color w:val="000000"/>
                <w:sz w:val="18"/>
                <w:szCs w:val="18"/>
              </w:rPr>
              <w:t>2</w:t>
            </w:r>
            <w:r w:rsidRPr="003B4F95">
              <w:rPr>
                <w:rFonts w:ascii="Verdana" w:hAnsi="Verdana"/>
                <w:color w:val="000000"/>
                <w:sz w:val="18"/>
                <w:szCs w:val="18"/>
              </w:rPr>
              <w:t>.</w:t>
            </w:r>
          </w:p>
        </w:tc>
        <w:tc>
          <w:tcPr>
            <w:tcW w:w="1984" w:type="dxa"/>
            <w:gridSpan w:val="2"/>
            <w:shd w:val="clear" w:color="auto" w:fill="auto"/>
          </w:tcPr>
          <w:p w14:paraId="4DB04817" w14:textId="77777777" w:rsidR="00A029E7" w:rsidRPr="003B4F95" w:rsidRDefault="00A029E7" w:rsidP="00A029E7">
            <w:pPr>
              <w:spacing w:before="40" w:after="40" w:line="280" w:lineRule="atLeast"/>
              <w:rPr>
                <w:rFonts w:ascii="Verdana" w:hAnsi="Verdana"/>
                <w:color w:val="000000"/>
                <w:sz w:val="18"/>
                <w:szCs w:val="18"/>
              </w:rPr>
            </w:pPr>
            <w:r>
              <w:rPr>
                <w:rFonts w:ascii="Verdana" w:hAnsi="Verdana"/>
                <w:color w:val="000000"/>
                <w:sz w:val="18"/>
                <w:szCs w:val="18"/>
              </w:rPr>
              <w:t>Sygnia/Itrix</w:t>
            </w:r>
          </w:p>
        </w:tc>
        <w:tc>
          <w:tcPr>
            <w:tcW w:w="993" w:type="dxa"/>
            <w:shd w:val="clear" w:color="auto" w:fill="auto"/>
            <w:vAlign w:val="center"/>
          </w:tcPr>
          <w:p w14:paraId="7ECA77CA" w14:textId="77777777" w:rsidR="00A029E7" w:rsidRPr="003B4F95" w:rsidRDefault="00A029E7" w:rsidP="00A029E7">
            <w:pPr>
              <w:spacing w:before="40" w:after="40" w:line="280" w:lineRule="atLeast"/>
              <w:jc w:val="center"/>
              <w:rPr>
                <w:rFonts w:ascii="Verdana" w:hAnsi="Verdana"/>
                <w:color w:val="000000"/>
                <w:sz w:val="18"/>
                <w:szCs w:val="18"/>
              </w:rPr>
            </w:pPr>
            <w:r>
              <w:rPr>
                <w:rFonts w:ascii="Verdana" w:hAnsi="Verdana"/>
                <w:color w:val="000000"/>
                <w:sz w:val="18"/>
                <w:szCs w:val="18"/>
              </w:rPr>
              <w:t>10</w:t>
            </w:r>
          </w:p>
        </w:tc>
        <w:tc>
          <w:tcPr>
            <w:tcW w:w="992" w:type="dxa"/>
            <w:shd w:val="clear" w:color="auto" w:fill="auto"/>
            <w:vAlign w:val="center"/>
          </w:tcPr>
          <w:p w14:paraId="38626DA1" w14:textId="77777777" w:rsidR="00A029E7" w:rsidRPr="003B4F95" w:rsidRDefault="00A029E7" w:rsidP="00A029E7">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33148D09" w14:textId="5C245D16" w:rsidR="00A029E7" w:rsidRPr="003B4F95" w:rsidRDefault="00E34CCA" w:rsidP="00A029E7">
            <w:pPr>
              <w:spacing w:before="40" w:after="40" w:line="280" w:lineRule="atLeast"/>
              <w:jc w:val="right"/>
              <w:rPr>
                <w:rFonts w:ascii="Verdana" w:hAnsi="Verdana"/>
                <w:color w:val="000000"/>
                <w:sz w:val="18"/>
                <w:szCs w:val="18"/>
              </w:rPr>
            </w:pPr>
            <w:r>
              <w:rPr>
                <w:rFonts w:ascii="Verdana" w:hAnsi="Verdana"/>
                <w:color w:val="000000"/>
                <w:sz w:val="18"/>
                <w:szCs w:val="18"/>
              </w:rPr>
              <w:t>20 497,2</w:t>
            </w:r>
          </w:p>
        </w:tc>
        <w:tc>
          <w:tcPr>
            <w:tcW w:w="1418" w:type="dxa"/>
            <w:vAlign w:val="center"/>
          </w:tcPr>
          <w:p w14:paraId="36735A0D" w14:textId="6DC1BF76" w:rsidR="00A029E7" w:rsidRPr="003B4F95" w:rsidRDefault="00E34CCA" w:rsidP="00A029E7">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02527F04" w14:textId="6A8CEF86" w:rsidR="00A029E7" w:rsidRPr="003B4F95" w:rsidRDefault="00E71803" w:rsidP="00A029E7">
            <w:pPr>
              <w:spacing w:before="40" w:after="40" w:line="280" w:lineRule="atLeast"/>
              <w:jc w:val="right"/>
              <w:rPr>
                <w:rFonts w:ascii="Verdana" w:hAnsi="Verdana"/>
                <w:color w:val="000000"/>
                <w:sz w:val="18"/>
                <w:szCs w:val="18"/>
              </w:rPr>
            </w:pPr>
            <w:r>
              <w:rPr>
                <w:rFonts w:ascii="Verdana" w:hAnsi="Verdana"/>
                <w:color w:val="000000"/>
                <w:sz w:val="18"/>
                <w:szCs w:val="18"/>
              </w:rPr>
              <w:t>20 497,2</w:t>
            </w:r>
          </w:p>
        </w:tc>
      </w:tr>
      <w:tr w:rsidR="00A029E7" w:rsidRPr="00AB6CBE" w14:paraId="2C112B77" w14:textId="77777777" w:rsidTr="00275FDA">
        <w:tc>
          <w:tcPr>
            <w:tcW w:w="567" w:type="dxa"/>
            <w:shd w:val="clear" w:color="auto" w:fill="auto"/>
          </w:tcPr>
          <w:p w14:paraId="6320B748" w14:textId="77777777" w:rsidR="00A029E7" w:rsidRPr="003B4F95" w:rsidRDefault="00A029E7" w:rsidP="00A029E7">
            <w:pPr>
              <w:spacing w:before="40" w:after="40" w:line="280" w:lineRule="atLeast"/>
              <w:rPr>
                <w:rFonts w:ascii="Verdana" w:hAnsi="Verdana"/>
                <w:color w:val="000000"/>
                <w:sz w:val="18"/>
                <w:szCs w:val="18"/>
              </w:rPr>
            </w:pPr>
            <w:r>
              <w:rPr>
                <w:rFonts w:ascii="Verdana" w:hAnsi="Verdana"/>
                <w:color w:val="000000"/>
                <w:sz w:val="18"/>
                <w:szCs w:val="18"/>
              </w:rPr>
              <w:t>3</w:t>
            </w:r>
            <w:r w:rsidRPr="003B4F95">
              <w:rPr>
                <w:rFonts w:ascii="Verdana" w:hAnsi="Verdana"/>
                <w:color w:val="000000"/>
                <w:sz w:val="18"/>
                <w:szCs w:val="18"/>
              </w:rPr>
              <w:t>.</w:t>
            </w:r>
          </w:p>
        </w:tc>
        <w:tc>
          <w:tcPr>
            <w:tcW w:w="1984" w:type="dxa"/>
            <w:gridSpan w:val="2"/>
            <w:shd w:val="clear" w:color="auto" w:fill="auto"/>
          </w:tcPr>
          <w:p w14:paraId="79242CA1" w14:textId="77777777" w:rsidR="00A029E7" w:rsidRPr="003B4F95" w:rsidRDefault="00A029E7" w:rsidP="00A029E7">
            <w:pPr>
              <w:spacing w:before="40" w:after="40" w:line="280" w:lineRule="atLeast"/>
              <w:rPr>
                <w:rFonts w:ascii="Verdana" w:hAnsi="Verdana"/>
                <w:color w:val="000000"/>
                <w:sz w:val="18"/>
                <w:szCs w:val="18"/>
              </w:rPr>
            </w:pPr>
            <w:r w:rsidRPr="003B4F95">
              <w:rPr>
                <w:rFonts w:ascii="Verdana" w:hAnsi="Verdana"/>
                <w:color w:val="000000"/>
                <w:sz w:val="18"/>
                <w:szCs w:val="18"/>
              </w:rPr>
              <w:t>Satrix Managers</w:t>
            </w:r>
          </w:p>
        </w:tc>
        <w:tc>
          <w:tcPr>
            <w:tcW w:w="993" w:type="dxa"/>
            <w:shd w:val="clear" w:color="auto" w:fill="auto"/>
            <w:vAlign w:val="center"/>
          </w:tcPr>
          <w:p w14:paraId="7BD116C5" w14:textId="77777777" w:rsidR="00A029E7" w:rsidRPr="003B4F95" w:rsidRDefault="00A029E7" w:rsidP="00A029E7">
            <w:pPr>
              <w:spacing w:before="40" w:after="40" w:line="280" w:lineRule="atLeast"/>
              <w:jc w:val="center"/>
              <w:rPr>
                <w:rFonts w:ascii="Verdana" w:hAnsi="Verdana"/>
                <w:color w:val="000000"/>
                <w:sz w:val="18"/>
                <w:szCs w:val="18"/>
              </w:rPr>
            </w:pPr>
            <w:r>
              <w:rPr>
                <w:rFonts w:ascii="Verdana" w:hAnsi="Verdana"/>
                <w:color w:val="000000"/>
                <w:sz w:val="18"/>
                <w:szCs w:val="18"/>
              </w:rPr>
              <w:t>15</w:t>
            </w:r>
          </w:p>
        </w:tc>
        <w:tc>
          <w:tcPr>
            <w:tcW w:w="992" w:type="dxa"/>
            <w:shd w:val="clear" w:color="auto" w:fill="auto"/>
            <w:vAlign w:val="center"/>
          </w:tcPr>
          <w:p w14:paraId="1F636E31" w14:textId="77777777" w:rsidR="00A029E7" w:rsidRPr="003B4F95" w:rsidRDefault="00A029E7" w:rsidP="00A029E7">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4487138F" w14:textId="1FD02CB4" w:rsidR="00A029E7" w:rsidRPr="003B4F95" w:rsidRDefault="00E34CCA" w:rsidP="00A029E7">
            <w:pPr>
              <w:spacing w:before="40" w:after="40" w:line="280" w:lineRule="atLeast"/>
              <w:jc w:val="right"/>
              <w:rPr>
                <w:rFonts w:ascii="Verdana" w:hAnsi="Verdana"/>
                <w:color w:val="000000"/>
                <w:sz w:val="18"/>
                <w:szCs w:val="18"/>
              </w:rPr>
            </w:pPr>
            <w:r>
              <w:rPr>
                <w:rFonts w:ascii="Verdana" w:hAnsi="Verdana"/>
                <w:color w:val="000000"/>
                <w:sz w:val="18"/>
                <w:szCs w:val="18"/>
              </w:rPr>
              <w:t>19 023,7</w:t>
            </w:r>
          </w:p>
        </w:tc>
        <w:tc>
          <w:tcPr>
            <w:tcW w:w="1418" w:type="dxa"/>
            <w:vAlign w:val="center"/>
          </w:tcPr>
          <w:p w14:paraId="0D0632EA" w14:textId="3CDAF7B2" w:rsidR="00A029E7" w:rsidRPr="003B4F95" w:rsidRDefault="00E34CCA" w:rsidP="00A029E7">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41DBE5F1" w14:textId="0A6290E3" w:rsidR="00A029E7" w:rsidRPr="003B4F95" w:rsidRDefault="00E71803" w:rsidP="00A029E7">
            <w:pPr>
              <w:spacing w:before="40" w:after="40" w:line="280" w:lineRule="atLeast"/>
              <w:jc w:val="right"/>
              <w:rPr>
                <w:rFonts w:ascii="Verdana" w:hAnsi="Verdana"/>
                <w:color w:val="000000"/>
                <w:sz w:val="18"/>
                <w:szCs w:val="18"/>
              </w:rPr>
            </w:pPr>
            <w:r>
              <w:rPr>
                <w:rFonts w:ascii="Verdana" w:hAnsi="Verdana"/>
                <w:color w:val="000000"/>
                <w:sz w:val="18"/>
                <w:szCs w:val="18"/>
              </w:rPr>
              <w:t>19 023,7</w:t>
            </w:r>
          </w:p>
        </w:tc>
      </w:tr>
      <w:tr w:rsidR="00A029E7" w:rsidRPr="000435BE" w14:paraId="2C8E5907" w14:textId="77777777" w:rsidTr="00275FDA">
        <w:tc>
          <w:tcPr>
            <w:tcW w:w="567" w:type="dxa"/>
            <w:shd w:val="clear" w:color="auto" w:fill="auto"/>
          </w:tcPr>
          <w:p w14:paraId="29BD30B3" w14:textId="77777777" w:rsidR="00A029E7" w:rsidRPr="003B4F95" w:rsidRDefault="00A029E7" w:rsidP="00A029E7">
            <w:pPr>
              <w:spacing w:before="40" w:after="40" w:line="280" w:lineRule="atLeast"/>
              <w:rPr>
                <w:rFonts w:ascii="Verdana" w:hAnsi="Verdana"/>
                <w:color w:val="000000"/>
                <w:sz w:val="18"/>
                <w:szCs w:val="18"/>
              </w:rPr>
            </w:pPr>
            <w:r w:rsidRPr="003B4F95">
              <w:rPr>
                <w:rFonts w:ascii="Verdana" w:hAnsi="Verdana"/>
                <w:color w:val="000000"/>
                <w:sz w:val="18"/>
                <w:szCs w:val="18"/>
              </w:rPr>
              <w:t>4.</w:t>
            </w:r>
          </w:p>
        </w:tc>
        <w:tc>
          <w:tcPr>
            <w:tcW w:w="1984" w:type="dxa"/>
            <w:gridSpan w:val="2"/>
            <w:shd w:val="clear" w:color="auto" w:fill="auto"/>
          </w:tcPr>
          <w:p w14:paraId="5A020CE8" w14:textId="77777777" w:rsidR="00A029E7" w:rsidRPr="003B4F95" w:rsidRDefault="00A029E7" w:rsidP="00A029E7">
            <w:pPr>
              <w:spacing w:before="40" w:after="40" w:line="280" w:lineRule="atLeast"/>
              <w:rPr>
                <w:rFonts w:ascii="Verdana" w:hAnsi="Verdana"/>
                <w:color w:val="000000"/>
                <w:sz w:val="18"/>
                <w:szCs w:val="18"/>
              </w:rPr>
            </w:pPr>
            <w:r w:rsidRPr="003B4F95">
              <w:rPr>
                <w:rFonts w:ascii="Verdana" w:hAnsi="Verdana"/>
                <w:color w:val="000000"/>
                <w:sz w:val="18"/>
                <w:szCs w:val="18"/>
              </w:rPr>
              <w:t>Standard Bank</w:t>
            </w:r>
          </w:p>
        </w:tc>
        <w:tc>
          <w:tcPr>
            <w:tcW w:w="993" w:type="dxa"/>
            <w:shd w:val="clear" w:color="auto" w:fill="auto"/>
            <w:vAlign w:val="center"/>
          </w:tcPr>
          <w:p w14:paraId="1BB5FDDF" w14:textId="77777777" w:rsidR="00A029E7" w:rsidRPr="003B4F95" w:rsidRDefault="00A029E7" w:rsidP="00A029E7">
            <w:pPr>
              <w:spacing w:before="40" w:after="40" w:line="280" w:lineRule="atLeast"/>
              <w:jc w:val="center"/>
              <w:rPr>
                <w:rFonts w:ascii="Verdana" w:hAnsi="Verdana"/>
                <w:color w:val="000000"/>
                <w:sz w:val="18"/>
                <w:szCs w:val="18"/>
              </w:rPr>
            </w:pPr>
            <w:r>
              <w:rPr>
                <w:rFonts w:ascii="Verdana" w:hAnsi="Verdana"/>
                <w:color w:val="000000"/>
                <w:sz w:val="18"/>
                <w:szCs w:val="18"/>
              </w:rPr>
              <w:t>4</w:t>
            </w:r>
          </w:p>
        </w:tc>
        <w:tc>
          <w:tcPr>
            <w:tcW w:w="992" w:type="dxa"/>
            <w:shd w:val="clear" w:color="auto" w:fill="auto"/>
            <w:vAlign w:val="center"/>
          </w:tcPr>
          <w:p w14:paraId="2FD90278" w14:textId="77777777" w:rsidR="00A029E7" w:rsidRPr="003B4F95" w:rsidRDefault="00A029E7" w:rsidP="00A029E7">
            <w:pPr>
              <w:spacing w:before="40" w:after="40" w:line="280" w:lineRule="atLeast"/>
              <w:jc w:val="center"/>
              <w:rPr>
                <w:rFonts w:ascii="Verdana" w:hAnsi="Verdana"/>
                <w:color w:val="000000"/>
                <w:sz w:val="18"/>
                <w:szCs w:val="18"/>
              </w:rPr>
            </w:pPr>
            <w:r>
              <w:rPr>
                <w:rFonts w:ascii="Verdana" w:hAnsi="Verdana"/>
                <w:color w:val="000000"/>
                <w:sz w:val="18"/>
                <w:szCs w:val="18"/>
              </w:rPr>
              <w:t>10</w:t>
            </w:r>
          </w:p>
        </w:tc>
        <w:tc>
          <w:tcPr>
            <w:tcW w:w="1417" w:type="dxa"/>
            <w:vAlign w:val="center"/>
          </w:tcPr>
          <w:p w14:paraId="334080BF" w14:textId="55C7603C" w:rsidR="00A029E7" w:rsidRPr="003B4F95" w:rsidRDefault="00E34CCA" w:rsidP="00A029E7">
            <w:pPr>
              <w:spacing w:before="40" w:after="40" w:line="280" w:lineRule="atLeast"/>
              <w:jc w:val="right"/>
              <w:rPr>
                <w:rFonts w:ascii="Verdana" w:hAnsi="Verdana"/>
                <w:color w:val="000000"/>
                <w:sz w:val="18"/>
                <w:szCs w:val="18"/>
              </w:rPr>
            </w:pPr>
            <w:r>
              <w:rPr>
                <w:rFonts w:ascii="Verdana" w:hAnsi="Verdana"/>
                <w:color w:val="000000"/>
                <w:sz w:val="18"/>
                <w:szCs w:val="18"/>
              </w:rPr>
              <w:t>6 086,5</w:t>
            </w:r>
          </w:p>
        </w:tc>
        <w:tc>
          <w:tcPr>
            <w:tcW w:w="1418" w:type="dxa"/>
            <w:vAlign w:val="center"/>
          </w:tcPr>
          <w:p w14:paraId="4C980058" w14:textId="183A95EC" w:rsidR="00A029E7" w:rsidRPr="003B4F95" w:rsidRDefault="00E34CCA" w:rsidP="00A029E7">
            <w:pPr>
              <w:spacing w:before="40" w:after="40" w:line="280" w:lineRule="atLeast"/>
              <w:jc w:val="right"/>
              <w:rPr>
                <w:rFonts w:ascii="Verdana" w:hAnsi="Verdana"/>
                <w:color w:val="000000"/>
                <w:sz w:val="18"/>
                <w:szCs w:val="18"/>
              </w:rPr>
            </w:pPr>
            <w:r>
              <w:rPr>
                <w:rFonts w:ascii="Verdana" w:hAnsi="Verdana"/>
                <w:color w:val="000000"/>
                <w:sz w:val="18"/>
                <w:szCs w:val="18"/>
              </w:rPr>
              <w:t>1 924,9</w:t>
            </w:r>
          </w:p>
        </w:tc>
        <w:tc>
          <w:tcPr>
            <w:tcW w:w="1843" w:type="dxa"/>
            <w:vAlign w:val="center"/>
          </w:tcPr>
          <w:p w14:paraId="7E520B74" w14:textId="71B5F862" w:rsidR="00A029E7" w:rsidRPr="003B4F95" w:rsidRDefault="00E71803" w:rsidP="00A029E7">
            <w:pPr>
              <w:spacing w:before="40" w:after="40" w:line="280" w:lineRule="atLeast"/>
              <w:jc w:val="right"/>
              <w:rPr>
                <w:rFonts w:ascii="Verdana" w:hAnsi="Verdana"/>
                <w:color w:val="000000"/>
                <w:sz w:val="18"/>
                <w:szCs w:val="18"/>
              </w:rPr>
            </w:pPr>
            <w:r>
              <w:rPr>
                <w:rFonts w:ascii="Verdana" w:hAnsi="Verdana"/>
                <w:color w:val="000000"/>
                <w:sz w:val="18"/>
                <w:szCs w:val="18"/>
              </w:rPr>
              <w:t>8 011,4</w:t>
            </w:r>
          </w:p>
        </w:tc>
      </w:tr>
      <w:tr w:rsidR="00A029E7" w:rsidRPr="000435BE" w14:paraId="1E2F3294" w14:textId="77777777" w:rsidTr="00275FDA">
        <w:tc>
          <w:tcPr>
            <w:tcW w:w="567" w:type="dxa"/>
            <w:shd w:val="clear" w:color="auto" w:fill="auto"/>
          </w:tcPr>
          <w:p w14:paraId="6BFA2CFE" w14:textId="77777777" w:rsidR="00A029E7" w:rsidRPr="003B4F95" w:rsidRDefault="00A029E7" w:rsidP="00A029E7">
            <w:pPr>
              <w:spacing w:before="40" w:after="40" w:line="280" w:lineRule="atLeast"/>
              <w:rPr>
                <w:rFonts w:ascii="Verdana" w:hAnsi="Verdana"/>
                <w:color w:val="000000"/>
                <w:sz w:val="18"/>
                <w:szCs w:val="18"/>
              </w:rPr>
            </w:pPr>
            <w:r>
              <w:rPr>
                <w:rFonts w:ascii="Verdana" w:hAnsi="Verdana"/>
                <w:color w:val="000000"/>
                <w:sz w:val="18"/>
                <w:szCs w:val="18"/>
              </w:rPr>
              <w:t>5.</w:t>
            </w:r>
          </w:p>
        </w:tc>
        <w:tc>
          <w:tcPr>
            <w:tcW w:w="1984" w:type="dxa"/>
            <w:gridSpan w:val="2"/>
            <w:shd w:val="clear" w:color="auto" w:fill="auto"/>
          </w:tcPr>
          <w:p w14:paraId="779D091A" w14:textId="77777777" w:rsidR="00A029E7" w:rsidRPr="003B4F95" w:rsidRDefault="00A029E7" w:rsidP="00A029E7">
            <w:pPr>
              <w:spacing w:before="40" w:after="40" w:line="280" w:lineRule="atLeast"/>
              <w:rPr>
                <w:rFonts w:ascii="Verdana" w:hAnsi="Verdana"/>
                <w:color w:val="000000"/>
                <w:sz w:val="18"/>
                <w:szCs w:val="18"/>
              </w:rPr>
            </w:pPr>
            <w:r>
              <w:rPr>
                <w:rFonts w:ascii="Verdana" w:hAnsi="Verdana"/>
                <w:color w:val="000000"/>
                <w:sz w:val="18"/>
                <w:szCs w:val="18"/>
              </w:rPr>
              <w:t>Deutsche Bank</w:t>
            </w:r>
          </w:p>
        </w:tc>
        <w:tc>
          <w:tcPr>
            <w:tcW w:w="993" w:type="dxa"/>
            <w:shd w:val="clear" w:color="auto" w:fill="auto"/>
            <w:vAlign w:val="center"/>
          </w:tcPr>
          <w:p w14:paraId="5E731BF6" w14:textId="77777777" w:rsidR="00A029E7" w:rsidRPr="003B4F95" w:rsidRDefault="00A029E7" w:rsidP="00A029E7">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01048D67" w14:textId="77777777" w:rsidR="00A029E7" w:rsidRPr="003B4F95" w:rsidRDefault="00A029E7" w:rsidP="00A029E7">
            <w:pPr>
              <w:spacing w:before="40" w:after="40" w:line="280" w:lineRule="atLeast"/>
              <w:jc w:val="center"/>
              <w:rPr>
                <w:rFonts w:ascii="Verdana" w:hAnsi="Verdana"/>
                <w:color w:val="000000"/>
                <w:sz w:val="18"/>
                <w:szCs w:val="18"/>
              </w:rPr>
            </w:pPr>
            <w:r>
              <w:rPr>
                <w:rFonts w:ascii="Verdana" w:hAnsi="Verdana"/>
                <w:color w:val="000000"/>
                <w:sz w:val="18"/>
                <w:szCs w:val="18"/>
              </w:rPr>
              <w:t>3</w:t>
            </w:r>
          </w:p>
        </w:tc>
        <w:tc>
          <w:tcPr>
            <w:tcW w:w="1417" w:type="dxa"/>
            <w:vAlign w:val="center"/>
          </w:tcPr>
          <w:p w14:paraId="26B16483" w14:textId="5CC3CDBD" w:rsidR="00A029E7" w:rsidRPr="003B4F95" w:rsidRDefault="00E34CCA" w:rsidP="00A029E7">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7E69C2FD" w14:textId="11109F54" w:rsidR="00A029E7" w:rsidRPr="003B4F95" w:rsidRDefault="00E34CCA" w:rsidP="00A029E7">
            <w:pPr>
              <w:spacing w:before="40" w:after="40" w:line="280" w:lineRule="atLeast"/>
              <w:jc w:val="right"/>
              <w:rPr>
                <w:rFonts w:ascii="Verdana" w:hAnsi="Verdana"/>
                <w:color w:val="000000"/>
                <w:sz w:val="18"/>
                <w:szCs w:val="18"/>
              </w:rPr>
            </w:pPr>
            <w:r>
              <w:rPr>
                <w:rFonts w:ascii="Verdana" w:hAnsi="Verdana"/>
                <w:color w:val="000000"/>
                <w:sz w:val="18"/>
                <w:szCs w:val="18"/>
              </w:rPr>
              <w:t>5 230,0</w:t>
            </w:r>
          </w:p>
        </w:tc>
        <w:tc>
          <w:tcPr>
            <w:tcW w:w="1843" w:type="dxa"/>
            <w:vAlign w:val="center"/>
          </w:tcPr>
          <w:p w14:paraId="3A6A619A" w14:textId="5ABC0695" w:rsidR="00A029E7" w:rsidRPr="003B4F95" w:rsidRDefault="00E71803" w:rsidP="00A029E7">
            <w:pPr>
              <w:spacing w:before="40" w:after="40" w:line="280" w:lineRule="atLeast"/>
              <w:jc w:val="right"/>
              <w:rPr>
                <w:rFonts w:ascii="Verdana" w:hAnsi="Verdana"/>
                <w:color w:val="000000"/>
                <w:sz w:val="18"/>
                <w:szCs w:val="18"/>
              </w:rPr>
            </w:pPr>
            <w:r>
              <w:rPr>
                <w:rFonts w:ascii="Verdana" w:hAnsi="Verdana"/>
                <w:color w:val="000000"/>
                <w:sz w:val="18"/>
                <w:szCs w:val="18"/>
              </w:rPr>
              <w:t>5 230,0</w:t>
            </w:r>
          </w:p>
        </w:tc>
      </w:tr>
      <w:tr w:rsidR="00A029E7" w:rsidRPr="000435BE" w14:paraId="4B0E4E93" w14:textId="77777777" w:rsidTr="00275FDA">
        <w:tc>
          <w:tcPr>
            <w:tcW w:w="567" w:type="dxa"/>
            <w:shd w:val="clear" w:color="auto" w:fill="auto"/>
          </w:tcPr>
          <w:p w14:paraId="13B4253F" w14:textId="0076E03D" w:rsidR="00A029E7" w:rsidRDefault="007640DF" w:rsidP="00A029E7">
            <w:pPr>
              <w:spacing w:before="40" w:after="40" w:line="280" w:lineRule="atLeast"/>
              <w:rPr>
                <w:rFonts w:ascii="Verdana" w:hAnsi="Verdana"/>
                <w:color w:val="000000"/>
                <w:sz w:val="18"/>
                <w:szCs w:val="18"/>
              </w:rPr>
            </w:pPr>
            <w:r>
              <w:rPr>
                <w:rFonts w:ascii="Verdana" w:hAnsi="Verdana"/>
                <w:color w:val="000000"/>
                <w:sz w:val="18"/>
                <w:szCs w:val="18"/>
              </w:rPr>
              <w:t>6</w:t>
            </w:r>
            <w:r w:rsidR="00A029E7" w:rsidRPr="003B4F95">
              <w:rPr>
                <w:rFonts w:ascii="Verdana" w:hAnsi="Verdana"/>
                <w:color w:val="000000"/>
                <w:sz w:val="18"/>
                <w:szCs w:val="18"/>
              </w:rPr>
              <w:t>.</w:t>
            </w:r>
          </w:p>
        </w:tc>
        <w:tc>
          <w:tcPr>
            <w:tcW w:w="1984" w:type="dxa"/>
            <w:gridSpan w:val="2"/>
            <w:shd w:val="clear" w:color="auto" w:fill="auto"/>
          </w:tcPr>
          <w:p w14:paraId="01058E53" w14:textId="77777777" w:rsidR="00A029E7" w:rsidRPr="003B4F95" w:rsidRDefault="00A029E7" w:rsidP="00A029E7">
            <w:pPr>
              <w:spacing w:before="40" w:after="40" w:line="280" w:lineRule="atLeast"/>
              <w:rPr>
                <w:rFonts w:ascii="Verdana" w:hAnsi="Verdana"/>
                <w:color w:val="000000"/>
                <w:sz w:val="18"/>
                <w:szCs w:val="18"/>
              </w:rPr>
            </w:pPr>
            <w:r w:rsidRPr="003B4F95">
              <w:rPr>
                <w:rFonts w:ascii="Verdana" w:hAnsi="Verdana"/>
                <w:color w:val="000000"/>
                <w:sz w:val="18"/>
                <w:szCs w:val="18"/>
              </w:rPr>
              <w:t>CoreShares</w:t>
            </w:r>
          </w:p>
        </w:tc>
        <w:tc>
          <w:tcPr>
            <w:tcW w:w="993" w:type="dxa"/>
            <w:shd w:val="clear" w:color="auto" w:fill="auto"/>
            <w:vAlign w:val="center"/>
          </w:tcPr>
          <w:p w14:paraId="4D31AE9D" w14:textId="2A164485" w:rsidR="00A029E7" w:rsidRPr="003B4F95" w:rsidRDefault="00A029E7" w:rsidP="00A029E7">
            <w:pPr>
              <w:spacing w:before="40" w:after="40" w:line="280" w:lineRule="atLeast"/>
              <w:jc w:val="center"/>
              <w:rPr>
                <w:rFonts w:ascii="Verdana" w:hAnsi="Verdana"/>
                <w:color w:val="000000"/>
                <w:sz w:val="18"/>
                <w:szCs w:val="18"/>
              </w:rPr>
            </w:pPr>
            <w:r>
              <w:rPr>
                <w:rFonts w:ascii="Verdana" w:hAnsi="Verdana"/>
                <w:color w:val="000000"/>
                <w:sz w:val="18"/>
                <w:szCs w:val="18"/>
              </w:rPr>
              <w:t>9</w:t>
            </w:r>
          </w:p>
        </w:tc>
        <w:tc>
          <w:tcPr>
            <w:tcW w:w="992" w:type="dxa"/>
            <w:shd w:val="clear" w:color="auto" w:fill="auto"/>
            <w:vAlign w:val="center"/>
          </w:tcPr>
          <w:p w14:paraId="06049A2D" w14:textId="77777777" w:rsidR="00A029E7" w:rsidRPr="003B4F95" w:rsidRDefault="00A029E7" w:rsidP="00A029E7">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799B66D1" w14:textId="32A7AA6B" w:rsidR="00A029E7" w:rsidRPr="003B4F95" w:rsidRDefault="00E34CCA" w:rsidP="00A029E7">
            <w:pPr>
              <w:spacing w:before="40" w:after="40" w:line="280" w:lineRule="atLeast"/>
              <w:jc w:val="right"/>
              <w:rPr>
                <w:rFonts w:ascii="Verdana" w:hAnsi="Verdana"/>
                <w:color w:val="000000"/>
                <w:sz w:val="18"/>
                <w:szCs w:val="18"/>
              </w:rPr>
            </w:pPr>
            <w:r>
              <w:rPr>
                <w:rFonts w:ascii="Verdana" w:hAnsi="Verdana"/>
                <w:color w:val="000000"/>
                <w:sz w:val="18"/>
                <w:szCs w:val="18"/>
              </w:rPr>
              <w:t>4 406,4</w:t>
            </w:r>
          </w:p>
        </w:tc>
        <w:tc>
          <w:tcPr>
            <w:tcW w:w="1418" w:type="dxa"/>
            <w:vAlign w:val="center"/>
          </w:tcPr>
          <w:p w14:paraId="59C46226" w14:textId="45BD2412" w:rsidR="00A029E7" w:rsidRPr="003B4F95" w:rsidRDefault="00E34CCA" w:rsidP="00A029E7">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5DF64051" w14:textId="77FC8158" w:rsidR="00A029E7" w:rsidRPr="003B4F95" w:rsidRDefault="00E71803" w:rsidP="00A029E7">
            <w:pPr>
              <w:spacing w:before="40" w:after="40" w:line="280" w:lineRule="atLeast"/>
              <w:jc w:val="right"/>
              <w:rPr>
                <w:rFonts w:ascii="Verdana" w:hAnsi="Verdana"/>
                <w:color w:val="000000"/>
                <w:sz w:val="18"/>
                <w:szCs w:val="18"/>
              </w:rPr>
            </w:pPr>
            <w:r>
              <w:rPr>
                <w:rFonts w:ascii="Verdana" w:hAnsi="Verdana"/>
                <w:color w:val="000000"/>
                <w:sz w:val="18"/>
                <w:szCs w:val="18"/>
              </w:rPr>
              <w:t>4 406,4</w:t>
            </w:r>
          </w:p>
        </w:tc>
      </w:tr>
      <w:tr w:rsidR="007640DF" w:rsidRPr="000435BE" w14:paraId="4EE9F78B" w14:textId="77777777" w:rsidTr="00275FDA">
        <w:tc>
          <w:tcPr>
            <w:tcW w:w="567" w:type="dxa"/>
            <w:shd w:val="clear" w:color="auto" w:fill="auto"/>
          </w:tcPr>
          <w:p w14:paraId="605E81FD" w14:textId="6DFF790E" w:rsidR="007640DF" w:rsidRDefault="007640DF" w:rsidP="007640DF">
            <w:pPr>
              <w:spacing w:before="40" w:after="40" w:line="280" w:lineRule="atLeast"/>
              <w:rPr>
                <w:rFonts w:ascii="Verdana" w:hAnsi="Verdana"/>
                <w:color w:val="000000"/>
                <w:sz w:val="18"/>
                <w:szCs w:val="18"/>
              </w:rPr>
            </w:pPr>
            <w:r>
              <w:rPr>
                <w:rFonts w:ascii="Verdana" w:hAnsi="Verdana"/>
                <w:color w:val="000000"/>
                <w:sz w:val="18"/>
                <w:szCs w:val="18"/>
              </w:rPr>
              <w:t>7.</w:t>
            </w:r>
          </w:p>
        </w:tc>
        <w:tc>
          <w:tcPr>
            <w:tcW w:w="1984" w:type="dxa"/>
            <w:gridSpan w:val="2"/>
            <w:shd w:val="clear" w:color="auto" w:fill="auto"/>
          </w:tcPr>
          <w:p w14:paraId="24ADBE20" w14:textId="7EE34946" w:rsidR="007640DF" w:rsidRPr="003B4F95" w:rsidRDefault="007640DF" w:rsidP="007640DF">
            <w:pPr>
              <w:spacing w:before="40" w:after="40" w:line="280" w:lineRule="atLeast"/>
              <w:rPr>
                <w:rFonts w:ascii="Verdana" w:hAnsi="Verdana"/>
                <w:color w:val="000000"/>
                <w:sz w:val="18"/>
                <w:szCs w:val="18"/>
              </w:rPr>
            </w:pPr>
            <w:r w:rsidRPr="003B4F95">
              <w:rPr>
                <w:rFonts w:ascii="Verdana" w:hAnsi="Verdana"/>
                <w:color w:val="000000"/>
                <w:sz w:val="18"/>
                <w:szCs w:val="18"/>
              </w:rPr>
              <w:t>Stan</w:t>
            </w:r>
            <w:r>
              <w:rPr>
                <w:rFonts w:ascii="Verdana" w:hAnsi="Verdana"/>
                <w:color w:val="000000"/>
                <w:sz w:val="18"/>
                <w:szCs w:val="18"/>
              </w:rPr>
              <w:t>lib</w:t>
            </w:r>
          </w:p>
        </w:tc>
        <w:tc>
          <w:tcPr>
            <w:tcW w:w="993" w:type="dxa"/>
            <w:shd w:val="clear" w:color="auto" w:fill="auto"/>
            <w:vAlign w:val="center"/>
          </w:tcPr>
          <w:p w14:paraId="386384BA" w14:textId="707F0CF8" w:rsidR="007640DF" w:rsidRDefault="007640DF" w:rsidP="007640DF">
            <w:pPr>
              <w:spacing w:before="40" w:after="40" w:line="280" w:lineRule="atLeast"/>
              <w:jc w:val="center"/>
              <w:rPr>
                <w:rFonts w:ascii="Verdana" w:hAnsi="Verdana"/>
                <w:color w:val="000000"/>
                <w:sz w:val="18"/>
                <w:szCs w:val="18"/>
              </w:rPr>
            </w:pPr>
            <w:r>
              <w:rPr>
                <w:rFonts w:ascii="Verdana" w:hAnsi="Verdana"/>
                <w:color w:val="000000"/>
                <w:sz w:val="18"/>
                <w:szCs w:val="18"/>
              </w:rPr>
              <w:t>9</w:t>
            </w:r>
          </w:p>
        </w:tc>
        <w:tc>
          <w:tcPr>
            <w:tcW w:w="992" w:type="dxa"/>
            <w:shd w:val="clear" w:color="auto" w:fill="auto"/>
            <w:vAlign w:val="center"/>
          </w:tcPr>
          <w:p w14:paraId="5CE7A8C3" w14:textId="552180C0" w:rsidR="007640DF" w:rsidRDefault="007640DF" w:rsidP="007640DF">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3E422ED6" w14:textId="5343F05E" w:rsidR="007640DF" w:rsidRDefault="00E34CCA" w:rsidP="007640DF">
            <w:pPr>
              <w:spacing w:before="40" w:after="40" w:line="280" w:lineRule="atLeast"/>
              <w:jc w:val="right"/>
              <w:rPr>
                <w:rFonts w:ascii="Verdana" w:hAnsi="Verdana"/>
                <w:color w:val="000000"/>
                <w:sz w:val="18"/>
                <w:szCs w:val="18"/>
              </w:rPr>
            </w:pPr>
            <w:r>
              <w:rPr>
                <w:rFonts w:ascii="Verdana" w:hAnsi="Verdana"/>
                <w:color w:val="000000"/>
                <w:sz w:val="18"/>
                <w:szCs w:val="18"/>
              </w:rPr>
              <w:t>3 227,0</w:t>
            </w:r>
          </w:p>
        </w:tc>
        <w:tc>
          <w:tcPr>
            <w:tcW w:w="1418" w:type="dxa"/>
            <w:vAlign w:val="center"/>
          </w:tcPr>
          <w:p w14:paraId="0C0B9419" w14:textId="041D961E" w:rsidR="007640DF" w:rsidRDefault="00E34CCA" w:rsidP="007640DF">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333D3A15" w14:textId="14B8CD0E" w:rsidR="007640DF" w:rsidRDefault="00E71803" w:rsidP="007640DF">
            <w:pPr>
              <w:spacing w:before="40" w:after="40" w:line="280" w:lineRule="atLeast"/>
              <w:jc w:val="right"/>
              <w:rPr>
                <w:rFonts w:ascii="Verdana" w:hAnsi="Verdana"/>
                <w:color w:val="000000"/>
                <w:sz w:val="18"/>
                <w:szCs w:val="18"/>
              </w:rPr>
            </w:pPr>
            <w:r>
              <w:rPr>
                <w:rFonts w:ascii="Verdana" w:hAnsi="Verdana"/>
                <w:color w:val="000000"/>
                <w:sz w:val="18"/>
                <w:szCs w:val="18"/>
              </w:rPr>
              <w:t>2 817,7</w:t>
            </w:r>
          </w:p>
        </w:tc>
      </w:tr>
      <w:tr w:rsidR="007640DF" w:rsidRPr="000435BE" w14:paraId="2A28077D" w14:textId="77777777" w:rsidTr="00275FDA">
        <w:tc>
          <w:tcPr>
            <w:tcW w:w="567" w:type="dxa"/>
            <w:shd w:val="clear" w:color="auto" w:fill="auto"/>
          </w:tcPr>
          <w:p w14:paraId="7EE92D7F" w14:textId="697DB4F2" w:rsidR="007640DF" w:rsidRDefault="007640DF" w:rsidP="007640DF">
            <w:pPr>
              <w:spacing w:before="40" w:after="40" w:line="280" w:lineRule="atLeast"/>
              <w:rPr>
                <w:rFonts w:ascii="Verdana" w:hAnsi="Verdana"/>
                <w:color w:val="000000"/>
                <w:sz w:val="18"/>
                <w:szCs w:val="18"/>
              </w:rPr>
            </w:pPr>
            <w:r>
              <w:rPr>
                <w:rFonts w:ascii="Verdana" w:hAnsi="Verdana"/>
                <w:color w:val="000000"/>
                <w:sz w:val="18"/>
                <w:szCs w:val="18"/>
              </w:rPr>
              <w:t>8.</w:t>
            </w:r>
          </w:p>
        </w:tc>
        <w:tc>
          <w:tcPr>
            <w:tcW w:w="1984" w:type="dxa"/>
            <w:gridSpan w:val="2"/>
            <w:shd w:val="clear" w:color="auto" w:fill="auto"/>
          </w:tcPr>
          <w:p w14:paraId="52836802" w14:textId="77777777" w:rsidR="007640DF" w:rsidRPr="003B4F95" w:rsidRDefault="007640DF" w:rsidP="007640DF">
            <w:pPr>
              <w:spacing w:before="40" w:after="40" w:line="280" w:lineRule="atLeast"/>
              <w:rPr>
                <w:rFonts w:ascii="Verdana" w:hAnsi="Verdana"/>
                <w:color w:val="000000"/>
                <w:sz w:val="18"/>
                <w:szCs w:val="18"/>
              </w:rPr>
            </w:pPr>
            <w:r w:rsidRPr="003B4F95">
              <w:rPr>
                <w:rFonts w:ascii="Verdana" w:hAnsi="Verdana"/>
                <w:color w:val="000000"/>
                <w:sz w:val="18"/>
                <w:szCs w:val="18"/>
              </w:rPr>
              <w:t>Ashburton</w:t>
            </w:r>
          </w:p>
        </w:tc>
        <w:tc>
          <w:tcPr>
            <w:tcW w:w="993" w:type="dxa"/>
            <w:shd w:val="clear" w:color="auto" w:fill="auto"/>
            <w:vAlign w:val="center"/>
          </w:tcPr>
          <w:p w14:paraId="1639ECC5" w14:textId="77777777" w:rsidR="007640DF" w:rsidRDefault="007640DF" w:rsidP="007640DF">
            <w:pPr>
              <w:spacing w:before="40" w:after="40" w:line="280" w:lineRule="atLeast"/>
              <w:jc w:val="center"/>
              <w:rPr>
                <w:rFonts w:ascii="Verdana" w:hAnsi="Verdana"/>
                <w:color w:val="000000"/>
                <w:sz w:val="18"/>
                <w:szCs w:val="18"/>
              </w:rPr>
            </w:pPr>
            <w:r>
              <w:rPr>
                <w:rFonts w:ascii="Verdana" w:hAnsi="Verdana"/>
                <w:color w:val="000000"/>
                <w:sz w:val="18"/>
                <w:szCs w:val="18"/>
              </w:rPr>
              <w:t>5</w:t>
            </w:r>
          </w:p>
        </w:tc>
        <w:tc>
          <w:tcPr>
            <w:tcW w:w="992" w:type="dxa"/>
            <w:shd w:val="clear" w:color="auto" w:fill="auto"/>
            <w:vAlign w:val="center"/>
          </w:tcPr>
          <w:p w14:paraId="473D0574" w14:textId="77777777" w:rsidR="007640DF" w:rsidRDefault="007640DF" w:rsidP="007640DF">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0B06FC59" w14:textId="237FFBAF" w:rsidR="007640DF" w:rsidRDefault="00E34CCA" w:rsidP="007640DF">
            <w:pPr>
              <w:spacing w:before="40" w:after="40" w:line="280" w:lineRule="atLeast"/>
              <w:jc w:val="right"/>
              <w:rPr>
                <w:rFonts w:ascii="Verdana" w:hAnsi="Verdana"/>
                <w:color w:val="000000"/>
                <w:sz w:val="18"/>
                <w:szCs w:val="18"/>
              </w:rPr>
            </w:pPr>
            <w:r>
              <w:rPr>
                <w:rFonts w:ascii="Verdana" w:hAnsi="Verdana"/>
                <w:color w:val="000000"/>
                <w:sz w:val="18"/>
                <w:szCs w:val="18"/>
              </w:rPr>
              <w:t>2 817,7</w:t>
            </w:r>
          </w:p>
        </w:tc>
        <w:tc>
          <w:tcPr>
            <w:tcW w:w="1418" w:type="dxa"/>
            <w:vAlign w:val="center"/>
          </w:tcPr>
          <w:p w14:paraId="260BA791" w14:textId="7E14ACA0" w:rsidR="007640DF" w:rsidRDefault="00E34CCA" w:rsidP="007640DF">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28283939" w14:textId="623743EA" w:rsidR="007640DF" w:rsidRDefault="00E71803" w:rsidP="007640DF">
            <w:pPr>
              <w:spacing w:before="40" w:after="40" w:line="280" w:lineRule="atLeast"/>
              <w:jc w:val="right"/>
              <w:rPr>
                <w:rFonts w:ascii="Verdana" w:hAnsi="Verdana"/>
                <w:color w:val="000000"/>
                <w:sz w:val="18"/>
                <w:szCs w:val="18"/>
              </w:rPr>
            </w:pPr>
            <w:r>
              <w:rPr>
                <w:rFonts w:ascii="Verdana" w:hAnsi="Verdana"/>
                <w:color w:val="000000"/>
                <w:sz w:val="18"/>
                <w:szCs w:val="18"/>
              </w:rPr>
              <w:t>3 227,0</w:t>
            </w:r>
          </w:p>
        </w:tc>
      </w:tr>
      <w:tr w:rsidR="007640DF" w:rsidRPr="000435BE" w14:paraId="5C40944C" w14:textId="77777777" w:rsidTr="00275FDA">
        <w:tc>
          <w:tcPr>
            <w:tcW w:w="567" w:type="dxa"/>
            <w:shd w:val="clear" w:color="auto" w:fill="auto"/>
          </w:tcPr>
          <w:p w14:paraId="7939F685" w14:textId="77777777" w:rsidR="007640DF" w:rsidRDefault="007640DF" w:rsidP="007640DF">
            <w:pPr>
              <w:spacing w:before="40" w:after="40" w:line="280" w:lineRule="atLeast"/>
              <w:rPr>
                <w:rFonts w:ascii="Verdana" w:hAnsi="Verdana"/>
                <w:color w:val="000000"/>
                <w:sz w:val="18"/>
                <w:szCs w:val="18"/>
              </w:rPr>
            </w:pPr>
            <w:r>
              <w:rPr>
                <w:rFonts w:ascii="Verdana" w:hAnsi="Verdana"/>
                <w:color w:val="000000"/>
                <w:sz w:val="18"/>
                <w:szCs w:val="18"/>
              </w:rPr>
              <w:t>9.</w:t>
            </w:r>
          </w:p>
        </w:tc>
        <w:tc>
          <w:tcPr>
            <w:tcW w:w="1984" w:type="dxa"/>
            <w:gridSpan w:val="2"/>
            <w:shd w:val="clear" w:color="auto" w:fill="auto"/>
          </w:tcPr>
          <w:p w14:paraId="3FB336DD" w14:textId="77777777" w:rsidR="007640DF" w:rsidRPr="003B4F95" w:rsidRDefault="007640DF" w:rsidP="007640DF">
            <w:pPr>
              <w:spacing w:before="40" w:after="40" w:line="280" w:lineRule="atLeast"/>
              <w:rPr>
                <w:rFonts w:ascii="Verdana" w:hAnsi="Verdana"/>
                <w:color w:val="000000"/>
                <w:sz w:val="18"/>
                <w:szCs w:val="18"/>
              </w:rPr>
            </w:pPr>
            <w:r w:rsidRPr="003B4F95">
              <w:rPr>
                <w:rFonts w:ascii="Verdana" w:hAnsi="Verdana"/>
                <w:color w:val="000000"/>
                <w:sz w:val="18"/>
                <w:szCs w:val="18"/>
              </w:rPr>
              <w:t>Investec</w:t>
            </w:r>
          </w:p>
        </w:tc>
        <w:tc>
          <w:tcPr>
            <w:tcW w:w="993" w:type="dxa"/>
            <w:shd w:val="clear" w:color="auto" w:fill="auto"/>
            <w:vAlign w:val="center"/>
          </w:tcPr>
          <w:p w14:paraId="594CA183" w14:textId="77777777" w:rsidR="007640DF" w:rsidRDefault="007640DF" w:rsidP="007640DF">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6BDD07A3" w14:textId="77777777" w:rsidR="007640DF" w:rsidRPr="003B4F95" w:rsidRDefault="007640DF" w:rsidP="007640DF">
            <w:pPr>
              <w:spacing w:before="40" w:after="40" w:line="280" w:lineRule="atLeast"/>
              <w:jc w:val="center"/>
              <w:rPr>
                <w:rFonts w:ascii="Verdana" w:hAnsi="Verdana"/>
                <w:color w:val="000000"/>
                <w:sz w:val="18"/>
                <w:szCs w:val="18"/>
              </w:rPr>
            </w:pPr>
            <w:r>
              <w:rPr>
                <w:rFonts w:ascii="Verdana" w:hAnsi="Verdana"/>
                <w:color w:val="000000"/>
                <w:sz w:val="18"/>
                <w:szCs w:val="18"/>
              </w:rPr>
              <w:t>2</w:t>
            </w:r>
          </w:p>
        </w:tc>
        <w:tc>
          <w:tcPr>
            <w:tcW w:w="1417" w:type="dxa"/>
            <w:vAlign w:val="center"/>
          </w:tcPr>
          <w:p w14:paraId="197AEB62" w14:textId="7FE71D3F" w:rsidR="007640DF" w:rsidRPr="003B4F95" w:rsidRDefault="00E34CCA" w:rsidP="007640DF">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1BA4C920" w14:textId="3D3843F0" w:rsidR="007640DF" w:rsidRPr="003B4F95" w:rsidRDefault="00E34CCA" w:rsidP="007640DF">
            <w:pPr>
              <w:spacing w:before="40" w:after="40" w:line="280" w:lineRule="atLeast"/>
              <w:jc w:val="right"/>
              <w:rPr>
                <w:rFonts w:ascii="Verdana" w:hAnsi="Verdana"/>
                <w:color w:val="000000"/>
                <w:sz w:val="18"/>
                <w:szCs w:val="18"/>
              </w:rPr>
            </w:pPr>
            <w:r>
              <w:rPr>
                <w:rFonts w:ascii="Verdana" w:hAnsi="Verdana"/>
                <w:color w:val="000000"/>
                <w:sz w:val="18"/>
                <w:szCs w:val="18"/>
              </w:rPr>
              <w:t>1 821,1</w:t>
            </w:r>
          </w:p>
        </w:tc>
        <w:tc>
          <w:tcPr>
            <w:tcW w:w="1843" w:type="dxa"/>
            <w:vAlign w:val="center"/>
          </w:tcPr>
          <w:p w14:paraId="1BC47EC9" w14:textId="77C9CB1E" w:rsidR="007640DF" w:rsidRDefault="00E71803" w:rsidP="007640DF">
            <w:pPr>
              <w:spacing w:before="40" w:after="40" w:line="280" w:lineRule="atLeast"/>
              <w:jc w:val="right"/>
              <w:rPr>
                <w:rFonts w:ascii="Verdana" w:hAnsi="Verdana"/>
                <w:color w:val="000000"/>
                <w:sz w:val="18"/>
                <w:szCs w:val="18"/>
              </w:rPr>
            </w:pPr>
            <w:r>
              <w:rPr>
                <w:rFonts w:ascii="Verdana" w:hAnsi="Verdana"/>
                <w:color w:val="000000"/>
                <w:sz w:val="18"/>
                <w:szCs w:val="18"/>
              </w:rPr>
              <w:t>1 821,1</w:t>
            </w:r>
          </w:p>
        </w:tc>
      </w:tr>
      <w:tr w:rsidR="007640DF" w:rsidRPr="000435BE" w14:paraId="22FAB2F8" w14:textId="77777777" w:rsidTr="00275FDA">
        <w:tc>
          <w:tcPr>
            <w:tcW w:w="567" w:type="dxa"/>
            <w:shd w:val="clear" w:color="auto" w:fill="auto"/>
          </w:tcPr>
          <w:p w14:paraId="53FFE31A" w14:textId="1020A9FE" w:rsidR="007640DF" w:rsidRDefault="007640DF" w:rsidP="007640DF">
            <w:pPr>
              <w:spacing w:before="40" w:after="40" w:line="280" w:lineRule="atLeast"/>
              <w:rPr>
                <w:rFonts w:ascii="Verdana" w:hAnsi="Verdana"/>
                <w:color w:val="000000"/>
                <w:sz w:val="18"/>
                <w:szCs w:val="18"/>
              </w:rPr>
            </w:pPr>
            <w:r>
              <w:rPr>
                <w:rFonts w:ascii="Verdana" w:hAnsi="Verdana"/>
                <w:color w:val="000000"/>
                <w:sz w:val="18"/>
                <w:szCs w:val="18"/>
              </w:rPr>
              <w:t>10.</w:t>
            </w:r>
          </w:p>
        </w:tc>
        <w:tc>
          <w:tcPr>
            <w:tcW w:w="1984" w:type="dxa"/>
            <w:gridSpan w:val="2"/>
            <w:shd w:val="clear" w:color="auto" w:fill="auto"/>
          </w:tcPr>
          <w:p w14:paraId="1AB83CE1" w14:textId="0383801F" w:rsidR="007640DF" w:rsidRPr="003B4F95" w:rsidRDefault="007640DF" w:rsidP="007640DF">
            <w:pPr>
              <w:spacing w:before="40" w:after="40" w:line="280" w:lineRule="atLeast"/>
              <w:rPr>
                <w:rFonts w:ascii="Verdana" w:hAnsi="Verdana"/>
                <w:color w:val="000000"/>
                <w:sz w:val="18"/>
                <w:szCs w:val="18"/>
              </w:rPr>
            </w:pPr>
            <w:r>
              <w:rPr>
                <w:rFonts w:ascii="Verdana" w:hAnsi="Verdana"/>
                <w:color w:val="000000"/>
                <w:sz w:val="18"/>
                <w:szCs w:val="18"/>
              </w:rPr>
              <w:t>UBS</w:t>
            </w:r>
          </w:p>
        </w:tc>
        <w:tc>
          <w:tcPr>
            <w:tcW w:w="993" w:type="dxa"/>
            <w:shd w:val="clear" w:color="auto" w:fill="auto"/>
            <w:vAlign w:val="center"/>
          </w:tcPr>
          <w:p w14:paraId="290454D0" w14:textId="66D6CCBF" w:rsidR="007640DF" w:rsidRDefault="007640DF" w:rsidP="007640DF">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26367792" w14:textId="6A9EEA60" w:rsidR="007640DF" w:rsidRDefault="007640DF" w:rsidP="007640DF">
            <w:pPr>
              <w:spacing w:before="40" w:after="40" w:line="280" w:lineRule="atLeast"/>
              <w:jc w:val="center"/>
              <w:rPr>
                <w:rFonts w:ascii="Verdana" w:hAnsi="Verdana"/>
                <w:color w:val="000000"/>
                <w:sz w:val="18"/>
                <w:szCs w:val="18"/>
              </w:rPr>
            </w:pPr>
            <w:r>
              <w:rPr>
                <w:rFonts w:ascii="Verdana" w:hAnsi="Verdana"/>
                <w:color w:val="000000"/>
                <w:sz w:val="18"/>
                <w:szCs w:val="18"/>
              </w:rPr>
              <w:t>8</w:t>
            </w:r>
          </w:p>
        </w:tc>
        <w:tc>
          <w:tcPr>
            <w:tcW w:w="1417" w:type="dxa"/>
            <w:vAlign w:val="center"/>
          </w:tcPr>
          <w:p w14:paraId="1295E4DF" w14:textId="6059EE53" w:rsidR="007640DF" w:rsidRDefault="00E34CCA" w:rsidP="007640DF">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1B7A07C5" w14:textId="579003AA" w:rsidR="007640DF" w:rsidRDefault="00E34CCA" w:rsidP="007640DF">
            <w:pPr>
              <w:spacing w:before="40" w:after="40" w:line="280" w:lineRule="atLeast"/>
              <w:jc w:val="right"/>
              <w:rPr>
                <w:rFonts w:ascii="Verdana" w:hAnsi="Verdana"/>
                <w:color w:val="000000"/>
                <w:sz w:val="18"/>
                <w:szCs w:val="18"/>
              </w:rPr>
            </w:pPr>
            <w:r>
              <w:rPr>
                <w:rFonts w:ascii="Verdana" w:hAnsi="Verdana"/>
                <w:color w:val="000000"/>
                <w:sz w:val="18"/>
                <w:szCs w:val="18"/>
              </w:rPr>
              <w:t>1 207,8</w:t>
            </w:r>
          </w:p>
        </w:tc>
        <w:tc>
          <w:tcPr>
            <w:tcW w:w="1843" w:type="dxa"/>
            <w:vAlign w:val="center"/>
          </w:tcPr>
          <w:p w14:paraId="3388D25B" w14:textId="454C8445" w:rsidR="007640DF" w:rsidRDefault="00E71803" w:rsidP="007640DF">
            <w:pPr>
              <w:spacing w:before="40" w:after="40" w:line="280" w:lineRule="atLeast"/>
              <w:jc w:val="right"/>
              <w:rPr>
                <w:rFonts w:ascii="Verdana" w:hAnsi="Verdana"/>
                <w:color w:val="000000"/>
                <w:sz w:val="18"/>
                <w:szCs w:val="18"/>
              </w:rPr>
            </w:pPr>
            <w:r>
              <w:rPr>
                <w:rFonts w:ascii="Verdana" w:hAnsi="Verdana"/>
                <w:color w:val="000000"/>
                <w:sz w:val="18"/>
                <w:szCs w:val="18"/>
              </w:rPr>
              <w:t>1 207,8</w:t>
            </w:r>
          </w:p>
        </w:tc>
      </w:tr>
      <w:tr w:rsidR="007640DF" w:rsidRPr="000435BE" w14:paraId="042A8F9F" w14:textId="77777777" w:rsidTr="00275FDA">
        <w:tc>
          <w:tcPr>
            <w:tcW w:w="567" w:type="dxa"/>
            <w:shd w:val="clear" w:color="auto" w:fill="auto"/>
          </w:tcPr>
          <w:p w14:paraId="3486190D" w14:textId="64ADEBA2" w:rsidR="007640DF" w:rsidRPr="003B4F95" w:rsidRDefault="007640DF" w:rsidP="007640DF">
            <w:pPr>
              <w:spacing w:before="40" w:after="40" w:line="280" w:lineRule="atLeast"/>
              <w:rPr>
                <w:rFonts w:ascii="Verdana" w:hAnsi="Verdana"/>
                <w:color w:val="000000"/>
                <w:sz w:val="18"/>
                <w:szCs w:val="18"/>
              </w:rPr>
            </w:pPr>
            <w:r>
              <w:rPr>
                <w:rFonts w:ascii="Verdana" w:hAnsi="Verdana"/>
                <w:color w:val="000000"/>
                <w:sz w:val="18"/>
                <w:szCs w:val="18"/>
              </w:rPr>
              <w:t>11</w:t>
            </w:r>
            <w:r w:rsidRPr="003B4F95">
              <w:rPr>
                <w:rFonts w:ascii="Verdana" w:hAnsi="Verdana"/>
                <w:color w:val="000000"/>
                <w:sz w:val="18"/>
                <w:szCs w:val="18"/>
              </w:rPr>
              <w:t>.</w:t>
            </w:r>
          </w:p>
        </w:tc>
        <w:tc>
          <w:tcPr>
            <w:tcW w:w="1984" w:type="dxa"/>
            <w:gridSpan w:val="2"/>
            <w:shd w:val="clear" w:color="auto" w:fill="auto"/>
          </w:tcPr>
          <w:p w14:paraId="177BE1B7" w14:textId="77777777" w:rsidR="007640DF" w:rsidRPr="003B4F95" w:rsidRDefault="007640DF" w:rsidP="007640DF">
            <w:pPr>
              <w:spacing w:before="40" w:after="40" w:line="280" w:lineRule="atLeast"/>
              <w:rPr>
                <w:rFonts w:ascii="Verdana" w:hAnsi="Verdana"/>
                <w:color w:val="000000"/>
                <w:sz w:val="18"/>
                <w:szCs w:val="18"/>
              </w:rPr>
            </w:pPr>
            <w:r w:rsidRPr="003B4F95">
              <w:rPr>
                <w:rFonts w:ascii="Verdana" w:hAnsi="Verdana"/>
                <w:color w:val="000000"/>
                <w:sz w:val="18"/>
                <w:szCs w:val="18"/>
              </w:rPr>
              <w:t>FirstRand</w:t>
            </w:r>
            <w:r>
              <w:rPr>
                <w:rFonts w:ascii="Verdana" w:hAnsi="Verdana"/>
                <w:color w:val="000000"/>
                <w:sz w:val="18"/>
                <w:szCs w:val="18"/>
              </w:rPr>
              <w:t xml:space="preserve"> (RMB)</w:t>
            </w:r>
          </w:p>
        </w:tc>
        <w:tc>
          <w:tcPr>
            <w:tcW w:w="993" w:type="dxa"/>
            <w:shd w:val="clear" w:color="auto" w:fill="auto"/>
            <w:vAlign w:val="center"/>
          </w:tcPr>
          <w:p w14:paraId="068EE2BB" w14:textId="77777777" w:rsidR="007640DF" w:rsidRPr="003B4F95" w:rsidRDefault="007640DF" w:rsidP="007640DF">
            <w:pPr>
              <w:spacing w:before="40" w:after="40" w:line="280" w:lineRule="atLeast"/>
              <w:jc w:val="center"/>
              <w:rPr>
                <w:rFonts w:ascii="Verdana" w:hAnsi="Verdana"/>
                <w:color w:val="000000"/>
                <w:sz w:val="18"/>
                <w:szCs w:val="18"/>
              </w:rPr>
            </w:pPr>
            <w:r>
              <w:rPr>
                <w:rFonts w:ascii="Verdana" w:hAnsi="Verdana"/>
                <w:color w:val="000000"/>
                <w:sz w:val="18"/>
                <w:szCs w:val="18"/>
              </w:rPr>
              <w:t>3</w:t>
            </w:r>
          </w:p>
        </w:tc>
        <w:tc>
          <w:tcPr>
            <w:tcW w:w="992" w:type="dxa"/>
            <w:shd w:val="clear" w:color="auto" w:fill="auto"/>
            <w:vAlign w:val="center"/>
          </w:tcPr>
          <w:p w14:paraId="329CCAB8" w14:textId="77777777" w:rsidR="007640DF" w:rsidRPr="003B4F95" w:rsidRDefault="007640DF" w:rsidP="007640DF">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4419C3D1" w14:textId="7A0ADA81" w:rsidR="007640DF" w:rsidRPr="003B4F95" w:rsidRDefault="00E34CCA" w:rsidP="007640DF">
            <w:pPr>
              <w:spacing w:before="40" w:after="40" w:line="280" w:lineRule="atLeast"/>
              <w:jc w:val="right"/>
              <w:rPr>
                <w:rFonts w:ascii="Verdana" w:hAnsi="Verdana"/>
                <w:color w:val="000000"/>
                <w:sz w:val="18"/>
                <w:szCs w:val="18"/>
              </w:rPr>
            </w:pPr>
            <w:r>
              <w:rPr>
                <w:rFonts w:ascii="Verdana" w:hAnsi="Verdana"/>
                <w:color w:val="000000"/>
                <w:sz w:val="18"/>
                <w:szCs w:val="18"/>
              </w:rPr>
              <w:t>976,0</w:t>
            </w:r>
          </w:p>
        </w:tc>
        <w:tc>
          <w:tcPr>
            <w:tcW w:w="1418" w:type="dxa"/>
            <w:vAlign w:val="center"/>
          </w:tcPr>
          <w:p w14:paraId="2B7A1400" w14:textId="4AE96ABF" w:rsidR="007640DF" w:rsidRPr="003B4F95" w:rsidRDefault="00E34CCA" w:rsidP="007640DF">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055E0D22" w14:textId="355FF935" w:rsidR="007640DF" w:rsidRPr="003B4F95" w:rsidRDefault="00E71803" w:rsidP="007640DF">
            <w:pPr>
              <w:spacing w:before="40" w:after="40" w:line="280" w:lineRule="atLeast"/>
              <w:jc w:val="right"/>
              <w:rPr>
                <w:rFonts w:ascii="Verdana" w:hAnsi="Verdana"/>
                <w:color w:val="000000"/>
                <w:sz w:val="18"/>
                <w:szCs w:val="18"/>
              </w:rPr>
            </w:pPr>
            <w:r>
              <w:rPr>
                <w:rFonts w:ascii="Verdana" w:hAnsi="Verdana"/>
                <w:color w:val="000000"/>
                <w:sz w:val="18"/>
                <w:szCs w:val="18"/>
              </w:rPr>
              <w:t>976,0</w:t>
            </w:r>
          </w:p>
        </w:tc>
      </w:tr>
      <w:tr w:rsidR="007640DF" w:rsidRPr="000435BE" w14:paraId="36A64B2A" w14:textId="77777777" w:rsidTr="00275FDA">
        <w:tc>
          <w:tcPr>
            <w:tcW w:w="567" w:type="dxa"/>
            <w:shd w:val="clear" w:color="auto" w:fill="auto"/>
          </w:tcPr>
          <w:p w14:paraId="2492D4CF" w14:textId="77777777" w:rsidR="007640DF" w:rsidRPr="003B4F95" w:rsidRDefault="007640DF" w:rsidP="007640DF">
            <w:pPr>
              <w:spacing w:before="40" w:after="40" w:line="280" w:lineRule="atLeast"/>
              <w:rPr>
                <w:rFonts w:ascii="Verdana" w:hAnsi="Verdana"/>
                <w:color w:val="000000"/>
                <w:sz w:val="18"/>
                <w:szCs w:val="18"/>
              </w:rPr>
            </w:pPr>
            <w:r>
              <w:rPr>
                <w:rFonts w:ascii="Verdana" w:hAnsi="Verdana"/>
                <w:color w:val="000000"/>
                <w:sz w:val="18"/>
                <w:szCs w:val="18"/>
              </w:rPr>
              <w:t>12</w:t>
            </w:r>
            <w:r w:rsidRPr="003B4F95">
              <w:rPr>
                <w:rFonts w:ascii="Verdana" w:hAnsi="Verdana"/>
                <w:color w:val="000000"/>
                <w:sz w:val="18"/>
                <w:szCs w:val="18"/>
              </w:rPr>
              <w:t>.</w:t>
            </w:r>
          </w:p>
        </w:tc>
        <w:tc>
          <w:tcPr>
            <w:tcW w:w="1984" w:type="dxa"/>
            <w:gridSpan w:val="2"/>
            <w:shd w:val="clear" w:color="auto" w:fill="auto"/>
          </w:tcPr>
          <w:p w14:paraId="2FFABF99" w14:textId="77777777" w:rsidR="007640DF" w:rsidRPr="003B4F95" w:rsidRDefault="007640DF" w:rsidP="007640DF">
            <w:pPr>
              <w:spacing w:before="40" w:after="40" w:line="280" w:lineRule="atLeast"/>
              <w:rPr>
                <w:rFonts w:ascii="Verdana" w:hAnsi="Verdana"/>
                <w:color w:val="000000"/>
                <w:sz w:val="18"/>
                <w:szCs w:val="18"/>
              </w:rPr>
            </w:pPr>
            <w:r w:rsidRPr="003B4F95">
              <w:rPr>
                <w:rFonts w:ascii="Verdana" w:hAnsi="Verdana"/>
                <w:color w:val="000000"/>
                <w:sz w:val="18"/>
                <w:szCs w:val="18"/>
              </w:rPr>
              <w:t>Cloud Atlas</w:t>
            </w:r>
          </w:p>
        </w:tc>
        <w:tc>
          <w:tcPr>
            <w:tcW w:w="993" w:type="dxa"/>
            <w:shd w:val="clear" w:color="auto" w:fill="auto"/>
            <w:vAlign w:val="center"/>
          </w:tcPr>
          <w:p w14:paraId="4195257A" w14:textId="77777777" w:rsidR="007640DF" w:rsidRPr="003B4F95" w:rsidRDefault="007640DF" w:rsidP="007640DF">
            <w:pPr>
              <w:spacing w:before="40" w:after="40" w:line="280" w:lineRule="atLeast"/>
              <w:jc w:val="center"/>
              <w:rPr>
                <w:rFonts w:ascii="Verdana" w:hAnsi="Verdana"/>
                <w:color w:val="000000"/>
                <w:sz w:val="18"/>
                <w:szCs w:val="18"/>
              </w:rPr>
            </w:pPr>
            <w:r>
              <w:rPr>
                <w:rFonts w:ascii="Verdana" w:hAnsi="Verdana"/>
                <w:color w:val="000000"/>
                <w:sz w:val="18"/>
                <w:szCs w:val="18"/>
              </w:rPr>
              <w:t>2</w:t>
            </w:r>
          </w:p>
        </w:tc>
        <w:tc>
          <w:tcPr>
            <w:tcW w:w="992" w:type="dxa"/>
            <w:shd w:val="clear" w:color="auto" w:fill="auto"/>
            <w:vAlign w:val="center"/>
          </w:tcPr>
          <w:p w14:paraId="11CB8B72" w14:textId="77777777" w:rsidR="007640DF" w:rsidRPr="003B4F95" w:rsidRDefault="007640DF" w:rsidP="007640DF">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48B14AE3" w14:textId="3EDEFF2C" w:rsidR="007640DF" w:rsidRPr="003B4F95" w:rsidRDefault="00E34CCA" w:rsidP="007640DF">
            <w:pPr>
              <w:spacing w:before="40" w:after="40" w:line="280" w:lineRule="atLeast"/>
              <w:jc w:val="right"/>
              <w:rPr>
                <w:rFonts w:ascii="Verdana" w:hAnsi="Verdana"/>
                <w:color w:val="000000"/>
                <w:sz w:val="18"/>
                <w:szCs w:val="18"/>
              </w:rPr>
            </w:pPr>
            <w:r>
              <w:rPr>
                <w:rFonts w:ascii="Verdana" w:hAnsi="Verdana"/>
                <w:color w:val="000000"/>
                <w:sz w:val="18"/>
                <w:szCs w:val="18"/>
              </w:rPr>
              <w:t>22,9</w:t>
            </w:r>
          </w:p>
        </w:tc>
        <w:tc>
          <w:tcPr>
            <w:tcW w:w="1418" w:type="dxa"/>
            <w:vAlign w:val="center"/>
          </w:tcPr>
          <w:p w14:paraId="5492C253" w14:textId="575DABCA" w:rsidR="007640DF" w:rsidRPr="003B4F95" w:rsidRDefault="00AE12F4" w:rsidP="007640DF">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1D35DE85" w14:textId="59DAD2BE" w:rsidR="007640DF" w:rsidRPr="003B4F95" w:rsidRDefault="00E71803" w:rsidP="007640DF">
            <w:pPr>
              <w:spacing w:before="40" w:after="40" w:line="280" w:lineRule="atLeast"/>
              <w:jc w:val="right"/>
              <w:rPr>
                <w:rFonts w:ascii="Verdana" w:hAnsi="Verdana"/>
                <w:color w:val="000000"/>
                <w:sz w:val="18"/>
                <w:szCs w:val="18"/>
              </w:rPr>
            </w:pPr>
            <w:r>
              <w:rPr>
                <w:rFonts w:ascii="Verdana" w:hAnsi="Verdana"/>
                <w:color w:val="000000"/>
                <w:sz w:val="18"/>
                <w:szCs w:val="18"/>
              </w:rPr>
              <w:t>22,0</w:t>
            </w:r>
          </w:p>
        </w:tc>
      </w:tr>
      <w:tr w:rsidR="007640DF" w:rsidRPr="000435BE" w14:paraId="43496BCD" w14:textId="77777777" w:rsidTr="00275FDA">
        <w:tc>
          <w:tcPr>
            <w:tcW w:w="2551" w:type="dxa"/>
            <w:gridSpan w:val="3"/>
            <w:shd w:val="clear" w:color="auto" w:fill="auto"/>
          </w:tcPr>
          <w:p w14:paraId="249E629A" w14:textId="77777777" w:rsidR="007640DF" w:rsidRPr="003B4F95" w:rsidRDefault="007640DF" w:rsidP="007640DF">
            <w:pPr>
              <w:spacing w:before="40" w:after="40" w:line="280" w:lineRule="atLeast"/>
              <w:rPr>
                <w:rFonts w:ascii="Verdana" w:hAnsi="Verdana"/>
                <w:b/>
                <w:color w:val="000000"/>
                <w:sz w:val="18"/>
                <w:szCs w:val="18"/>
              </w:rPr>
            </w:pPr>
            <w:r w:rsidRPr="003B4F95">
              <w:rPr>
                <w:rFonts w:ascii="Verdana" w:hAnsi="Verdana"/>
                <w:b/>
                <w:color w:val="000000"/>
                <w:sz w:val="18"/>
                <w:szCs w:val="18"/>
              </w:rPr>
              <w:t>Totals</w:t>
            </w:r>
          </w:p>
        </w:tc>
        <w:tc>
          <w:tcPr>
            <w:tcW w:w="993" w:type="dxa"/>
            <w:shd w:val="clear" w:color="auto" w:fill="auto"/>
            <w:vAlign w:val="center"/>
          </w:tcPr>
          <w:p w14:paraId="6B396757" w14:textId="716BF852" w:rsidR="007640DF" w:rsidRPr="003B4F95" w:rsidRDefault="007640DF" w:rsidP="007640DF">
            <w:pPr>
              <w:spacing w:before="40" w:after="40" w:line="280" w:lineRule="atLeast"/>
              <w:jc w:val="center"/>
              <w:rPr>
                <w:rFonts w:ascii="Verdana" w:hAnsi="Verdana"/>
                <w:b/>
                <w:color w:val="000000"/>
                <w:sz w:val="18"/>
                <w:szCs w:val="18"/>
              </w:rPr>
            </w:pPr>
            <w:r>
              <w:rPr>
                <w:rFonts w:ascii="Verdana" w:hAnsi="Verdana"/>
                <w:b/>
                <w:color w:val="000000"/>
                <w:sz w:val="18"/>
                <w:szCs w:val="18"/>
              </w:rPr>
              <w:t>78</w:t>
            </w:r>
          </w:p>
        </w:tc>
        <w:tc>
          <w:tcPr>
            <w:tcW w:w="992" w:type="dxa"/>
            <w:shd w:val="clear" w:color="auto" w:fill="auto"/>
            <w:vAlign w:val="center"/>
          </w:tcPr>
          <w:p w14:paraId="143E53B1" w14:textId="24817ED6" w:rsidR="007640DF" w:rsidRPr="003B4F95" w:rsidRDefault="007640DF" w:rsidP="007640DF">
            <w:pPr>
              <w:spacing w:before="40" w:after="40" w:line="280" w:lineRule="atLeast"/>
              <w:jc w:val="center"/>
              <w:rPr>
                <w:rFonts w:ascii="Verdana" w:hAnsi="Verdana"/>
                <w:b/>
                <w:color w:val="000000"/>
                <w:sz w:val="18"/>
                <w:szCs w:val="18"/>
              </w:rPr>
            </w:pPr>
            <w:r>
              <w:rPr>
                <w:rFonts w:ascii="Verdana" w:hAnsi="Verdana"/>
                <w:b/>
                <w:color w:val="000000"/>
                <w:sz w:val="18"/>
                <w:szCs w:val="18"/>
              </w:rPr>
              <w:t>28</w:t>
            </w:r>
          </w:p>
        </w:tc>
        <w:tc>
          <w:tcPr>
            <w:tcW w:w="1417" w:type="dxa"/>
            <w:vAlign w:val="center"/>
          </w:tcPr>
          <w:p w14:paraId="361D741C" w14:textId="0255C42A" w:rsidR="007640DF" w:rsidRPr="003B4F95" w:rsidRDefault="00E34CCA" w:rsidP="007640DF">
            <w:pPr>
              <w:spacing w:before="40" w:after="40" w:line="280" w:lineRule="atLeast"/>
              <w:jc w:val="right"/>
              <w:rPr>
                <w:rFonts w:ascii="Verdana" w:hAnsi="Verdana"/>
                <w:b/>
                <w:color w:val="000000"/>
                <w:sz w:val="18"/>
                <w:szCs w:val="18"/>
              </w:rPr>
            </w:pPr>
            <w:r>
              <w:rPr>
                <w:rFonts w:ascii="Verdana" w:hAnsi="Verdana"/>
                <w:b/>
                <w:color w:val="000000"/>
                <w:sz w:val="18"/>
                <w:szCs w:val="18"/>
              </w:rPr>
              <w:t>88 562,1</w:t>
            </w:r>
          </w:p>
        </w:tc>
        <w:tc>
          <w:tcPr>
            <w:tcW w:w="1418" w:type="dxa"/>
            <w:vAlign w:val="center"/>
          </w:tcPr>
          <w:p w14:paraId="22FC229A" w14:textId="2340B9EB" w:rsidR="007640DF" w:rsidRPr="003B4F95" w:rsidRDefault="00AE12F4" w:rsidP="007640DF">
            <w:pPr>
              <w:spacing w:before="40" w:after="40" w:line="280" w:lineRule="atLeast"/>
              <w:jc w:val="right"/>
              <w:rPr>
                <w:rFonts w:ascii="Verdana" w:hAnsi="Verdana"/>
                <w:b/>
                <w:color w:val="000000"/>
                <w:sz w:val="18"/>
                <w:szCs w:val="18"/>
              </w:rPr>
            </w:pPr>
            <w:r>
              <w:rPr>
                <w:rFonts w:ascii="Verdana" w:hAnsi="Verdana"/>
                <w:b/>
                <w:color w:val="000000"/>
                <w:sz w:val="18"/>
                <w:szCs w:val="18"/>
              </w:rPr>
              <w:t>10 718,9</w:t>
            </w:r>
          </w:p>
        </w:tc>
        <w:tc>
          <w:tcPr>
            <w:tcW w:w="1843" w:type="dxa"/>
            <w:vAlign w:val="center"/>
          </w:tcPr>
          <w:p w14:paraId="3DC82BE9" w14:textId="018BB099" w:rsidR="007640DF" w:rsidRPr="003B4F95" w:rsidRDefault="00E71803" w:rsidP="007640DF">
            <w:pPr>
              <w:spacing w:before="40" w:after="40" w:line="280" w:lineRule="atLeast"/>
              <w:jc w:val="right"/>
              <w:rPr>
                <w:rFonts w:ascii="Verdana" w:hAnsi="Verdana"/>
                <w:b/>
                <w:color w:val="000000"/>
                <w:sz w:val="18"/>
                <w:szCs w:val="18"/>
              </w:rPr>
            </w:pPr>
            <w:r>
              <w:rPr>
                <w:rFonts w:ascii="Verdana" w:hAnsi="Verdana"/>
                <w:b/>
                <w:color w:val="000000"/>
                <w:sz w:val="18"/>
                <w:szCs w:val="18"/>
              </w:rPr>
              <w:t>99 281,0</w:t>
            </w:r>
          </w:p>
        </w:tc>
      </w:tr>
      <w:tr w:rsidR="007640DF" w:rsidRPr="00AB6CBE" w14:paraId="399FD388" w14:textId="77777777" w:rsidTr="00275FDA">
        <w:trPr>
          <w:trHeight w:val="217"/>
        </w:trPr>
        <w:tc>
          <w:tcPr>
            <w:tcW w:w="850" w:type="dxa"/>
            <w:gridSpan w:val="2"/>
            <w:tcBorders>
              <w:right w:val="nil"/>
            </w:tcBorders>
            <w:shd w:val="clear" w:color="auto" w:fill="auto"/>
            <w:vAlign w:val="center"/>
          </w:tcPr>
          <w:p w14:paraId="72B96F5C" w14:textId="77777777" w:rsidR="007640DF" w:rsidRPr="000435BE" w:rsidRDefault="007640DF" w:rsidP="007640DF">
            <w:pPr>
              <w:spacing w:after="40" w:line="280" w:lineRule="atLeast"/>
              <w:rPr>
                <w:rFonts w:ascii="Verdana" w:hAnsi="Verdana"/>
                <w:i/>
                <w:color w:val="000000"/>
                <w:sz w:val="14"/>
                <w:szCs w:val="14"/>
              </w:rPr>
            </w:pPr>
            <w:r w:rsidRPr="000435BE">
              <w:rPr>
                <w:rFonts w:ascii="Verdana" w:hAnsi="Verdana"/>
                <w:i/>
                <w:color w:val="000000"/>
                <w:sz w:val="14"/>
                <w:szCs w:val="14"/>
              </w:rPr>
              <w:t>Source:</w:t>
            </w:r>
          </w:p>
        </w:tc>
        <w:tc>
          <w:tcPr>
            <w:tcW w:w="8364" w:type="dxa"/>
            <w:gridSpan w:val="6"/>
            <w:tcBorders>
              <w:left w:val="nil"/>
            </w:tcBorders>
            <w:shd w:val="clear" w:color="auto" w:fill="auto"/>
            <w:vAlign w:val="center"/>
          </w:tcPr>
          <w:p w14:paraId="4EF21F19" w14:textId="358F07A5" w:rsidR="007640DF" w:rsidRPr="000435BE" w:rsidRDefault="007640DF" w:rsidP="007640DF">
            <w:pPr>
              <w:spacing w:after="40" w:line="280" w:lineRule="atLeast"/>
              <w:rPr>
                <w:rFonts w:ascii="Verdana" w:hAnsi="Verdana"/>
                <w:i/>
                <w:color w:val="000000"/>
                <w:sz w:val="14"/>
                <w:szCs w:val="14"/>
              </w:rPr>
            </w:pPr>
            <w:r w:rsidRPr="000435BE">
              <w:rPr>
                <w:rFonts w:ascii="Verdana" w:hAnsi="Verdana"/>
                <w:i/>
                <w:color w:val="000000"/>
                <w:sz w:val="14"/>
                <w:szCs w:val="14"/>
              </w:rPr>
              <w:t>etfSA.co.za / JSE / Profile Data (</w:t>
            </w:r>
            <w:r>
              <w:rPr>
                <w:rFonts w:ascii="Verdana" w:hAnsi="Verdana"/>
                <w:i/>
                <w:color w:val="000000"/>
                <w:sz w:val="14"/>
                <w:szCs w:val="14"/>
              </w:rPr>
              <w:t>30</w:t>
            </w:r>
            <w:r w:rsidRPr="000435BE">
              <w:rPr>
                <w:rFonts w:ascii="Verdana" w:hAnsi="Verdana"/>
                <w:i/>
                <w:color w:val="000000"/>
                <w:sz w:val="14"/>
                <w:szCs w:val="14"/>
              </w:rPr>
              <w:t>/</w:t>
            </w:r>
            <w:r>
              <w:rPr>
                <w:rFonts w:ascii="Verdana" w:hAnsi="Verdana"/>
                <w:i/>
                <w:color w:val="000000"/>
                <w:sz w:val="14"/>
                <w:szCs w:val="14"/>
              </w:rPr>
              <w:t>9</w:t>
            </w:r>
            <w:r w:rsidRPr="000435BE">
              <w:rPr>
                <w:rFonts w:ascii="Verdana" w:hAnsi="Verdana"/>
                <w:i/>
                <w:color w:val="000000"/>
                <w:sz w:val="14"/>
                <w:szCs w:val="14"/>
              </w:rPr>
              <w:t>/201</w:t>
            </w:r>
            <w:r>
              <w:rPr>
                <w:rFonts w:ascii="Verdana" w:hAnsi="Verdana"/>
                <w:i/>
                <w:color w:val="000000"/>
                <w:sz w:val="14"/>
                <w:szCs w:val="14"/>
              </w:rPr>
              <w:t>9</w:t>
            </w:r>
            <w:r w:rsidRPr="000435BE">
              <w:rPr>
                <w:rFonts w:ascii="Verdana" w:hAnsi="Verdana"/>
                <w:i/>
                <w:color w:val="000000"/>
                <w:sz w:val="14"/>
                <w:szCs w:val="14"/>
              </w:rPr>
              <w:t xml:space="preserve">). </w:t>
            </w:r>
          </w:p>
        </w:tc>
      </w:tr>
    </w:tbl>
    <w:p w14:paraId="6A300ADA" w14:textId="77777777" w:rsidR="00E71803" w:rsidRDefault="00E71803" w:rsidP="00E71803">
      <w:pPr>
        <w:spacing w:after="0" w:line="320" w:lineRule="atLeast"/>
        <w:rPr>
          <w:rFonts w:ascii="Verdana" w:hAnsi="Verdana"/>
          <w:color w:val="000000"/>
          <w:sz w:val="21"/>
          <w:szCs w:val="21"/>
        </w:rPr>
      </w:pPr>
    </w:p>
    <w:p w14:paraId="0B0D4352" w14:textId="59EC1266" w:rsidR="00E71803" w:rsidRDefault="00E71803" w:rsidP="00E71803">
      <w:pPr>
        <w:spacing w:after="0" w:line="320" w:lineRule="atLeast"/>
        <w:rPr>
          <w:rFonts w:ascii="Verdana" w:hAnsi="Verdana"/>
          <w:color w:val="000000"/>
          <w:sz w:val="21"/>
          <w:szCs w:val="21"/>
        </w:rPr>
      </w:pPr>
      <w:r>
        <w:rPr>
          <w:rFonts w:ascii="Verdana" w:hAnsi="Verdana"/>
          <w:color w:val="000000"/>
          <w:sz w:val="21"/>
          <w:szCs w:val="21"/>
        </w:rPr>
        <w:t xml:space="preserve">Table A provides a snapshot of the ETF industry as at 30 September 2019.  The total size (market capitalisation) of all ETFs/ETNs listed on the JSE is now just below R100 billion.  The R100 billion mark has been achieved over a period of just under 20 years signalling steady rather than meteoric rise in the acceptance of passive Exchange Traded products in South Africa.  However, the index tracking case now appears to be well established in local markets and the passive industry is likely to be far more competitive in future.  </w:t>
      </w:r>
    </w:p>
    <w:p w14:paraId="3F674A27" w14:textId="78949A39" w:rsidR="00E71803" w:rsidRDefault="00E71803" w:rsidP="00E71803">
      <w:pPr>
        <w:spacing w:after="0" w:line="320" w:lineRule="atLeast"/>
        <w:rPr>
          <w:rFonts w:ascii="Verdana" w:hAnsi="Verdana"/>
          <w:color w:val="000000"/>
          <w:sz w:val="21"/>
          <w:szCs w:val="21"/>
        </w:rPr>
      </w:pPr>
    </w:p>
    <w:p w14:paraId="209623FA" w14:textId="4C0967F2" w:rsidR="00E71803" w:rsidRDefault="00E71803" w:rsidP="00E71803">
      <w:pPr>
        <w:spacing w:after="0" w:line="320" w:lineRule="atLeast"/>
        <w:rPr>
          <w:rFonts w:ascii="Verdana" w:hAnsi="Verdana"/>
          <w:color w:val="000000"/>
          <w:sz w:val="21"/>
          <w:szCs w:val="21"/>
        </w:rPr>
      </w:pPr>
      <w:r>
        <w:rPr>
          <w:rFonts w:ascii="Verdana" w:hAnsi="Verdana"/>
          <w:color w:val="000000"/>
          <w:sz w:val="21"/>
          <w:szCs w:val="21"/>
        </w:rPr>
        <w:t xml:space="preserve">There are now 106 products listed on the JSE (78 ETFs and 28 ETNs) issued by 12 separate companies.  </w:t>
      </w:r>
    </w:p>
    <w:p w14:paraId="746F7C7A" w14:textId="16DC6833" w:rsidR="004C60DA" w:rsidRDefault="004C60DA">
      <w:pPr>
        <w:rPr>
          <w:rFonts w:ascii="Verdana" w:hAnsi="Verdana"/>
          <w:color w:val="000000"/>
          <w:sz w:val="21"/>
          <w:szCs w:val="21"/>
        </w:rPr>
      </w:pPr>
      <w:r>
        <w:rPr>
          <w:rFonts w:ascii="Verdana" w:hAnsi="Verdana"/>
          <w:color w:val="000000"/>
          <w:sz w:val="21"/>
          <w:szCs w:val="21"/>
        </w:rPr>
        <w:br w:type="page"/>
      </w:r>
    </w:p>
    <w:p w14:paraId="62EE3CC7" w14:textId="77777777" w:rsidR="005F5553" w:rsidRDefault="005F5553" w:rsidP="005F5553">
      <w:pPr>
        <w:spacing w:after="0" w:line="320" w:lineRule="atLeast"/>
        <w:rPr>
          <w:rFonts w:ascii="Verdana" w:hAnsi="Verdana"/>
          <w:color w:val="000000"/>
          <w:sz w:val="21"/>
          <w:szCs w:val="21"/>
        </w:rPr>
      </w:pPr>
    </w:p>
    <w:p w14:paraId="689E8AF0" w14:textId="4FE77317" w:rsidR="005F5553" w:rsidRPr="003A3D19" w:rsidRDefault="005F5553" w:rsidP="005F5553">
      <w:pPr>
        <w:spacing w:after="0" w:line="240" w:lineRule="auto"/>
        <w:jc w:val="both"/>
        <w:rPr>
          <w:rFonts w:ascii="Verdana" w:hAnsi="Verdana"/>
          <w:b/>
          <w:color w:val="C00000"/>
          <w:sz w:val="24"/>
          <w:szCs w:val="24"/>
        </w:rPr>
      </w:pPr>
      <w:r>
        <w:rPr>
          <w:rFonts w:ascii="Verdana" w:hAnsi="Verdana"/>
          <w:b/>
          <w:color w:val="C00000"/>
          <w:sz w:val="24"/>
          <w:szCs w:val="24"/>
        </w:rPr>
        <w:t>Product Issuers</w:t>
      </w:r>
    </w:p>
    <w:p w14:paraId="1507AFC1" w14:textId="77777777" w:rsidR="005F5553" w:rsidRDefault="005F5553" w:rsidP="00B82C05">
      <w:pPr>
        <w:spacing w:after="0" w:line="340" w:lineRule="atLeast"/>
        <w:jc w:val="both"/>
        <w:rPr>
          <w:rFonts w:ascii="Verdana" w:hAnsi="Verdana"/>
          <w:b/>
          <w:sz w:val="21"/>
          <w:szCs w:val="21"/>
        </w:rPr>
      </w:pPr>
    </w:p>
    <w:p w14:paraId="1534120A" w14:textId="7EE769A2" w:rsidR="0080262B" w:rsidRDefault="0074101D" w:rsidP="00014D0C">
      <w:pPr>
        <w:spacing w:after="0" w:line="340" w:lineRule="atLeast"/>
        <w:jc w:val="both"/>
        <w:rPr>
          <w:rFonts w:ascii="Verdana" w:hAnsi="Verdana"/>
          <w:sz w:val="21"/>
          <w:szCs w:val="21"/>
        </w:rPr>
      </w:pPr>
      <w:r>
        <w:rPr>
          <w:rFonts w:ascii="Verdana" w:hAnsi="Verdana"/>
          <w:b/>
          <w:sz w:val="21"/>
          <w:szCs w:val="21"/>
        </w:rPr>
        <w:t xml:space="preserve">Absa </w:t>
      </w:r>
      <w:r w:rsidR="005F5553">
        <w:rPr>
          <w:rFonts w:ascii="Verdana" w:hAnsi="Verdana"/>
          <w:b/>
          <w:sz w:val="21"/>
          <w:szCs w:val="21"/>
        </w:rPr>
        <w:t>(NewFunds)</w:t>
      </w:r>
      <w:r>
        <w:rPr>
          <w:rFonts w:ascii="Verdana" w:hAnsi="Verdana"/>
          <w:sz w:val="21"/>
          <w:szCs w:val="21"/>
        </w:rPr>
        <w:t xml:space="preserve"> – </w:t>
      </w:r>
      <w:r w:rsidR="005F5553">
        <w:rPr>
          <w:rFonts w:ascii="Verdana" w:hAnsi="Verdana"/>
          <w:sz w:val="21"/>
          <w:szCs w:val="21"/>
        </w:rPr>
        <w:t xml:space="preserve">Absa Capital remains the dominant force in the South African ETF markets, with 26 ETFs/ETNs in issue </w:t>
      </w:r>
      <w:r w:rsidR="00A24DE7">
        <w:rPr>
          <w:rFonts w:ascii="Verdana" w:hAnsi="Verdana"/>
          <w:sz w:val="21"/>
          <w:szCs w:val="21"/>
        </w:rPr>
        <w:t xml:space="preserve">and </w:t>
      </w:r>
      <w:r w:rsidR="005F5553">
        <w:rPr>
          <w:rFonts w:ascii="Verdana" w:hAnsi="Verdana"/>
          <w:sz w:val="21"/>
          <w:szCs w:val="21"/>
        </w:rPr>
        <w:t xml:space="preserve">with a total market capitalisation of R32,0 billion – close to one-third of the total </w:t>
      </w:r>
      <w:r w:rsidR="00A24DE7">
        <w:rPr>
          <w:rFonts w:ascii="Verdana" w:hAnsi="Verdana"/>
          <w:sz w:val="21"/>
          <w:szCs w:val="21"/>
        </w:rPr>
        <w:t xml:space="preserve">ETP </w:t>
      </w:r>
      <w:r w:rsidR="005F5553">
        <w:rPr>
          <w:rFonts w:ascii="Verdana" w:hAnsi="Verdana"/>
          <w:sz w:val="21"/>
          <w:szCs w:val="21"/>
        </w:rPr>
        <w:t>industry.</w:t>
      </w:r>
    </w:p>
    <w:p w14:paraId="34AE0EAE" w14:textId="1475FE68" w:rsidR="005F5553" w:rsidRDefault="005F5553" w:rsidP="00014D0C">
      <w:pPr>
        <w:spacing w:after="0" w:line="340" w:lineRule="atLeast"/>
        <w:jc w:val="both"/>
        <w:rPr>
          <w:rFonts w:ascii="Verdana" w:hAnsi="Verdana"/>
          <w:sz w:val="21"/>
          <w:szCs w:val="21"/>
        </w:rPr>
      </w:pPr>
    </w:p>
    <w:p w14:paraId="0DADA36B" w14:textId="0472D115" w:rsidR="005F5553" w:rsidRDefault="005F5553" w:rsidP="00014D0C">
      <w:pPr>
        <w:spacing w:after="0" w:line="340" w:lineRule="atLeast"/>
        <w:jc w:val="both"/>
        <w:rPr>
          <w:rFonts w:ascii="Verdana" w:hAnsi="Verdana"/>
          <w:sz w:val="21"/>
          <w:szCs w:val="21"/>
        </w:rPr>
      </w:pPr>
      <w:r>
        <w:rPr>
          <w:rFonts w:ascii="Verdana" w:hAnsi="Verdana"/>
          <w:sz w:val="21"/>
          <w:szCs w:val="21"/>
        </w:rPr>
        <w:t xml:space="preserve">R5,8 billion new capital was raised by Absa for its ETFs in the first three quarters of this year, the bulk of </w:t>
      </w:r>
      <w:r w:rsidR="00A85AC4">
        <w:rPr>
          <w:rFonts w:ascii="Verdana" w:hAnsi="Verdana"/>
          <w:sz w:val="21"/>
          <w:szCs w:val="21"/>
        </w:rPr>
        <w:t>this f</w:t>
      </w:r>
      <w:r w:rsidR="00A24DE7">
        <w:rPr>
          <w:rFonts w:ascii="Verdana" w:hAnsi="Verdana"/>
          <w:sz w:val="21"/>
          <w:szCs w:val="21"/>
        </w:rPr>
        <w:t>or</w:t>
      </w:r>
      <w:r w:rsidR="00A85AC4">
        <w:rPr>
          <w:rFonts w:ascii="Verdana" w:hAnsi="Verdana"/>
          <w:sz w:val="21"/>
          <w:szCs w:val="21"/>
        </w:rPr>
        <w:t xml:space="preserve"> the gold and platinum ETFs it has in issue.  Direct investment in physical precious metal bullion through the convenience of ETFs listed and traded on the JSE is a unique asset class exposure in the local markets and these products deserve their popularity.  </w:t>
      </w:r>
    </w:p>
    <w:p w14:paraId="2CD63EB6" w14:textId="77777777" w:rsidR="0074101D" w:rsidRDefault="0074101D" w:rsidP="00014D0C">
      <w:pPr>
        <w:spacing w:after="0" w:line="340" w:lineRule="atLeast"/>
        <w:jc w:val="both"/>
        <w:rPr>
          <w:rFonts w:ascii="Verdana" w:hAnsi="Verdana"/>
          <w:b/>
          <w:sz w:val="21"/>
          <w:szCs w:val="21"/>
        </w:rPr>
      </w:pPr>
    </w:p>
    <w:p w14:paraId="0A24A4FC" w14:textId="6F1A29B7" w:rsidR="002536F5" w:rsidRDefault="00AC5FC2" w:rsidP="00014D0C">
      <w:pPr>
        <w:spacing w:after="0" w:line="340" w:lineRule="atLeast"/>
        <w:jc w:val="both"/>
        <w:rPr>
          <w:rFonts w:ascii="Verdana" w:hAnsi="Verdana"/>
          <w:sz w:val="21"/>
          <w:szCs w:val="21"/>
        </w:rPr>
      </w:pPr>
      <w:r>
        <w:rPr>
          <w:rFonts w:ascii="Verdana" w:hAnsi="Verdana"/>
          <w:b/>
          <w:sz w:val="21"/>
          <w:szCs w:val="21"/>
        </w:rPr>
        <w:t>Sygnia Itrix</w:t>
      </w:r>
      <w:r w:rsidR="00A97831" w:rsidRPr="00F56643">
        <w:rPr>
          <w:rFonts w:ascii="Verdana" w:hAnsi="Verdana"/>
          <w:sz w:val="21"/>
          <w:szCs w:val="21"/>
        </w:rPr>
        <w:t xml:space="preserve"> </w:t>
      </w:r>
      <w:r w:rsidR="009F66FE">
        <w:rPr>
          <w:rFonts w:ascii="Verdana" w:hAnsi="Verdana"/>
          <w:sz w:val="21"/>
          <w:szCs w:val="21"/>
        </w:rPr>
        <w:t>–</w:t>
      </w:r>
      <w:r w:rsidR="002A6914">
        <w:rPr>
          <w:rFonts w:ascii="Verdana" w:hAnsi="Verdana"/>
          <w:sz w:val="21"/>
          <w:szCs w:val="21"/>
        </w:rPr>
        <w:t xml:space="preserve"> </w:t>
      </w:r>
      <w:r w:rsidR="00A85AC4">
        <w:rPr>
          <w:rFonts w:ascii="Verdana" w:hAnsi="Verdana"/>
          <w:sz w:val="21"/>
          <w:szCs w:val="21"/>
        </w:rPr>
        <w:t xml:space="preserve">at one stage, it appeared the Sygnia Itrix would close the gap on Absa Capital in terms of total market capitalisation.  However, in 2019, Absa has pulled away due to </w:t>
      </w:r>
      <w:r w:rsidR="0089761A">
        <w:rPr>
          <w:rFonts w:ascii="Verdana" w:hAnsi="Verdana"/>
          <w:sz w:val="21"/>
          <w:szCs w:val="21"/>
        </w:rPr>
        <w:t>renewed support for</w:t>
      </w:r>
      <w:r w:rsidR="00A85AC4">
        <w:rPr>
          <w:rFonts w:ascii="Verdana" w:hAnsi="Verdana"/>
          <w:sz w:val="21"/>
          <w:szCs w:val="21"/>
        </w:rPr>
        <w:t xml:space="preserve"> </w:t>
      </w:r>
      <w:r w:rsidR="00CD0246">
        <w:rPr>
          <w:rFonts w:ascii="Verdana" w:hAnsi="Verdana"/>
          <w:sz w:val="21"/>
          <w:szCs w:val="21"/>
        </w:rPr>
        <w:t xml:space="preserve">its </w:t>
      </w:r>
      <w:r w:rsidR="00A85AC4">
        <w:rPr>
          <w:rFonts w:ascii="Verdana" w:hAnsi="Verdana"/>
          <w:sz w:val="21"/>
          <w:szCs w:val="21"/>
        </w:rPr>
        <w:t xml:space="preserve">commodity ETFs.  </w:t>
      </w:r>
    </w:p>
    <w:p w14:paraId="52086BAA" w14:textId="28174854" w:rsidR="00A85AC4" w:rsidRDefault="00A85AC4" w:rsidP="00014D0C">
      <w:pPr>
        <w:spacing w:after="0" w:line="340" w:lineRule="atLeast"/>
        <w:jc w:val="both"/>
        <w:rPr>
          <w:rFonts w:ascii="Verdana" w:hAnsi="Verdana"/>
          <w:sz w:val="21"/>
          <w:szCs w:val="21"/>
        </w:rPr>
      </w:pPr>
    </w:p>
    <w:p w14:paraId="203E83C0" w14:textId="7891C73D" w:rsidR="00A85AC4" w:rsidRDefault="00A85AC4" w:rsidP="00014D0C">
      <w:pPr>
        <w:spacing w:after="0" w:line="340" w:lineRule="atLeast"/>
        <w:jc w:val="both"/>
        <w:rPr>
          <w:rFonts w:ascii="Verdana" w:hAnsi="Verdana"/>
          <w:sz w:val="21"/>
          <w:szCs w:val="21"/>
        </w:rPr>
      </w:pPr>
      <w:r>
        <w:rPr>
          <w:rFonts w:ascii="Verdana" w:hAnsi="Verdana"/>
          <w:sz w:val="21"/>
          <w:szCs w:val="21"/>
        </w:rPr>
        <w:t xml:space="preserve">Sygnia Itrix remains a very strong force in the local ETF industry, with 10 products in issue for a market capitalisation of R20,5 billion.  </w:t>
      </w:r>
    </w:p>
    <w:p w14:paraId="0B9560E8" w14:textId="7CB34D90" w:rsidR="00A85AC4" w:rsidRDefault="00A85AC4" w:rsidP="00014D0C">
      <w:pPr>
        <w:spacing w:after="0" w:line="340" w:lineRule="atLeast"/>
        <w:jc w:val="both"/>
        <w:rPr>
          <w:rFonts w:ascii="Verdana" w:hAnsi="Verdana"/>
          <w:sz w:val="21"/>
          <w:szCs w:val="21"/>
        </w:rPr>
      </w:pPr>
    </w:p>
    <w:p w14:paraId="05B390BE" w14:textId="2E3975F9" w:rsidR="00A85AC4" w:rsidRDefault="00A85AC4" w:rsidP="00014D0C">
      <w:pPr>
        <w:spacing w:after="0" w:line="340" w:lineRule="atLeast"/>
        <w:jc w:val="both"/>
        <w:rPr>
          <w:rFonts w:ascii="Verdana" w:hAnsi="Verdana"/>
          <w:sz w:val="21"/>
          <w:szCs w:val="21"/>
        </w:rPr>
      </w:pPr>
      <w:r>
        <w:rPr>
          <w:rFonts w:ascii="Verdana" w:hAnsi="Verdana"/>
          <w:sz w:val="21"/>
          <w:szCs w:val="21"/>
        </w:rPr>
        <w:t xml:space="preserve">Some profit taking </w:t>
      </w:r>
      <w:bookmarkStart w:id="0" w:name="_GoBack"/>
      <w:bookmarkEnd w:id="0"/>
      <w:r>
        <w:rPr>
          <w:rFonts w:ascii="Verdana" w:hAnsi="Verdana"/>
          <w:sz w:val="21"/>
          <w:szCs w:val="21"/>
        </w:rPr>
        <w:t>by local investors in global equity exposure has resulted in a net redemption of R716 million in Sygnia Itrix ETFs during January to September this year.  Its 4</w:t>
      </w:r>
      <w:r w:rsidRPr="00A85AC4">
        <w:rPr>
          <w:rFonts w:ascii="Verdana" w:hAnsi="Verdana"/>
          <w:sz w:val="21"/>
          <w:szCs w:val="21"/>
          <w:vertAlign w:val="superscript"/>
        </w:rPr>
        <w:t>th</w:t>
      </w:r>
      <w:r>
        <w:rPr>
          <w:rFonts w:ascii="Verdana" w:hAnsi="Verdana"/>
          <w:sz w:val="21"/>
          <w:szCs w:val="21"/>
        </w:rPr>
        <w:t xml:space="preserve"> Industrial Revolution ETF, which invests in an index dedicated to new generation global shares, continues to attract new capital (raising R174 million in the period)</w:t>
      </w:r>
      <w:r w:rsidR="00715DF1">
        <w:rPr>
          <w:rFonts w:ascii="Verdana" w:hAnsi="Verdana"/>
          <w:sz w:val="21"/>
          <w:szCs w:val="21"/>
        </w:rPr>
        <w:t xml:space="preserve"> and possibly points to opportunities in similar product innovation for Sygnia Itrix going forward. </w:t>
      </w:r>
    </w:p>
    <w:p w14:paraId="23DDF040" w14:textId="7D800AA9" w:rsidR="00D65796" w:rsidRDefault="00D65796" w:rsidP="00014D0C">
      <w:pPr>
        <w:spacing w:after="0" w:line="340" w:lineRule="atLeast"/>
        <w:jc w:val="both"/>
        <w:rPr>
          <w:rFonts w:ascii="Verdana" w:hAnsi="Verdana"/>
          <w:sz w:val="21"/>
          <w:szCs w:val="21"/>
        </w:rPr>
      </w:pPr>
    </w:p>
    <w:p w14:paraId="562A722C" w14:textId="122A3573" w:rsidR="00D65796" w:rsidRDefault="00D65796" w:rsidP="00014D0C">
      <w:pPr>
        <w:spacing w:after="0" w:line="340" w:lineRule="atLeast"/>
        <w:jc w:val="both"/>
        <w:rPr>
          <w:rFonts w:ascii="Verdana" w:hAnsi="Verdana"/>
          <w:sz w:val="21"/>
          <w:szCs w:val="21"/>
        </w:rPr>
      </w:pPr>
      <w:r>
        <w:rPr>
          <w:rFonts w:ascii="Verdana" w:hAnsi="Verdana"/>
          <w:b/>
          <w:bCs/>
          <w:sz w:val="21"/>
          <w:szCs w:val="21"/>
        </w:rPr>
        <w:t>Satrix Managers</w:t>
      </w:r>
      <w:r>
        <w:rPr>
          <w:rFonts w:ascii="Verdana" w:hAnsi="Verdana"/>
          <w:sz w:val="21"/>
          <w:szCs w:val="21"/>
        </w:rPr>
        <w:t xml:space="preserve"> – </w:t>
      </w:r>
      <w:r w:rsidR="00715DF1">
        <w:rPr>
          <w:rFonts w:ascii="Verdana" w:hAnsi="Verdana"/>
          <w:sz w:val="21"/>
          <w:szCs w:val="21"/>
        </w:rPr>
        <w:t xml:space="preserve">remains in third place in the local ETF industry.  It has 15 ETFs in issue covering global equity and equity indices.  More recently, it has ventured into the area of smart beta, by issuing ETFs covering the investment factors of Quality and Momentum in the South African equity markets.  </w:t>
      </w:r>
    </w:p>
    <w:p w14:paraId="785142E8" w14:textId="6080BF15" w:rsidR="00715DF1" w:rsidRDefault="00715DF1" w:rsidP="00014D0C">
      <w:pPr>
        <w:spacing w:after="0" w:line="340" w:lineRule="atLeast"/>
        <w:jc w:val="both"/>
        <w:rPr>
          <w:rFonts w:ascii="Verdana" w:hAnsi="Verdana"/>
          <w:sz w:val="21"/>
          <w:szCs w:val="21"/>
        </w:rPr>
      </w:pPr>
    </w:p>
    <w:p w14:paraId="462F6BC2" w14:textId="39F7FB79" w:rsidR="00715DF1" w:rsidRDefault="00715DF1" w:rsidP="00014D0C">
      <w:pPr>
        <w:spacing w:after="0" w:line="340" w:lineRule="atLeast"/>
        <w:jc w:val="both"/>
        <w:rPr>
          <w:rFonts w:ascii="Verdana" w:hAnsi="Verdana"/>
          <w:sz w:val="21"/>
          <w:szCs w:val="21"/>
        </w:rPr>
      </w:pPr>
      <w:r>
        <w:rPr>
          <w:rFonts w:ascii="Verdana" w:hAnsi="Verdana"/>
          <w:sz w:val="21"/>
          <w:szCs w:val="21"/>
        </w:rPr>
        <w:t xml:space="preserve">Satrix was the second most successful issuer in raising new capital, bringing in a further R2 435 million (R2,4 billion) </w:t>
      </w:r>
      <w:r w:rsidR="00A24DE7">
        <w:rPr>
          <w:rFonts w:ascii="Verdana" w:hAnsi="Verdana"/>
          <w:sz w:val="21"/>
          <w:szCs w:val="21"/>
        </w:rPr>
        <w:t>by</w:t>
      </w:r>
      <w:r>
        <w:rPr>
          <w:rFonts w:ascii="Verdana" w:hAnsi="Verdana"/>
          <w:sz w:val="21"/>
          <w:szCs w:val="21"/>
        </w:rPr>
        <w:t xml:space="preserve"> the new creation of securities for its 15 ETFs listed on the JSE. </w:t>
      </w:r>
    </w:p>
    <w:p w14:paraId="15AC6B51" w14:textId="4D569E1A" w:rsidR="00D65796" w:rsidRDefault="00D65796" w:rsidP="00014D0C">
      <w:pPr>
        <w:spacing w:after="0" w:line="340" w:lineRule="atLeast"/>
        <w:jc w:val="both"/>
        <w:rPr>
          <w:rFonts w:ascii="Verdana" w:hAnsi="Verdana"/>
          <w:sz w:val="21"/>
          <w:szCs w:val="21"/>
        </w:rPr>
      </w:pPr>
    </w:p>
    <w:p w14:paraId="0EFC2CEF" w14:textId="58ED0492" w:rsidR="00715DF1" w:rsidRDefault="00715DF1" w:rsidP="00014D0C">
      <w:pPr>
        <w:spacing w:after="0" w:line="340" w:lineRule="atLeast"/>
        <w:jc w:val="both"/>
        <w:rPr>
          <w:rFonts w:ascii="Verdana" w:hAnsi="Verdana"/>
          <w:sz w:val="21"/>
          <w:szCs w:val="21"/>
        </w:rPr>
      </w:pPr>
      <w:r>
        <w:rPr>
          <w:rFonts w:ascii="Verdana" w:hAnsi="Verdana"/>
          <w:b/>
          <w:bCs/>
          <w:sz w:val="21"/>
          <w:szCs w:val="21"/>
        </w:rPr>
        <w:t>Standard Bank</w:t>
      </w:r>
      <w:r>
        <w:rPr>
          <w:rFonts w:ascii="Verdana" w:hAnsi="Verdana"/>
          <w:sz w:val="21"/>
          <w:szCs w:val="21"/>
        </w:rPr>
        <w:t xml:space="preserve"> – has consolidated its position in the top four issuers of ETFs/ETNs in South Africa during the course of this year.  It specialises in commodity ETFs and ETNs and now has over R8 billion under management with 14 products in issue.  </w:t>
      </w:r>
    </w:p>
    <w:p w14:paraId="17D53087" w14:textId="68B37C90" w:rsidR="00715DF1" w:rsidRDefault="00715DF1" w:rsidP="00014D0C">
      <w:pPr>
        <w:spacing w:after="0" w:line="340" w:lineRule="atLeast"/>
        <w:jc w:val="both"/>
        <w:rPr>
          <w:rFonts w:ascii="Verdana" w:hAnsi="Verdana"/>
          <w:sz w:val="21"/>
          <w:szCs w:val="21"/>
        </w:rPr>
      </w:pPr>
    </w:p>
    <w:p w14:paraId="1F30DC9C" w14:textId="5538D1C8" w:rsidR="00B80A20" w:rsidRDefault="00B80A20" w:rsidP="009E06CC">
      <w:pPr>
        <w:spacing w:after="0" w:line="360" w:lineRule="atLeast"/>
        <w:jc w:val="both"/>
        <w:rPr>
          <w:rFonts w:ascii="Verdana" w:hAnsi="Verdana"/>
          <w:sz w:val="21"/>
          <w:szCs w:val="21"/>
        </w:rPr>
      </w:pPr>
      <w:r>
        <w:rPr>
          <w:rFonts w:ascii="Verdana" w:hAnsi="Verdana"/>
          <w:b/>
          <w:sz w:val="21"/>
          <w:szCs w:val="21"/>
        </w:rPr>
        <w:t>CoreShares</w:t>
      </w:r>
      <w:r>
        <w:rPr>
          <w:rFonts w:ascii="Verdana" w:hAnsi="Verdana"/>
          <w:sz w:val="21"/>
          <w:szCs w:val="21"/>
        </w:rPr>
        <w:t xml:space="preserve"> – </w:t>
      </w:r>
      <w:r w:rsidR="00014D0C">
        <w:rPr>
          <w:rFonts w:ascii="Verdana" w:hAnsi="Verdana"/>
          <w:sz w:val="21"/>
          <w:szCs w:val="21"/>
        </w:rPr>
        <w:t>one of the smaller companies issuing ETFs in South Africa, CoreShares has steadily g</w:t>
      </w:r>
      <w:r w:rsidR="003230DF">
        <w:rPr>
          <w:rFonts w:ascii="Verdana" w:hAnsi="Verdana"/>
          <w:sz w:val="21"/>
          <w:szCs w:val="21"/>
        </w:rPr>
        <w:t xml:space="preserve">rown the range </w:t>
      </w:r>
      <w:r w:rsidR="00014D0C">
        <w:rPr>
          <w:rFonts w:ascii="Verdana" w:hAnsi="Verdana"/>
          <w:sz w:val="21"/>
          <w:szCs w:val="21"/>
        </w:rPr>
        <w:t xml:space="preserve">of products it issues and the assets it has under management.  Market capitalisation for all </w:t>
      </w:r>
      <w:r w:rsidR="003230DF">
        <w:rPr>
          <w:rFonts w:ascii="Verdana" w:hAnsi="Verdana"/>
          <w:sz w:val="21"/>
          <w:szCs w:val="21"/>
        </w:rPr>
        <w:t>nine</w:t>
      </w:r>
      <w:r w:rsidR="00014D0C">
        <w:rPr>
          <w:rFonts w:ascii="Verdana" w:hAnsi="Verdana"/>
          <w:sz w:val="21"/>
          <w:szCs w:val="21"/>
        </w:rPr>
        <w:t xml:space="preserve"> CoreShares ETFs grew from R3 393,6 million at the end of 2018, to R4 406,4 million at the end of September 2019, a ri</w:t>
      </w:r>
      <w:r w:rsidR="003230DF">
        <w:rPr>
          <w:rFonts w:ascii="Verdana" w:hAnsi="Verdana"/>
          <w:sz w:val="21"/>
          <w:szCs w:val="21"/>
        </w:rPr>
        <w:t>se</w:t>
      </w:r>
      <w:r w:rsidR="00014D0C">
        <w:rPr>
          <w:rFonts w:ascii="Verdana" w:hAnsi="Verdana"/>
          <w:sz w:val="21"/>
          <w:szCs w:val="21"/>
        </w:rPr>
        <w:t xml:space="preserve"> of 30 percent.  </w:t>
      </w:r>
    </w:p>
    <w:p w14:paraId="2F75E5B2" w14:textId="58F9AE96" w:rsidR="00014D0C" w:rsidRDefault="00014D0C" w:rsidP="009E06CC">
      <w:pPr>
        <w:spacing w:after="0" w:line="360" w:lineRule="atLeast"/>
        <w:jc w:val="both"/>
        <w:rPr>
          <w:rFonts w:ascii="Verdana" w:hAnsi="Verdana"/>
          <w:sz w:val="21"/>
          <w:szCs w:val="21"/>
        </w:rPr>
      </w:pPr>
    </w:p>
    <w:p w14:paraId="20EE2F5C" w14:textId="77777777" w:rsidR="003230DF" w:rsidRDefault="003230DF" w:rsidP="009E06CC">
      <w:pPr>
        <w:spacing w:after="0" w:line="360" w:lineRule="atLeast"/>
        <w:jc w:val="both"/>
        <w:rPr>
          <w:rFonts w:ascii="Verdana" w:hAnsi="Verdana"/>
          <w:sz w:val="21"/>
          <w:szCs w:val="21"/>
        </w:rPr>
      </w:pPr>
    </w:p>
    <w:p w14:paraId="2BA385E9" w14:textId="77777777" w:rsidR="003230DF" w:rsidRDefault="003230DF" w:rsidP="009E06CC">
      <w:pPr>
        <w:spacing w:after="0" w:line="360" w:lineRule="atLeast"/>
        <w:jc w:val="both"/>
        <w:rPr>
          <w:rFonts w:ascii="Verdana" w:hAnsi="Verdana"/>
          <w:sz w:val="21"/>
          <w:szCs w:val="21"/>
        </w:rPr>
      </w:pPr>
    </w:p>
    <w:p w14:paraId="172E70CF" w14:textId="6BAA7423" w:rsidR="003230DF" w:rsidRDefault="003230DF" w:rsidP="009E06CC">
      <w:pPr>
        <w:spacing w:after="0" w:line="360" w:lineRule="atLeast"/>
        <w:jc w:val="both"/>
        <w:rPr>
          <w:rFonts w:ascii="Verdana" w:hAnsi="Verdana"/>
          <w:sz w:val="21"/>
          <w:szCs w:val="21"/>
        </w:rPr>
      </w:pPr>
    </w:p>
    <w:p w14:paraId="7DAB90EC" w14:textId="2D7B9AB7" w:rsidR="00014D0C" w:rsidRDefault="00014D0C" w:rsidP="009E06CC">
      <w:pPr>
        <w:spacing w:after="0" w:line="360" w:lineRule="atLeast"/>
        <w:jc w:val="both"/>
        <w:rPr>
          <w:rFonts w:ascii="Verdana" w:hAnsi="Verdana"/>
          <w:sz w:val="21"/>
          <w:szCs w:val="21"/>
        </w:rPr>
      </w:pPr>
      <w:r>
        <w:rPr>
          <w:rFonts w:ascii="Verdana" w:hAnsi="Verdana"/>
          <w:sz w:val="21"/>
          <w:szCs w:val="21"/>
        </w:rPr>
        <w:t xml:space="preserve">CoreShares has also started a process of </w:t>
      </w:r>
      <w:r w:rsidR="003230DF">
        <w:rPr>
          <w:rFonts w:ascii="Verdana" w:hAnsi="Verdana"/>
          <w:sz w:val="21"/>
          <w:szCs w:val="21"/>
        </w:rPr>
        <w:t>tidying</w:t>
      </w:r>
      <w:r>
        <w:rPr>
          <w:rFonts w:ascii="Verdana" w:hAnsi="Verdana"/>
          <w:sz w:val="21"/>
          <w:szCs w:val="21"/>
        </w:rPr>
        <w:t xml:space="preserve"> up its portfolio of ETFs in issue.  The CoreShares Low Volatility ETF was delisted in late-2018; the Equally Weighted Top 40 ETF has been replaced by the Scientific Beta Multi Factor ETF; and </w:t>
      </w:r>
      <w:r w:rsidR="003230DF">
        <w:rPr>
          <w:rFonts w:ascii="Verdana" w:hAnsi="Verdana"/>
          <w:sz w:val="21"/>
          <w:szCs w:val="21"/>
        </w:rPr>
        <w:t>a</w:t>
      </w:r>
      <w:r>
        <w:rPr>
          <w:rFonts w:ascii="Verdana" w:hAnsi="Verdana"/>
          <w:sz w:val="21"/>
          <w:szCs w:val="21"/>
        </w:rPr>
        <w:t xml:space="preserve"> ballot process is currently underway for the amalgamation of the CoreShares PropTrax SAPY ETF and the CoreShares PropTrax Ten ETF.  This should be approved soon and the m</w:t>
      </w:r>
      <w:r w:rsidR="003230DF">
        <w:rPr>
          <w:rFonts w:ascii="Verdana" w:hAnsi="Verdana"/>
          <w:sz w:val="21"/>
          <w:szCs w:val="21"/>
        </w:rPr>
        <w:t>erged</w:t>
      </w:r>
      <w:r>
        <w:rPr>
          <w:rFonts w:ascii="Verdana" w:hAnsi="Verdana"/>
          <w:sz w:val="21"/>
          <w:szCs w:val="21"/>
        </w:rPr>
        <w:t xml:space="preserve"> Property ETF will focus on improving the yield fr</w:t>
      </w:r>
      <w:r w:rsidR="003230DF">
        <w:rPr>
          <w:rFonts w:ascii="Verdana" w:hAnsi="Verdana"/>
          <w:sz w:val="21"/>
          <w:szCs w:val="21"/>
        </w:rPr>
        <w:t>om</w:t>
      </w:r>
      <w:r>
        <w:rPr>
          <w:rFonts w:ascii="Verdana" w:hAnsi="Verdana"/>
          <w:sz w:val="21"/>
          <w:szCs w:val="21"/>
        </w:rPr>
        <w:t xml:space="preserve"> a listed property portfolio.   </w:t>
      </w:r>
    </w:p>
    <w:p w14:paraId="51A1B12C" w14:textId="4316B755" w:rsidR="005C6EDE" w:rsidRDefault="005C6EDE" w:rsidP="00752C5D">
      <w:pPr>
        <w:spacing w:after="0" w:line="360" w:lineRule="atLeast"/>
        <w:jc w:val="both"/>
        <w:rPr>
          <w:rFonts w:ascii="Verdana" w:hAnsi="Verdana"/>
          <w:sz w:val="21"/>
          <w:szCs w:val="21"/>
        </w:rPr>
      </w:pPr>
    </w:p>
    <w:p w14:paraId="3B8F64D8" w14:textId="0E495688" w:rsidR="00B80A20" w:rsidRDefault="00B82C05" w:rsidP="00752C5D">
      <w:pPr>
        <w:spacing w:after="0" w:line="360" w:lineRule="atLeast"/>
        <w:jc w:val="both"/>
        <w:rPr>
          <w:rFonts w:ascii="Verdana" w:hAnsi="Verdana"/>
          <w:sz w:val="21"/>
          <w:szCs w:val="21"/>
        </w:rPr>
      </w:pPr>
      <w:r>
        <w:rPr>
          <w:rFonts w:ascii="Verdana" w:hAnsi="Verdana"/>
          <w:b/>
          <w:sz w:val="21"/>
          <w:szCs w:val="21"/>
        </w:rPr>
        <w:t>Stan</w:t>
      </w:r>
      <w:r w:rsidR="00014D0C">
        <w:rPr>
          <w:rFonts w:ascii="Verdana" w:hAnsi="Verdana"/>
          <w:b/>
          <w:sz w:val="21"/>
          <w:szCs w:val="21"/>
        </w:rPr>
        <w:t>lib</w:t>
      </w:r>
      <w:r w:rsidR="00AE6B7A">
        <w:rPr>
          <w:rFonts w:ascii="Verdana" w:hAnsi="Verdana"/>
          <w:sz w:val="21"/>
          <w:szCs w:val="21"/>
        </w:rPr>
        <w:t xml:space="preserve"> </w:t>
      </w:r>
      <w:r w:rsidR="00AC5FC2">
        <w:rPr>
          <w:rFonts w:ascii="Verdana" w:hAnsi="Verdana"/>
          <w:sz w:val="21"/>
          <w:szCs w:val="21"/>
        </w:rPr>
        <w:t>–</w:t>
      </w:r>
      <w:r w:rsidR="00B80A20">
        <w:rPr>
          <w:rFonts w:ascii="Verdana" w:hAnsi="Verdana"/>
          <w:sz w:val="21"/>
          <w:szCs w:val="21"/>
        </w:rPr>
        <w:t xml:space="preserve"> </w:t>
      </w:r>
      <w:r w:rsidR="00014D0C">
        <w:rPr>
          <w:rFonts w:ascii="Verdana" w:hAnsi="Verdana"/>
          <w:sz w:val="21"/>
          <w:szCs w:val="21"/>
        </w:rPr>
        <w:t xml:space="preserve">the Standard Liberty Group now has </w:t>
      </w:r>
      <w:r w:rsidR="003230DF">
        <w:rPr>
          <w:rFonts w:ascii="Verdana" w:hAnsi="Verdana"/>
          <w:sz w:val="21"/>
          <w:szCs w:val="21"/>
        </w:rPr>
        <w:t>nine</w:t>
      </w:r>
      <w:r w:rsidR="00014D0C">
        <w:rPr>
          <w:rFonts w:ascii="Verdana" w:hAnsi="Verdana"/>
          <w:sz w:val="21"/>
          <w:szCs w:val="21"/>
        </w:rPr>
        <w:t xml:space="preserve"> ETFs</w:t>
      </w:r>
      <w:r w:rsidR="006052EB">
        <w:rPr>
          <w:rFonts w:ascii="Verdana" w:hAnsi="Verdana"/>
          <w:sz w:val="21"/>
          <w:szCs w:val="21"/>
        </w:rPr>
        <w:t xml:space="preserve"> in issue with R3 227 million total market capitalisation at the end of September 2019.  The Stanlib stable of ETFs covers equity, bond and listed property indices, both locally and globally.  It has </w:t>
      </w:r>
      <w:r w:rsidR="00AC54A6">
        <w:rPr>
          <w:rFonts w:ascii="Verdana" w:hAnsi="Verdana"/>
          <w:sz w:val="21"/>
          <w:szCs w:val="21"/>
        </w:rPr>
        <w:t xml:space="preserve">now overtaken Ashburton </w:t>
      </w:r>
      <w:r w:rsidR="003230DF">
        <w:rPr>
          <w:rFonts w:ascii="Verdana" w:hAnsi="Verdana"/>
          <w:sz w:val="21"/>
          <w:szCs w:val="21"/>
        </w:rPr>
        <w:t>to be</w:t>
      </w:r>
      <w:r w:rsidR="00AC54A6">
        <w:rPr>
          <w:rFonts w:ascii="Verdana" w:hAnsi="Verdana"/>
          <w:sz w:val="21"/>
          <w:szCs w:val="21"/>
        </w:rPr>
        <w:t xml:space="preserve"> the seventh largest issuer of ETFPs in South Africa.  </w:t>
      </w:r>
    </w:p>
    <w:p w14:paraId="5FC11A95" w14:textId="381B36C9" w:rsidR="00A6703F" w:rsidRDefault="00A6703F" w:rsidP="00AC54A6">
      <w:pPr>
        <w:spacing w:after="0" w:line="340" w:lineRule="atLeast"/>
        <w:jc w:val="both"/>
        <w:rPr>
          <w:rFonts w:ascii="Verdana" w:hAnsi="Verdana"/>
          <w:color w:val="000000"/>
          <w:sz w:val="20"/>
          <w:szCs w:val="20"/>
        </w:rPr>
      </w:pPr>
    </w:p>
    <w:p w14:paraId="74E4D92F" w14:textId="77777777" w:rsidR="00AC54A6" w:rsidRDefault="00AC54A6" w:rsidP="00AC54A6">
      <w:pPr>
        <w:spacing w:after="0" w:line="320" w:lineRule="atLeast"/>
        <w:rPr>
          <w:rFonts w:ascii="Verdana" w:hAnsi="Verdana"/>
          <w:color w:val="000000"/>
          <w:sz w:val="21"/>
          <w:szCs w:val="21"/>
        </w:rPr>
      </w:pPr>
    </w:p>
    <w:p w14:paraId="0A6CCEBF" w14:textId="49074E0E" w:rsidR="00AC54A6" w:rsidRPr="003A3D19" w:rsidRDefault="00AC54A6" w:rsidP="00AC54A6">
      <w:pPr>
        <w:spacing w:after="0" w:line="240" w:lineRule="auto"/>
        <w:jc w:val="both"/>
        <w:rPr>
          <w:rFonts w:ascii="Verdana" w:hAnsi="Verdana"/>
          <w:b/>
          <w:color w:val="C00000"/>
          <w:sz w:val="24"/>
          <w:szCs w:val="24"/>
        </w:rPr>
      </w:pPr>
      <w:r>
        <w:rPr>
          <w:rFonts w:ascii="Verdana" w:hAnsi="Verdana"/>
          <w:b/>
          <w:color w:val="C00000"/>
          <w:sz w:val="24"/>
          <w:szCs w:val="24"/>
        </w:rPr>
        <w:t>Commodity Based ETFs and ETNs</w:t>
      </w:r>
    </w:p>
    <w:p w14:paraId="5E70C84E" w14:textId="77777777" w:rsidR="003230DF" w:rsidRDefault="003230DF" w:rsidP="003230DF">
      <w:pPr>
        <w:spacing w:after="0" w:line="240" w:lineRule="auto"/>
        <w:rPr>
          <w:rFonts w:ascii="Verdana" w:hAnsi="Verdana"/>
          <w:b/>
          <w:color w:val="000000"/>
          <w:sz w:val="21"/>
          <w:szCs w:val="21"/>
        </w:rPr>
      </w:pPr>
    </w:p>
    <w:p w14:paraId="27C1467B" w14:textId="77777777" w:rsidR="003230DF" w:rsidRPr="00065FC4" w:rsidRDefault="003230DF" w:rsidP="003230DF">
      <w:pPr>
        <w:spacing w:after="0" w:line="240" w:lineRule="auto"/>
        <w:rPr>
          <w:rFonts w:ascii="Verdana" w:hAnsi="Verdana"/>
          <w:b/>
          <w:color w:val="000000"/>
          <w:sz w:val="21"/>
          <w:szCs w:val="21"/>
        </w:rPr>
      </w:pPr>
      <w:r>
        <w:rPr>
          <w:rFonts w:ascii="Verdana" w:hAnsi="Verdana"/>
          <w:b/>
          <w:color w:val="000000"/>
          <w:sz w:val="21"/>
          <w:szCs w:val="21"/>
        </w:rPr>
        <w:t>Table B</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2552"/>
        <w:gridCol w:w="2126"/>
        <w:gridCol w:w="1418"/>
      </w:tblGrid>
      <w:tr w:rsidR="003230DF" w:rsidRPr="002F37D0" w14:paraId="0106456F" w14:textId="77777777" w:rsidTr="006D44FD">
        <w:tc>
          <w:tcPr>
            <w:tcW w:w="9356" w:type="dxa"/>
            <w:gridSpan w:val="5"/>
            <w:shd w:val="clear" w:color="auto" w:fill="C00000"/>
          </w:tcPr>
          <w:p w14:paraId="3CB9B6F9" w14:textId="77777777" w:rsidR="003230DF" w:rsidRDefault="003230DF" w:rsidP="006D44FD">
            <w:pPr>
              <w:spacing w:before="40" w:after="20" w:line="280" w:lineRule="atLeast"/>
              <w:jc w:val="center"/>
              <w:rPr>
                <w:rFonts w:ascii="Verdana" w:hAnsi="Verdana"/>
                <w:b/>
                <w:color w:val="FFFFFF"/>
                <w:sz w:val="18"/>
                <w:szCs w:val="18"/>
              </w:rPr>
            </w:pPr>
            <w:r>
              <w:rPr>
                <w:rFonts w:ascii="Verdana" w:hAnsi="Verdana"/>
                <w:b/>
                <w:color w:val="FFFFFF"/>
                <w:sz w:val="18"/>
                <w:szCs w:val="18"/>
              </w:rPr>
              <w:t>Commodity ETPs in South Africa</w:t>
            </w:r>
          </w:p>
          <w:p w14:paraId="3BAD4393" w14:textId="77777777" w:rsidR="003230DF" w:rsidRDefault="003230DF" w:rsidP="006D44FD">
            <w:pPr>
              <w:spacing w:before="40" w:after="20" w:line="280" w:lineRule="atLeast"/>
              <w:jc w:val="center"/>
              <w:rPr>
                <w:rFonts w:ascii="Verdana" w:hAnsi="Verdana"/>
                <w:b/>
                <w:color w:val="FFFFFF"/>
                <w:sz w:val="18"/>
                <w:szCs w:val="18"/>
              </w:rPr>
            </w:pPr>
            <w:r>
              <w:rPr>
                <w:rFonts w:ascii="Verdana" w:hAnsi="Verdana"/>
                <w:b/>
                <w:color w:val="FFFFFF"/>
                <w:sz w:val="18"/>
                <w:szCs w:val="18"/>
              </w:rPr>
              <w:t>Market Capitalisation as at 30 September 2019</w:t>
            </w:r>
          </w:p>
        </w:tc>
      </w:tr>
      <w:tr w:rsidR="003230DF" w:rsidRPr="002F37D0" w14:paraId="7E150878" w14:textId="77777777" w:rsidTr="006D44FD">
        <w:trPr>
          <w:trHeight w:val="299"/>
        </w:trPr>
        <w:tc>
          <w:tcPr>
            <w:tcW w:w="3260" w:type="dxa"/>
            <w:gridSpan w:val="2"/>
            <w:vMerge w:val="restart"/>
            <w:shd w:val="clear" w:color="auto" w:fill="595959"/>
          </w:tcPr>
          <w:p w14:paraId="68A25D6F" w14:textId="77777777" w:rsidR="003230DF" w:rsidRPr="00B65933" w:rsidRDefault="003230DF" w:rsidP="006D44FD">
            <w:pPr>
              <w:spacing w:before="40" w:after="20" w:line="280" w:lineRule="atLeast"/>
              <w:rPr>
                <w:rFonts w:ascii="Verdana" w:hAnsi="Verdana"/>
                <w:b/>
                <w:color w:val="FFFFFF"/>
                <w:sz w:val="17"/>
                <w:szCs w:val="17"/>
              </w:rPr>
            </w:pPr>
          </w:p>
        </w:tc>
        <w:tc>
          <w:tcPr>
            <w:tcW w:w="4678" w:type="dxa"/>
            <w:gridSpan w:val="2"/>
            <w:shd w:val="clear" w:color="auto" w:fill="595959"/>
            <w:vAlign w:val="center"/>
          </w:tcPr>
          <w:p w14:paraId="37E74850" w14:textId="77777777" w:rsidR="003230DF" w:rsidRPr="00B65933" w:rsidRDefault="003230DF" w:rsidP="006D44FD">
            <w:pPr>
              <w:spacing w:before="40" w:after="20" w:line="280" w:lineRule="atLeast"/>
              <w:jc w:val="center"/>
              <w:rPr>
                <w:rFonts w:ascii="Verdana" w:hAnsi="Verdana"/>
                <w:b/>
                <w:color w:val="FFFFFF"/>
                <w:sz w:val="17"/>
                <w:szCs w:val="17"/>
              </w:rPr>
            </w:pPr>
            <w:r>
              <w:rPr>
                <w:rFonts w:ascii="Verdana" w:hAnsi="Verdana"/>
                <w:b/>
                <w:color w:val="FFFFFF"/>
                <w:sz w:val="17"/>
                <w:szCs w:val="17"/>
              </w:rPr>
              <w:t>Issuer</w:t>
            </w:r>
          </w:p>
        </w:tc>
        <w:tc>
          <w:tcPr>
            <w:tcW w:w="1418" w:type="dxa"/>
            <w:vMerge w:val="restart"/>
            <w:shd w:val="clear" w:color="auto" w:fill="595959"/>
            <w:vAlign w:val="center"/>
          </w:tcPr>
          <w:p w14:paraId="3ECDF3F6" w14:textId="7D8FB77D" w:rsidR="003230DF" w:rsidRPr="00B65933" w:rsidRDefault="003230DF" w:rsidP="006D44FD">
            <w:pPr>
              <w:spacing w:before="40" w:after="20" w:line="280" w:lineRule="atLeast"/>
              <w:jc w:val="right"/>
              <w:rPr>
                <w:rFonts w:ascii="Verdana" w:hAnsi="Verdana"/>
                <w:b/>
                <w:color w:val="FFFFFF"/>
                <w:sz w:val="17"/>
                <w:szCs w:val="17"/>
              </w:rPr>
            </w:pPr>
            <w:r>
              <w:rPr>
                <w:rFonts w:ascii="Verdana" w:hAnsi="Verdana"/>
                <w:b/>
                <w:color w:val="FFFFFF"/>
                <w:sz w:val="17"/>
                <w:szCs w:val="17"/>
              </w:rPr>
              <w:t>Total (Rm)</w:t>
            </w:r>
          </w:p>
        </w:tc>
      </w:tr>
      <w:tr w:rsidR="003230DF" w:rsidRPr="002F37D0" w14:paraId="00865689" w14:textId="77777777" w:rsidTr="006D44FD">
        <w:trPr>
          <w:trHeight w:val="495"/>
        </w:trPr>
        <w:tc>
          <w:tcPr>
            <w:tcW w:w="3260" w:type="dxa"/>
            <w:gridSpan w:val="2"/>
            <w:vMerge/>
            <w:shd w:val="clear" w:color="auto" w:fill="595959"/>
          </w:tcPr>
          <w:p w14:paraId="07F2D736" w14:textId="77777777" w:rsidR="003230DF" w:rsidRPr="00B65933" w:rsidRDefault="003230DF" w:rsidP="006D44FD">
            <w:pPr>
              <w:spacing w:before="40" w:after="20" w:line="280" w:lineRule="atLeast"/>
              <w:rPr>
                <w:rFonts w:ascii="Verdana" w:hAnsi="Verdana"/>
                <w:b/>
                <w:color w:val="FFFFFF"/>
                <w:sz w:val="17"/>
                <w:szCs w:val="17"/>
              </w:rPr>
            </w:pPr>
          </w:p>
        </w:tc>
        <w:tc>
          <w:tcPr>
            <w:tcW w:w="2552" w:type="dxa"/>
            <w:shd w:val="clear" w:color="auto" w:fill="595959"/>
            <w:vAlign w:val="center"/>
          </w:tcPr>
          <w:p w14:paraId="0A36F096" w14:textId="77777777" w:rsidR="003230DF" w:rsidRPr="00B65933" w:rsidRDefault="003230DF" w:rsidP="006D44FD">
            <w:pPr>
              <w:spacing w:before="40" w:after="20" w:line="280" w:lineRule="atLeast"/>
              <w:jc w:val="right"/>
              <w:rPr>
                <w:rFonts w:ascii="Verdana" w:hAnsi="Verdana"/>
                <w:b/>
                <w:color w:val="FFFFFF"/>
                <w:sz w:val="17"/>
                <w:szCs w:val="17"/>
              </w:rPr>
            </w:pPr>
            <w:r>
              <w:rPr>
                <w:rFonts w:ascii="Verdana" w:hAnsi="Verdana"/>
                <w:b/>
                <w:color w:val="FFFFFF"/>
                <w:sz w:val="17"/>
                <w:szCs w:val="17"/>
              </w:rPr>
              <w:t>NewGold (Absa Capital) (Amount Rm)</w:t>
            </w:r>
          </w:p>
        </w:tc>
        <w:tc>
          <w:tcPr>
            <w:tcW w:w="2126" w:type="dxa"/>
            <w:shd w:val="clear" w:color="auto" w:fill="595959"/>
          </w:tcPr>
          <w:p w14:paraId="78B86648" w14:textId="77777777" w:rsidR="003230DF" w:rsidRPr="00B65933" w:rsidRDefault="003230DF" w:rsidP="006D44FD">
            <w:pPr>
              <w:spacing w:before="40" w:after="20" w:line="280" w:lineRule="atLeast"/>
              <w:jc w:val="right"/>
              <w:rPr>
                <w:rFonts w:ascii="Verdana" w:hAnsi="Verdana"/>
                <w:b/>
                <w:color w:val="FFFFFF"/>
                <w:sz w:val="17"/>
                <w:szCs w:val="17"/>
              </w:rPr>
            </w:pPr>
            <w:r>
              <w:rPr>
                <w:rFonts w:ascii="Verdana" w:hAnsi="Verdana"/>
                <w:b/>
                <w:color w:val="FFFFFF"/>
                <w:sz w:val="17"/>
                <w:szCs w:val="17"/>
              </w:rPr>
              <w:t>Standard Bank (Amount Rm)</w:t>
            </w:r>
          </w:p>
        </w:tc>
        <w:tc>
          <w:tcPr>
            <w:tcW w:w="1418" w:type="dxa"/>
            <w:vMerge/>
            <w:shd w:val="clear" w:color="auto" w:fill="595959"/>
            <w:vAlign w:val="center"/>
          </w:tcPr>
          <w:p w14:paraId="5538D669" w14:textId="77777777" w:rsidR="003230DF" w:rsidRPr="00B65933" w:rsidRDefault="003230DF" w:rsidP="006D44FD">
            <w:pPr>
              <w:spacing w:before="40" w:after="20" w:line="280" w:lineRule="atLeast"/>
              <w:jc w:val="right"/>
              <w:rPr>
                <w:rFonts w:ascii="Verdana" w:hAnsi="Verdana"/>
                <w:b/>
                <w:color w:val="FFFFFF"/>
                <w:sz w:val="17"/>
                <w:szCs w:val="17"/>
              </w:rPr>
            </w:pPr>
          </w:p>
        </w:tc>
      </w:tr>
      <w:tr w:rsidR="003230DF" w:rsidRPr="002F37D0" w14:paraId="20777022" w14:textId="77777777" w:rsidTr="006D44FD">
        <w:tc>
          <w:tcPr>
            <w:tcW w:w="567" w:type="dxa"/>
            <w:shd w:val="clear" w:color="auto" w:fill="EBEBEB"/>
          </w:tcPr>
          <w:p w14:paraId="3CB277D2" w14:textId="77777777" w:rsidR="003230DF" w:rsidRPr="00B65933" w:rsidRDefault="003230DF" w:rsidP="006D44FD">
            <w:pPr>
              <w:spacing w:before="20" w:after="20" w:line="280" w:lineRule="atLeast"/>
              <w:rPr>
                <w:rFonts w:ascii="Verdana" w:hAnsi="Verdana"/>
                <w:b/>
                <w:color w:val="000000"/>
                <w:sz w:val="17"/>
                <w:szCs w:val="17"/>
              </w:rPr>
            </w:pPr>
            <w:r>
              <w:rPr>
                <w:rFonts w:ascii="Verdana" w:hAnsi="Verdana"/>
                <w:b/>
                <w:color w:val="000000"/>
                <w:sz w:val="17"/>
                <w:szCs w:val="17"/>
              </w:rPr>
              <w:t>1.</w:t>
            </w:r>
          </w:p>
        </w:tc>
        <w:tc>
          <w:tcPr>
            <w:tcW w:w="2693" w:type="dxa"/>
            <w:shd w:val="clear" w:color="auto" w:fill="EBEBEB"/>
          </w:tcPr>
          <w:p w14:paraId="25AB9A05" w14:textId="77777777" w:rsidR="003230DF" w:rsidRPr="00B65933" w:rsidRDefault="003230DF" w:rsidP="006D44FD">
            <w:pPr>
              <w:spacing w:before="20" w:after="20" w:line="280" w:lineRule="atLeast"/>
              <w:rPr>
                <w:rFonts w:ascii="Verdana" w:hAnsi="Verdana"/>
                <w:b/>
                <w:color w:val="000000"/>
                <w:sz w:val="17"/>
                <w:szCs w:val="17"/>
              </w:rPr>
            </w:pPr>
            <w:r>
              <w:rPr>
                <w:rFonts w:ascii="Verdana" w:hAnsi="Verdana"/>
                <w:b/>
                <w:color w:val="000000"/>
                <w:sz w:val="17"/>
                <w:szCs w:val="17"/>
              </w:rPr>
              <w:t>Precious Metal ETFs</w:t>
            </w:r>
          </w:p>
        </w:tc>
        <w:tc>
          <w:tcPr>
            <w:tcW w:w="2552" w:type="dxa"/>
            <w:shd w:val="clear" w:color="auto" w:fill="auto"/>
            <w:vAlign w:val="center"/>
          </w:tcPr>
          <w:p w14:paraId="434071E1" w14:textId="77777777" w:rsidR="003230DF" w:rsidRPr="00B65933" w:rsidRDefault="003230DF" w:rsidP="006D44FD">
            <w:pPr>
              <w:spacing w:before="20" w:after="20" w:line="280" w:lineRule="atLeast"/>
              <w:jc w:val="right"/>
              <w:rPr>
                <w:rFonts w:ascii="Verdana" w:hAnsi="Verdana"/>
                <w:color w:val="000000"/>
                <w:sz w:val="17"/>
                <w:szCs w:val="17"/>
              </w:rPr>
            </w:pPr>
          </w:p>
        </w:tc>
        <w:tc>
          <w:tcPr>
            <w:tcW w:w="2126" w:type="dxa"/>
            <w:shd w:val="clear" w:color="auto" w:fill="auto"/>
          </w:tcPr>
          <w:p w14:paraId="1A5DAA32" w14:textId="77777777" w:rsidR="003230DF" w:rsidRPr="00B65933" w:rsidRDefault="003230DF" w:rsidP="006D44FD">
            <w:pPr>
              <w:spacing w:before="20" w:after="20" w:line="280" w:lineRule="atLeast"/>
              <w:jc w:val="right"/>
              <w:rPr>
                <w:rFonts w:ascii="Verdana" w:hAnsi="Verdana"/>
                <w:color w:val="000000"/>
                <w:sz w:val="17"/>
                <w:szCs w:val="17"/>
              </w:rPr>
            </w:pPr>
          </w:p>
        </w:tc>
        <w:tc>
          <w:tcPr>
            <w:tcW w:w="1418" w:type="dxa"/>
            <w:vAlign w:val="center"/>
          </w:tcPr>
          <w:p w14:paraId="1656F165" w14:textId="77777777" w:rsidR="003230DF" w:rsidRPr="00B65933" w:rsidRDefault="003230DF" w:rsidP="006D44FD">
            <w:pPr>
              <w:spacing w:before="20" w:after="20" w:line="280" w:lineRule="atLeast"/>
              <w:jc w:val="right"/>
              <w:rPr>
                <w:rFonts w:ascii="Verdana" w:hAnsi="Verdana"/>
                <w:color w:val="000000"/>
                <w:sz w:val="17"/>
                <w:szCs w:val="17"/>
              </w:rPr>
            </w:pPr>
          </w:p>
        </w:tc>
      </w:tr>
      <w:tr w:rsidR="003230DF" w:rsidRPr="002F37D0" w14:paraId="4E6B822A" w14:textId="77777777" w:rsidTr="006D44FD">
        <w:tc>
          <w:tcPr>
            <w:tcW w:w="567" w:type="dxa"/>
          </w:tcPr>
          <w:p w14:paraId="211583EC" w14:textId="77777777" w:rsidR="003230DF" w:rsidRPr="00B65933" w:rsidRDefault="003230DF" w:rsidP="006D44FD">
            <w:pPr>
              <w:spacing w:before="20" w:after="20" w:line="280" w:lineRule="atLeast"/>
              <w:rPr>
                <w:rFonts w:ascii="Verdana" w:hAnsi="Verdana"/>
                <w:color w:val="000000"/>
                <w:sz w:val="17"/>
                <w:szCs w:val="17"/>
              </w:rPr>
            </w:pPr>
          </w:p>
        </w:tc>
        <w:tc>
          <w:tcPr>
            <w:tcW w:w="2693" w:type="dxa"/>
            <w:shd w:val="clear" w:color="auto" w:fill="auto"/>
          </w:tcPr>
          <w:p w14:paraId="5172B7B8" w14:textId="77777777" w:rsidR="003230DF" w:rsidRPr="00B65933" w:rsidRDefault="003230DF" w:rsidP="006D44FD">
            <w:pPr>
              <w:spacing w:before="20" w:after="20" w:line="280" w:lineRule="atLeast"/>
              <w:rPr>
                <w:rFonts w:ascii="Verdana" w:hAnsi="Verdana"/>
                <w:color w:val="000000"/>
                <w:sz w:val="17"/>
                <w:szCs w:val="17"/>
              </w:rPr>
            </w:pPr>
            <w:r>
              <w:rPr>
                <w:rFonts w:ascii="Verdana" w:hAnsi="Verdana"/>
                <w:color w:val="000000"/>
                <w:sz w:val="17"/>
                <w:szCs w:val="17"/>
              </w:rPr>
              <w:t>Gold</w:t>
            </w:r>
          </w:p>
        </w:tc>
        <w:tc>
          <w:tcPr>
            <w:tcW w:w="2552" w:type="dxa"/>
            <w:shd w:val="clear" w:color="auto" w:fill="auto"/>
            <w:vAlign w:val="center"/>
          </w:tcPr>
          <w:p w14:paraId="38FEF685"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14 753,6</w:t>
            </w:r>
          </w:p>
        </w:tc>
        <w:tc>
          <w:tcPr>
            <w:tcW w:w="2126" w:type="dxa"/>
            <w:shd w:val="clear" w:color="auto" w:fill="auto"/>
          </w:tcPr>
          <w:p w14:paraId="28441CA4"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155,1</w:t>
            </w:r>
          </w:p>
        </w:tc>
        <w:tc>
          <w:tcPr>
            <w:tcW w:w="1418" w:type="dxa"/>
            <w:vAlign w:val="center"/>
          </w:tcPr>
          <w:p w14:paraId="580B8EA0"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14 908,7</w:t>
            </w:r>
          </w:p>
        </w:tc>
      </w:tr>
      <w:tr w:rsidR="003230DF" w:rsidRPr="002F37D0" w14:paraId="46EA8342" w14:textId="77777777" w:rsidTr="006D44FD">
        <w:tc>
          <w:tcPr>
            <w:tcW w:w="567" w:type="dxa"/>
          </w:tcPr>
          <w:p w14:paraId="0D6D70A2" w14:textId="77777777" w:rsidR="003230DF" w:rsidRPr="00B65933" w:rsidRDefault="003230DF" w:rsidP="006D44FD">
            <w:pPr>
              <w:spacing w:before="20" w:after="20" w:line="280" w:lineRule="atLeast"/>
              <w:rPr>
                <w:rFonts w:ascii="Verdana" w:hAnsi="Verdana"/>
                <w:color w:val="000000"/>
                <w:sz w:val="17"/>
                <w:szCs w:val="17"/>
              </w:rPr>
            </w:pPr>
          </w:p>
        </w:tc>
        <w:tc>
          <w:tcPr>
            <w:tcW w:w="2693" w:type="dxa"/>
            <w:shd w:val="clear" w:color="auto" w:fill="auto"/>
          </w:tcPr>
          <w:p w14:paraId="3A86B57E" w14:textId="77777777" w:rsidR="003230DF" w:rsidRDefault="003230DF" w:rsidP="006D44FD">
            <w:pPr>
              <w:spacing w:before="20" w:after="20" w:line="280" w:lineRule="atLeast"/>
              <w:rPr>
                <w:rFonts w:ascii="Verdana" w:hAnsi="Verdana"/>
                <w:color w:val="000000"/>
                <w:sz w:val="17"/>
                <w:szCs w:val="17"/>
              </w:rPr>
            </w:pPr>
            <w:r>
              <w:rPr>
                <w:rFonts w:ascii="Verdana" w:hAnsi="Verdana"/>
                <w:color w:val="000000"/>
                <w:sz w:val="17"/>
                <w:szCs w:val="17"/>
              </w:rPr>
              <w:t>Platinum</w:t>
            </w:r>
          </w:p>
        </w:tc>
        <w:tc>
          <w:tcPr>
            <w:tcW w:w="2552" w:type="dxa"/>
            <w:shd w:val="clear" w:color="auto" w:fill="auto"/>
            <w:vAlign w:val="center"/>
          </w:tcPr>
          <w:p w14:paraId="5CED76EB"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13 585,4</w:t>
            </w:r>
          </w:p>
        </w:tc>
        <w:tc>
          <w:tcPr>
            <w:tcW w:w="2126" w:type="dxa"/>
            <w:shd w:val="clear" w:color="auto" w:fill="auto"/>
          </w:tcPr>
          <w:p w14:paraId="1CF7EE8A"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2 079,6</w:t>
            </w:r>
          </w:p>
        </w:tc>
        <w:tc>
          <w:tcPr>
            <w:tcW w:w="1418" w:type="dxa"/>
            <w:vAlign w:val="center"/>
          </w:tcPr>
          <w:p w14:paraId="6E86DD73"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15 665,0</w:t>
            </w:r>
          </w:p>
        </w:tc>
      </w:tr>
      <w:tr w:rsidR="003230DF" w:rsidRPr="002F37D0" w14:paraId="304FB148" w14:textId="77777777" w:rsidTr="006D44FD">
        <w:tc>
          <w:tcPr>
            <w:tcW w:w="567" w:type="dxa"/>
          </w:tcPr>
          <w:p w14:paraId="2DBA45D5" w14:textId="77777777" w:rsidR="003230DF" w:rsidRPr="00B65933" w:rsidRDefault="003230DF" w:rsidP="006D44FD">
            <w:pPr>
              <w:spacing w:before="20" w:after="20" w:line="280" w:lineRule="atLeast"/>
              <w:rPr>
                <w:rFonts w:ascii="Verdana" w:hAnsi="Verdana"/>
                <w:color w:val="000000"/>
                <w:sz w:val="17"/>
                <w:szCs w:val="17"/>
              </w:rPr>
            </w:pPr>
          </w:p>
        </w:tc>
        <w:tc>
          <w:tcPr>
            <w:tcW w:w="2693" w:type="dxa"/>
            <w:shd w:val="clear" w:color="auto" w:fill="auto"/>
          </w:tcPr>
          <w:p w14:paraId="5E15C176" w14:textId="77777777" w:rsidR="003230DF" w:rsidRPr="00B65933" w:rsidRDefault="003230DF" w:rsidP="006D44FD">
            <w:pPr>
              <w:spacing w:before="20" w:after="20" w:line="280" w:lineRule="atLeast"/>
              <w:rPr>
                <w:rFonts w:ascii="Verdana" w:hAnsi="Verdana"/>
                <w:color w:val="000000"/>
                <w:sz w:val="17"/>
                <w:szCs w:val="17"/>
              </w:rPr>
            </w:pPr>
            <w:r>
              <w:rPr>
                <w:rFonts w:ascii="Verdana" w:hAnsi="Verdana"/>
                <w:color w:val="000000"/>
                <w:sz w:val="17"/>
                <w:szCs w:val="17"/>
              </w:rPr>
              <w:t>Palladium</w:t>
            </w:r>
          </w:p>
        </w:tc>
        <w:tc>
          <w:tcPr>
            <w:tcW w:w="2552" w:type="dxa"/>
            <w:shd w:val="clear" w:color="auto" w:fill="auto"/>
            <w:vAlign w:val="center"/>
          </w:tcPr>
          <w:p w14:paraId="03ABB7D8"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10 012,8</w:t>
            </w:r>
          </w:p>
        </w:tc>
        <w:tc>
          <w:tcPr>
            <w:tcW w:w="2126" w:type="dxa"/>
            <w:shd w:val="clear" w:color="auto" w:fill="auto"/>
          </w:tcPr>
          <w:p w14:paraId="6DB88320"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3 418,1</w:t>
            </w:r>
          </w:p>
        </w:tc>
        <w:tc>
          <w:tcPr>
            <w:tcW w:w="1418" w:type="dxa"/>
            <w:vAlign w:val="center"/>
          </w:tcPr>
          <w:p w14:paraId="5A8B6287"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4 430,9</w:t>
            </w:r>
          </w:p>
        </w:tc>
      </w:tr>
      <w:tr w:rsidR="003230DF" w:rsidRPr="002F37D0" w14:paraId="7B011188" w14:textId="77777777" w:rsidTr="006D44FD">
        <w:tc>
          <w:tcPr>
            <w:tcW w:w="567" w:type="dxa"/>
          </w:tcPr>
          <w:p w14:paraId="7C50E1A2" w14:textId="77777777" w:rsidR="003230DF" w:rsidRPr="00B65933" w:rsidRDefault="003230DF" w:rsidP="006D44FD">
            <w:pPr>
              <w:spacing w:before="20" w:after="20" w:line="280" w:lineRule="atLeast"/>
              <w:rPr>
                <w:rFonts w:ascii="Verdana" w:hAnsi="Verdana"/>
                <w:color w:val="000000"/>
                <w:sz w:val="17"/>
                <w:szCs w:val="17"/>
              </w:rPr>
            </w:pPr>
          </w:p>
        </w:tc>
        <w:tc>
          <w:tcPr>
            <w:tcW w:w="2693" w:type="dxa"/>
            <w:shd w:val="clear" w:color="auto" w:fill="auto"/>
          </w:tcPr>
          <w:p w14:paraId="45ECF2D2" w14:textId="77777777" w:rsidR="003230DF" w:rsidRDefault="003230DF" w:rsidP="006D44FD">
            <w:pPr>
              <w:spacing w:before="20" w:after="20" w:line="280" w:lineRule="atLeast"/>
              <w:rPr>
                <w:rFonts w:ascii="Verdana" w:hAnsi="Verdana"/>
                <w:color w:val="000000"/>
                <w:sz w:val="17"/>
                <w:szCs w:val="17"/>
              </w:rPr>
            </w:pPr>
            <w:r>
              <w:rPr>
                <w:rFonts w:ascii="Verdana" w:hAnsi="Verdana"/>
                <w:color w:val="000000"/>
                <w:sz w:val="17"/>
                <w:szCs w:val="17"/>
              </w:rPr>
              <w:t>Rhodium</w:t>
            </w:r>
          </w:p>
        </w:tc>
        <w:tc>
          <w:tcPr>
            <w:tcW w:w="2552" w:type="dxa"/>
            <w:shd w:val="clear" w:color="auto" w:fill="auto"/>
            <w:vAlign w:val="center"/>
          </w:tcPr>
          <w:p w14:paraId="2E2C3C94"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w:t>
            </w:r>
          </w:p>
        </w:tc>
        <w:tc>
          <w:tcPr>
            <w:tcW w:w="2126" w:type="dxa"/>
            <w:shd w:val="clear" w:color="auto" w:fill="auto"/>
          </w:tcPr>
          <w:p w14:paraId="721CCEE2"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433,7</w:t>
            </w:r>
          </w:p>
        </w:tc>
        <w:tc>
          <w:tcPr>
            <w:tcW w:w="1418" w:type="dxa"/>
            <w:vAlign w:val="center"/>
          </w:tcPr>
          <w:p w14:paraId="56399B20"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433,7</w:t>
            </w:r>
          </w:p>
        </w:tc>
      </w:tr>
      <w:tr w:rsidR="003230DF" w:rsidRPr="002F37D0" w14:paraId="55A63CA0" w14:textId="77777777" w:rsidTr="006D44FD">
        <w:tc>
          <w:tcPr>
            <w:tcW w:w="567" w:type="dxa"/>
          </w:tcPr>
          <w:p w14:paraId="730A98B9" w14:textId="77777777" w:rsidR="003230DF" w:rsidRPr="00B65933" w:rsidRDefault="003230DF" w:rsidP="006D44FD">
            <w:pPr>
              <w:spacing w:before="20" w:after="20" w:line="280" w:lineRule="atLeast"/>
              <w:rPr>
                <w:rFonts w:ascii="Verdana" w:hAnsi="Verdana"/>
                <w:color w:val="000000"/>
                <w:sz w:val="17"/>
                <w:szCs w:val="17"/>
              </w:rPr>
            </w:pPr>
          </w:p>
        </w:tc>
        <w:tc>
          <w:tcPr>
            <w:tcW w:w="2693" w:type="dxa"/>
            <w:shd w:val="clear" w:color="auto" w:fill="auto"/>
            <w:vAlign w:val="center"/>
          </w:tcPr>
          <w:p w14:paraId="7891D708" w14:textId="77777777" w:rsidR="003230DF"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Sub-total</w:t>
            </w:r>
          </w:p>
        </w:tc>
        <w:tc>
          <w:tcPr>
            <w:tcW w:w="2552" w:type="dxa"/>
            <w:shd w:val="clear" w:color="auto" w:fill="auto"/>
            <w:vAlign w:val="center"/>
          </w:tcPr>
          <w:p w14:paraId="0DF3486B"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29 351,8</w:t>
            </w:r>
          </w:p>
        </w:tc>
        <w:tc>
          <w:tcPr>
            <w:tcW w:w="2126" w:type="dxa"/>
            <w:shd w:val="clear" w:color="auto" w:fill="auto"/>
          </w:tcPr>
          <w:p w14:paraId="492DE3BF"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6 086,5</w:t>
            </w:r>
          </w:p>
        </w:tc>
        <w:tc>
          <w:tcPr>
            <w:tcW w:w="1418" w:type="dxa"/>
            <w:vAlign w:val="center"/>
          </w:tcPr>
          <w:p w14:paraId="0086FD0B"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35 438,3</w:t>
            </w:r>
          </w:p>
        </w:tc>
      </w:tr>
      <w:tr w:rsidR="003230DF" w:rsidRPr="00B65933" w14:paraId="09BD0179" w14:textId="77777777" w:rsidTr="006D44FD">
        <w:tc>
          <w:tcPr>
            <w:tcW w:w="567" w:type="dxa"/>
            <w:shd w:val="clear" w:color="auto" w:fill="EBEBEB"/>
          </w:tcPr>
          <w:p w14:paraId="6570B7B7" w14:textId="77777777" w:rsidR="003230DF" w:rsidRPr="00B65933" w:rsidRDefault="003230DF" w:rsidP="006D44FD">
            <w:pPr>
              <w:spacing w:before="20" w:after="20" w:line="280" w:lineRule="atLeast"/>
              <w:rPr>
                <w:rFonts w:ascii="Verdana" w:hAnsi="Verdana"/>
                <w:b/>
                <w:color w:val="000000"/>
                <w:sz w:val="17"/>
                <w:szCs w:val="17"/>
              </w:rPr>
            </w:pPr>
            <w:r>
              <w:rPr>
                <w:rFonts w:ascii="Verdana" w:hAnsi="Verdana"/>
                <w:b/>
                <w:color w:val="000000"/>
                <w:sz w:val="17"/>
                <w:szCs w:val="17"/>
              </w:rPr>
              <w:t>2.</w:t>
            </w:r>
          </w:p>
        </w:tc>
        <w:tc>
          <w:tcPr>
            <w:tcW w:w="2693" w:type="dxa"/>
            <w:shd w:val="clear" w:color="auto" w:fill="EBEBEB"/>
          </w:tcPr>
          <w:p w14:paraId="3044DADF" w14:textId="77777777" w:rsidR="003230DF" w:rsidRPr="00B65933" w:rsidRDefault="003230DF" w:rsidP="006D44FD">
            <w:pPr>
              <w:spacing w:before="20" w:after="20" w:line="280" w:lineRule="atLeast"/>
              <w:rPr>
                <w:rFonts w:ascii="Verdana" w:hAnsi="Verdana"/>
                <w:b/>
                <w:color w:val="000000"/>
                <w:sz w:val="17"/>
                <w:szCs w:val="17"/>
              </w:rPr>
            </w:pPr>
            <w:r>
              <w:rPr>
                <w:rFonts w:ascii="Verdana" w:hAnsi="Verdana"/>
                <w:b/>
                <w:color w:val="000000"/>
                <w:sz w:val="17"/>
                <w:szCs w:val="17"/>
              </w:rPr>
              <w:t>Precious Metal ETNs</w:t>
            </w:r>
          </w:p>
        </w:tc>
        <w:tc>
          <w:tcPr>
            <w:tcW w:w="2552" w:type="dxa"/>
            <w:shd w:val="clear" w:color="auto" w:fill="auto"/>
            <w:vAlign w:val="center"/>
          </w:tcPr>
          <w:p w14:paraId="5C8D6C5C" w14:textId="77777777" w:rsidR="003230DF" w:rsidRPr="00B65933" w:rsidRDefault="003230DF" w:rsidP="006D44FD">
            <w:pPr>
              <w:spacing w:before="20" w:after="20" w:line="280" w:lineRule="atLeast"/>
              <w:jc w:val="right"/>
              <w:rPr>
                <w:rFonts w:ascii="Verdana" w:hAnsi="Verdana"/>
                <w:color w:val="000000"/>
                <w:sz w:val="17"/>
                <w:szCs w:val="17"/>
              </w:rPr>
            </w:pPr>
          </w:p>
        </w:tc>
        <w:tc>
          <w:tcPr>
            <w:tcW w:w="2126" w:type="dxa"/>
            <w:shd w:val="clear" w:color="auto" w:fill="auto"/>
          </w:tcPr>
          <w:p w14:paraId="3882ECF9" w14:textId="77777777" w:rsidR="003230DF" w:rsidRPr="00B65933" w:rsidRDefault="003230DF" w:rsidP="006D44FD">
            <w:pPr>
              <w:spacing w:before="20" w:after="20" w:line="280" w:lineRule="atLeast"/>
              <w:jc w:val="right"/>
              <w:rPr>
                <w:rFonts w:ascii="Verdana" w:hAnsi="Verdana"/>
                <w:color w:val="000000"/>
                <w:sz w:val="17"/>
                <w:szCs w:val="17"/>
              </w:rPr>
            </w:pPr>
          </w:p>
        </w:tc>
        <w:tc>
          <w:tcPr>
            <w:tcW w:w="1418" w:type="dxa"/>
            <w:vAlign w:val="center"/>
          </w:tcPr>
          <w:p w14:paraId="11C9E759" w14:textId="77777777" w:rsidR="003230DF" w:rsidRPr="00B65933" w:rsidRDefault="003230DF" w:rsidP="006D44FD">
            <w:pPr>
              <w:spacing w:before="20" w:after="20" w:line="280" w:lineRule="atLeast"/>
              <w:jc w:val="right"/>
              <w:rPr>
                <w:rFonts w:ascii="Verdana" w:hAnsi="Verdana"/>
                <w:color w:val="000000"/>
                <w:sz w:val="17"/>
                <w:szCs w:val="17"/>
              </w:rPr>
            </w:pPr>
          </w:p>
        </w:tc>
      </w:tr>
      <w:tr w:rsidR="003230DF" w:rsidRPr="00B65933" w14:paraId="78B36474" w14:textId="77777777" w:rsidTr="006D44FD">
        <w:tc>
          <w:tcPr>
            <w:tcW w:w="567" w:type="dxa"/>
          </w:tcPr>
          <w:p w14:paraId="32EE4504" w14:textId="77777777" w:rsidR="003230DF" w:rsidRPr="00B65933" w:rsidRDefault="003230DF" w:rsidP="006D44FD">
            <w:pPr>
              <w:spacing w:before="20" w:after="20" w:line="280" w:lineRule="atLeast"/>
              <w:rPr>
                <w:rFonts w:ascii="Verdana" w:hAnsi="Verdana"/>
                <w:color w:val="000000"/>
                <w:sz w:val="17"/>
                <w:szCs w:val="17"/>
              </w:rPr>
            </w:pPr>
          </w:p>
        </w:tc>
        <w:tc>
          <w:tcPr>
            <w:tcW w:w="2693" w:type="dxa"/>
            <w:shd w:val="clear" w:color="auto" w:fill="auto"/>
          </w:tcPr>
          <w:p w14:paraId="79DA7DEC" w14:textId="77777777" w:rsidR="003230DF" w:rsidRPr="00B65933" w:rsidRDefault="003230DF" w:rsidP="006D44FD">
            <w:pPr>
              <w:spacing w:before="20" w:after="20" w:line="280" w:lineRule="atLeast"/>
              <w:rPr>
                <w:rFonts w:ascii="Verdana" w:hAnsi="Verdana"/>
                <w:color w:val="000000"/>
                <w:sz w:val="17"/>
                <w:szCs w:val="17"/>
              </w:rPr>
            </w:pPr>
            <w:r>
              <w:rPr>
                <w:rFonts w:ascii="Verdana" w:hAnsi="Verdana"/>
                <w:color w:val="000000"/>
                <w:sz w:val="17"/>
                <w:szCs w:val="17"/>
              </w:rPr>
              <w:t xml:space="preserve">Gold </w:t>
            </w:r>
          </w:p>
        </w:tc>
        <w:tc>
          <w:tcPr>
            <w:tcW w:w="2552" w:type="dxa"/>
            <w:shd w:val="clear" w:color="auto" w:fill="auto"/>
            <w:vAlign w:val="center"/>
          </w:tcPr>
          <w:p w14:paraId="4E1DADE9"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w:t>
            </w:r>
          </w:p>
        </w:tc>
        <w:tc>
          <w:tcPr>
            <w:tcW w:w="2126" w:type="dxa"/>
            <w:shd w:val="clear" w:color="auto" w:fill="auto"/>
          </w:tcPr>
          <w:p w14:paraId="63A5A221"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242,1</w:t>
            </w:r>
          </w:p>
        </w:tc>
        <w:tc>
          <w:tcPr>
            <w:tcW w:w="1418" w:type="dxa"/>
            <w:vAlign w:val="center"/>
          </w:tcPr>
          <w:p w14:paraId="6449A7B3"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242,1</w:t>
            </w:r>
          </w:p>
        </w:tc>
      </w:tr>
      <w:tr w:rsidR="003230DF" w:rsidRPr="00B65933" w14:paraId="0DF0C59E" w14:textId="77777777" w:rsidTr="006D44FD">
        <w:tc>
          <w:tcPr>
            <w:tcW w:w="567" w:type="dxa"/>
          </w:tcPr>
          <w:p w14:paraId="15219B99" w14:textId="77777777" w:rsidR="003230DF" w:rsidRPr="00B65933" w:rsidRDefault="003230DF" w:rsidP="006D44FD">
            <w:pPr>
              <w:spacing w:before="20" w:after="20" w:line="280" w:lineRule="atLeast"/>
              <w:rPr>
                <w:rFonts w:ascii="Verdana" w:hAnsi="Verdana"/>
                <w:color w:val="000000"/>
                <w:sz w:val="17"/>
                <w:szCs w:val="17"/>
              </w:rPr>
            </w:pPr>
          </w:p>
        </w:tc>
        <w:tc>
          <w:tcPr>
            <w:tcW w:w="2693" w:type="dxa"/>
            <w:shd w:val="clear" w:color="auto" w:fill="auto"/>
          </w:tcPr>
          <w:p w14:paraId="455AEDF6" w14:textId="77777777" w:rsidR="003230DF" w:rsidRPr="00B65933" w:rsidRDefault="003230DF" w:rsidP="006D44FD">
            <w:pPr>
              <w:spacing w:before="20" w:after="20" w:line="280" w:lineRule="atLeast"/>
              <w:rPr>
                <w:rFonts w:ascii="Verdana" w:hAnsi="Verdana"/>
                <w:color w:val="000000"/>
                <w:sz w:val="17"/>
                <w:szCs w:val="17"/>
              </w:rPr>
            </w:pPr>
            <w:r>
              <w:rPr>
                <w:rFonts w:ascii="Verdana" w:hAnsi="Verdana"/>
                <w:color w:val="000000"/>
                <w:sz w:val="17"/>
                <w:szCs w:val="17"/>
              </w:rPr>
              <w:t>Platinum</w:t>
            </w:r>
          </w:p>
        </w:tc>
        <w:tc>
          <w:tcPr>
            <w:tcW w:w="2552" w:type="dxa"/>
            <w:shd w:val="clear" w:color="auto" w:fill="auto"/>
            <w:vAlign w:val="center"/>
          </w:tcPr>
          <w:p w14:paraId="4C67C4BE"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27,8</w:t>
            </w:r>
          </w:p>
        </w:tc>
        <w:tc>
          <w:tcPr>
            <w:tcW w:w="2126" w:type="dxa"/>
            <w:shd w:val="clear" w:color="auto" w:fill="auto"/>
          </w:tcPr>
          <w:p w14:paraId="43F386B6"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222,5</w:t>
            </w:r>
          </w:p>
        </w:tc>
        <w:tc>
          <w:tcPr>
            <w:tcW w:w="1418" w:type="dxa"/>
            <w:vAlign w:val="center"/>
          </w:tcPr>
          <w:p w14:paraId="7083DE37"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250,3</w:t>
            </w:r>
          </w:p>
        </w:tc>
      </w:tr>
      <w:tr w:rsidR="003230DF" w:rsidRPr="00B65933" w14:paraId="617E84B9" w14:textId="77777777" w:rsidTr="006D44FD">
        <w:tc>
          <w:tcPr>
            <w:tcW w:w="567" w:type="dxa"/>
          </w:tcPr>
          <w:p w14:paraId="68D9E595" w14:textId="77777777" w:rsidR="003230DF" w:rsidRPr="00B65933" w:rsidRDefault="003230DF" w:rsidP="006D44FD">
            <w:pPr>
              <w:spacing w:before="20" w:after="20" w:line="280" w:lineRule="atLeast"/>
              <w:rPr>
                <w:rFonts w:ascii="Verdana" w:hAnsi="Verdana"/>
                <w:color w:val="000000"/>
                <w:sz w:val="17"/>
                <w:szCs w:val="17"/>
              </w:rPr>
            </w:pPr>
          </w:p>
        </w:tc>
        <w:tc>
          <w:tcPr>
            <w:tcW w:w="2693" w:type="dxa"/>
            <w:shd w:val="clear" w:color="auto" w:fill="auto"/>
          </w:tcPr>
          <w:p w14:paraId="0A498543" w14:textId="77777777" w:rsidR="003230DF" w:rsidRDefault="003230DF" w:rsidP="006D44FD">
            <w:pPr>
              <w:spacing w:before="20" w:after="20" w:line="280" w:lineRule="atLeast"/>
              <w:rPr>
                <w:rFonts w:ascii="Verdana" w:hAnsi="Verdana"/>
                <w:color w:val="000000"/>
                <w:sz w:val="17"/>
                <w:szCs w:val="17"/>
              </w:rPr>
            </w:pPr>
            <w:r>
              <w:rPr>
                <w:rFonts w:ascii="Verdana" w:hAnsi="Verdana"/>
                <w:color w:val="000000"/>
                <w:sz w:val="17"/>
                <w:szCs w:val="17"/>
              </w:rPr>
              <w:t>Palladium</w:t>
            </w:r>
          </w:p>
        </w:tc>
        <w:tc>
          <w:tcPr>
            <w:tcW w:w="2552" w:type="dxa"/>
            <w:shd w:val="clear" w:color="auto" w:fill="auto"/>
            <w:vAlign w:val="center"/>
          </w:tcPr>
          <w:p w14:paraId="4189FFAE"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w:t>
            </w:r>
          </w:p>
        </w:tc>
        <w:tc>
          <w:tcPr>
            <w:tcW w:w="2126" w:type="dxa"/>
            <w:shd w:val="clear" w:color="auto" w:fill="auto"/>
          </w:tcPr>
          <w:p w14:paraId="662293B8"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360,6</w:t>
            </w:r>
          </w:p>
        </w:tc>
        <w:tc>
          <w:tcPr>
            <w:tcW w:w="1418" w:type="dxa"/>
            <w:vAlign w:val="center"/>
          </w:tcPr>
          <w:p w14:paraId="5789EE0E"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360,6</w:t>
            </w:r>
          </w:p>
        </w:tc>
      </w:tr>
      <w:tr w:rsidR="003230DF" w:rsidRPr="00B65933" w14:paraId="12E5BABD" w14:textId="77777777" w:rsidTr="006D44FD">
        <w:tc>
          <w:tcPr>
            <w:tcW w:w="567" w:type="dxa"/>
          </w:tcPr>
          <w:p w14:paraId="4DB68DCA" w14:textId="77777777" w:rsidR="003230DF" w:rsidRPr="00B65933" w:rsidRDefault="003230DF" w:rsidP="006D44FD">
            <w:pPr>
              <w:spacing w:before="20" w:after="20" w:line="280" w:lineRule="atLeast"/>
              <w:rPr>
                <w:rFonts w:ascii="Verdana" w:hAnsi="Verdana"/>
                <w:color w:val="000000"/>
                <w:sz w:val="17"/>
                <w:szCs w:val="17"/>
              </w:rPr>
            </w:pPr>
          </w:p>
        </w:tc>
        <w:tc>
          <w:tcPr>
            <w:tcW w:w="2693" w:type="dxa"/>
            <w:shd w:val="clear" w:color="auto" w:fill="auto"/>
          </w:tcPr>
          <w:p w14:paraId="6F6A5D64" w14:textId="77777777" w:rsidR="003230DF" w:rsidRDefault="003230DF" w:rsidP="006D44FD">
            <w:pPr>
              <w:spacing w:before="20" w:after="20" w:line="280" w:lineRule="atLeast"/>
              <w:rPr>
                <w:rFonts w:ascii="Verdana" w:hAnsi="Verdana"/>
                <w:color w:val="000000"/>
                <w:sz w:val="17"/>
                <w:szCs w:val="17"/>
              </w:rPr>
            </w:pPr>
            <w:r>
              <w:rPr>
                <w:rFonts w:ascii="Verdana" w:hAnsi="Verdana"/>
                <w:color w:val="000000"/>
                <w:sz w:val="17"/>
                <w:szCs w:val="17"/>
              </w:rPr>
              <w:t>Silver</w:t>
            </w:r>
          </w:p>
        </w:tc>
        <w:tc>
          <w:tcPr>
            <w:tcW w:w="2552" w:type="dxa"/>
            <w:shd w:val="clear" w:color="auto" w:fill="auto"/>
            <w:vAlign w:val="center"/>
          </w:tcPr>
          <w:p w14:paraId="5E8DAB74"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42,0</w:t>
            </w:r>
          </w:p>
        </w:tc>
        <w:tc>
          <w:tcPr>
            <w:tcW w:w="2126" w:type="dxa"/>
            <w:shd w:val="clear" w:color="auto" w:fill="auto"/>
          </w:tcPr>
          <w:p w14:paraId="7BF77128"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86,3</w:t>
            </w:r>
          </w:p>
        </w:tc>
        <w:tc>
          <w:tcPr>
            <w:tcW w:w="1418" w:type="dxa"/>
            <w:vAlign w:val="center"/>
          </w:tcPr>
          <w:p w14:paraId="5EBCFA93"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128,3</w:t>
            </w:r>
          </w:p>
        </w:tc>
      </w:tr>
      <w:tr w:rsidR="003230DF" w:rsidRPr="00B65933" w14:paraId="4134F8BF" w14:textId="77777777" w:rsidTr="006D44FD">
        <w:tc>
          <w:tcPr>
            <w:tcW w:w="567" w:type="dxa"/>
          </w:tcPr>
          <w:p w14:paraId="12399644" w14:textId="77777777" w:rsidR="003230DF" w:rsidRPr="00B65933" w:rsidRDefault="003230DF" w:rsidP="006D44FD">
            <w:pPr>
              <w:spacing w:before="20" w:after="20" w:line="280" w:lineRule="atLeast"/>
              <w:rPr>
                <w:rFonts w:ascii="Verdana" w:hAnsi="Verdana"/>
                <w:color w:val="000000"/>
                <w:sz w:val="17"/>
                <w:szCs w:val="17"/>
              </w:rPr>
            </w:pPr>
          </w:p>
        </w:tc>
        <w:tc>
          <w:tcPr>
            <w:tcW w:w="2693" w:type="dxa"/>
            <w:shd w:val="clear" w:color="auto" w:fill="auto"/>
            <w:vAlign w:val="center"/>
          </w:tcPr>
          <w:p w14:paraId="46466B9F" w14:textId="77777777" w:rsidR="003230DF"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Sub-total</w:t>
            </w:r>
          </w:p>
        </w:tc>
        <w:tc>
          <w:tcPr>
            <w:tcW w:w="2552" w:type="dxa"/>
            <w:shd w:val="clear" w:color="auto" w:fill="auto"/>
            <w:vAlign w:val="center"/>
          </w:tcPr>
          <w:p w14:paraId="169B8017"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69,8</w:t>
            </w:r>
          </w:p>
        </w:tc>
        <w:tc>
          <w:tcPr>
            <w:tcW w:w="2126" w:type="dxa"/>
            <w:shd w:val="clear" w:color="auto" w:fill="auto"/>
          </w:tcPr>
          <w:p w14:paraId="668DB736"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911,5</w:t>
            </w:r>
          </w:p>
        </w:tc>
        <w:tc>
          <w:tcPr>
            <w:tcW w:w="1418" w:type="dxa"/>
            <w:vAlign w:val="center"/>
          </w:tcPr>
          <w:p w14:paraId="65BA900C"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981,3</w:t>
            </w:r>
          </w:p>
        </w:tc>
      </w:tr>
      <w:tr w:rsidR="003230DF" w:rsidRPr="00B65933" w14:paraId="53D5DC42" w14:textId="77777777" w:rsidTr="006D44FD">
        <w:tc>
          <w:tcPr>
            <w:tcW w:w="567" w:type="dxa"/>
            <w:shd w:val="clear" w:color="auto" w:fill="EBEBEB"/>
          </w:tcPr>
          <w:p w14:paraId="28378FCE" w14:textId="77777777" w:rsidR="003230DF" w:rsidRPr="00B65933" w:rsidRDefault="003230DF" w:rsidP="006D44FD">
            <w:pPr>
              <w:spacing w:before="20" w:after="20" w:line="280" w:lineRule="atLeast"/>
              <w:rPr>
                <w:rFonts w:ascii="Verdana" w:hAnsi="Verdana"/>
                <w:b/>
                <w:color w:val="000000"/>
                <w:sz w:val="17"/>
                <w:szCs w:val="17"/>
              </w:rPr>
            </w:pPr>
            <w:r>
              <w:rPr>
                <w:rFonts w:ascii="Verdana" w:hAnsi="Verdana"/>
                <w:b/>
                <w:color w:val="000000"/>
                <w:sz w:val="17"/>
                <w:szCs w:val="17"/>
              </w:rPr>
              <w:t>3.</w:t>
            </w:r>
          </w:p>
        </w:tc>
        <w:tc>
          <w:tcPr>
            <w:tcW w:w="2693" w:type="dxa"/>
            <w:shd w:val="clear" w:color="auto" w:fill="EBEBEB"/>
          </w:tcPr>
          <w:p w14:paraId="76949232" w14:textId="77777777" w:rsidR="003230DF" w:rsidRPr="00B65933" w:rsidRDefault="003230DF" w:rsidP="006D44FD">
            <w:pPr>
              <w:spacing w:before="20" w:after="20" w:line="280" w:lineRule="atLeast"/>
              <w:rPr>
                <w:rFonts w:ascii="Verdana" w:hAnsi="Verdana"/>
                <w:b/>
                <w:color w:val="000000"/>
                <w:sz w:val="17"/>
                <w:szCs w:val="17"/>
              </w:rPr>
            </w:pPr>
            <w:r>
              <w:rPr>
                <w:rFonts w:ascii="Verdana" w:hAnsi="Verdana"/>
                <w:b/>
                <w:color w:val="000000"/>
                <w:sz w:val="17"/>
                <w:szCs w:val="17"/>
              </w:rPr>
              <w:t>Other Commodity ETNs</w:t>
            </w:r>
          </w:p>
        </w:tc>
        <w:tc>
          <w:tcPr>
            <w:tcW w:w="2552" w:type="dxa"/>
            <w:shd w:val="clear" w:color="auto" w:fill="auto"/>
            <w:vAlign w:val="center"/>
          </w:tcPr>
          <w:p w14:paraId="3CB9897E" w14:textId="77777777" w:rsidR="003230DF" w:rsidRPr="00B65933" w:rsidRDefault="003230DF" w:rsidP="006D44FD">
            <w:pPr>
              <w:spacing w:before="20" w:after="20" w:line="280" w:lineRule="atLeast"/>
              <w:jc w:val="right"/>
              <w:rPr>
                <w:rFonts w:ascii="Verdana" w:hAnsi="Verdana"/>
                <w:color w:val="000000"/>
                <w:sz w:val="17"/>
                <w:szCs w:val="17"/>
              </w:rPr>
            </w:pPr>
          </w:p>
        </w:tc>
        <w:tc>
          <w:tcPr>
            <w:tcW w:w="2126" w:type="dxa"/>
            <w:shd w:val="clear" w:color="auto" w:fill="auto"/>
          </w:tcPr>
          <w:p w14:paraId="34DC6E08" w14:textId="77777777" w:rsidR="003230DF" w:rsidRPr="00B65933" w:rsidRDefault="003230DF" w:rsidP="006D44FD">
            <w:pPr>
              <w:spacing w:before="20" w:after="20" w:line="280" w:lineRule="atLeast"/>
              <w:jc w:val="right"/>
              <w:rPr>
                <w:rFonts w:ascii="Verdana" w:hAnsi="Verdana"/>
                <w:color w:val="000000"/>
                <w:sz w:val="17"/>
                <w:szCs w:val="17"/>
              </w:rPr>
            </w:pPr>
          </w:p>
        </w:tc>
        <w:tc>
          <w:tcPr>
            <w:tcW w:w="1418" w:type="dxa"/>
            <w:vAlign w:val="center"/>
          </w:tcPr>
          <w:p w14:paraId="0775F8C9" w14:textId="77777777" w:rsidR="003230DF" w:rsidRPr="00B65933" w:rsidRDefault="003230DF" w:rsidP="006D44FD">
            <w:pPr>
              <w:spacing w:before="20" w:after="20" w:line="280" w:lineRule="atLeast"/>
              <w:jc w:val="right"/>
              <w:rPr>
                <w:rFonts w:ascii="Verdana" w:hAnsi="Verdana"/>
                <w:color w:val="000000"/>
                <w:sz w:val="17"/>
                <w:szCs w:val="17"/>
              </w:rPr>
            </w:pPr>
          </w:p>
        </w:tc>
      </w:tr>
      <w:tr w:rsidR="003230DF" w:rsidRPr="00B65933" w14:paraId="58D2814D" w14:textId="77777777" w:rsidTr="006D44FD">
        <w:tc>
          <w:tcPr>
            <w:tcW w:w="567" w:type="dxa"/>
          </w:tcPr>
          <w:p w14:paraId="4E6FB461" w14:textId="77777777" w:rsidR="003230DF" w:rsidRPr="00B65933" w:rsidRDefault="003230DF" w:rsidP="006D44FD">
            <w:pPr>
              <w:spacing w:before="20" w:after="20" w:line="280" w:lineRule="atLeast"/>
              <w:rPr>
                <w:rFonts w:ascii="Verdana" w:hAnsi="Verdana"/>
                <w:color w:val="000000"/>
                <w:sz w:val="17"/>
                <w:szCs w:val="17"/>
              </w:rPr>
            </w:pPr>
          </w:p>
        </w:tc>
        <w:tc>
          <w:tcPr>
            <w:tcW w:w="2693" w:type="dxa"/>
            <w:shd w:val="clear" w:color="auto" w:fill="auto"/>
          </w:tcPr>
          <w:p w14:paraId="2E67D65D" w14:textId="77777777" w:rsidR="003230DF" w:rsidRPr="00B65933" w:rsidRDefault="003230DF" w:rsidP="006D44FD">
            <w:pPr>
              <w:spacing w:before="20" w:after="20" w:line="280" w:lineRule="atLeast"/>
              <w:rPr>
                <w:rFonts w:ascii="Verdana" w:hAnsi="Verdana"/>
                <w:color w:val="000000"/>
                <w:sz w:val="17"/>
                <w:szCs w:val="17"/>
              </w:rPr>
            </w:pPr>
            <w:r>
              <w:rPr>
                <w:rFonts w:ascii="Verdana" w:hAnsi="Verdana"/>
                <w:color w:val="000000"/>
                <w:sz w:val="17"/>
                <w:szCs w:val="17"/>
              </w:rPr>
              <w:t>Copper</w:t>
            </w:r>
          </w:p>
        </w:tc>
        <w:tc>
          <w:tcPr>
            <w:tcW w:w="2552" w:type="dxa"/>
            <w:shd w:val="clear" w:color="auto" w:fill="auto"/>
            <w:vAlign w:val="center"/>
          </w:tcPr>
          <w:p w14:paraId="6097818E"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w:t>
            </w:r>
          </w:p>
        </w:tc>
        <w:tc>
          <w:tcPr>
            <w:tcW w:w="2126" w:type="dxa"/>
            <w:shd w:val="clear" w:color="auto" w:fill="auto"/>
          </w:tcPr>
          <w:p w14:paraId="2F520146"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145,1</w:t>
            </w:r>
          </w:p>
        </w:tc>
        <w:tc>
          <w:tcPr>
            <w:tcW w:w="1418" w:type="dxa"/>
            <w:vAlign w:val="center"/>
          </w:tcPr>
          <w:p w14:paraId="7807A85A"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145,1</w:t>
            </w:r>
          </w:p>
        </w:tc>
      </w:tr>
      <w:tr w:rsidR="003230DF" w:rsidRPr="00B65933" w14:paraId="5AA38817" w14:textId="77777777" w:rsidTr="006D44FD">
        <w:tc>
          <w:tcPr>
            <w:tcW w:w="567" w:type="dxa"/>
          </w:tcPr>
          <w:p w14:paraId="1EB74383" w14:textId="77777777" w:rsidR="003230DF" w:rsidRPr="00B65933" w:rsidRDefault="003230DF" w:rsidP="006D44FD">
            <w:pPr>
              <w:spacing w:before="20" w:after="20" w:line="280" w:lineRule="atLeast"/>
              <w:rPr>
                <w:rFonts w:ascii="Verdana" w:hAnsi="Verdana"/>
                <w:color w:val="000000"/>
                <w:sz w:val="17"/>
                <w:szCs w:val="17"/>
              </w:rPr>
            </w:pPr>
          </w:p>
        </w:tc>
        <w:tc>
          <w:tcPr>
            <w:tcW w:w="2693" w:type="dxa"/>
            <w:shd w:val="clear" w:color="auto" w:fill="auto"/>
          </w:tcPr>
          <w:p w14:paraId="77A5B893" w14:textId="77777777" w:rsidR="003230DF" w:rsidRPr="00B65933" w:rsidRDefault="003230DF" w:rsidP="006D44FD">
            <w:pPr>
              <w:spacing w:before="20" w:after="20" w:line="280" w:lineRule="atLeast"/>
              <w:rPr>
                <w:rFonts w:ascii="Verdana" w:hAnsi="Verdana"/>
                <w:color w:val="000000"/>
                <w:sz w:val="17"/>
                <w:szCs w:val="17"/>
              </w:rPr>
            </w:pPr>
            <w:r>
              <w:rPr>
                <w:rFonts w:ascii="Verdana" w:hAnsi="Verdana"/>
                <w:color w:val="000000"/>
                <w:sz w:val="17"/>
                <w:szCs w:val="17"/>
              </w:rPr>
              <w:t>Corn</w:t>
            </w:r>
          </w:p>
        </w:tc>
        <w:tc>
          <w:tcPr>
            <w:tcW w:w="2552" w:type="dxa"/>
            <w:shd w:val="clear" w:color="auto" w:fill="auto"/>
            <w:vAlign w:val="center"/>
          </w:tcPr>
          <w:p w14:paraId="2BA6E440"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w:t>
            </w:r>
          </w:p>
        </w:tc>
        <w:tc>
          <w:tcPr>
            <w:tcW w:w="2126" w:type="dxa"/>
            <w:shd w:val="clear" w:color="auto" w:fill="auto"/>
          </w:tcPr>
          <w:p w14:paraId="3C8F470A"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35,8</w:t>
            </w:r>
          </w:p>
        </w:tc>
        <w:tc>
          <w:tcPr>
            <w:tcW w:w="1418" w:type="dxa"/>
            <w:vAlign w:val="center"/>
          </w:tcPr>
          <w:p w14:paraId="5FA511AA"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35,8</w:t>
            </w:r>
          </w:p>
        </w:tc>
      </w:tr>
      <w:tr w:rsidR="003230DF" w:rsidRPr="00B65933" w14:paraId="2DDEF6A2" w14:textId="77777777" w:rsidTr="006D44FD">
        <w:tc>
          <w:tcPr>
            <w:tcW w:w="567" w:type="dxa"/>
          </w:tcPr>
          <w:p w14:paraId="4EA8B252" w14:textId="77777777" w:rsidR="003230DF" w:rsidRPr="00B65933" w:rsidRDefault="003230DF" w:rsidP="006D44FD">
            <w:pPr>
              <w:spacing w:before="20" w:after="20" w:line="280" w:lineRule="atLeast"/>
              <w:rPr>
                <w:rFonts w:ascii="Verdana" w:hAnsi="Verdana"/>
                <w:color w:val="000000"/>
                <w:sz w:val="17"/>
                <w:szCs w:val="17"/>
              </w:rPr>
            </w:pPr>
          </w:p>
        </w:tc>
        <w:tc>
          <w:tcPr>
            <w:tcW w:w="2693" w:type="dxa"/>
            <w:shd w:val="clear" w:color="auto" w:fill="auto"/>
          </w:tcPr>
          <w:p w14:paraId="38CDD712" w14:textId="77777777" w:rsidR="003230DF" w:rsidRDefault="003230DF" w:rsidP="006D44FD">
            <w:pPr>
              <w:spacing w:before="20" w:after="20" w:line="280" w:lineRule="atLeast"/>
              <w:rPr>
                <w:rFonts w:ascii="Verdana" w:hAnsi="Verdana"/>
                <w:color w:val="000000"/>
                <w:sz w:val="17"/>
                <w:szCs w:val="17"/>
              </w:rPr>
            </w:pPr>
            <w:r>
              <w:rPr>
                <w:rFonts w:ascii="Verdana" w:hAnsi="Verdana"/>
                <w:color w:val="000000"/>
                <w:sz w:val="17"/>
                <w:szCs w:val="17"/>
              </w:rPr>
              <w:t>Oil</w:t>
            </w:r>
          </w:p>
        </w:tc>
        <w:tc>
          <w:tcPr>
            <w:tcW w:w="2552" w:type="dxa"/>
            <w:shd w:val="clear" w:color="auto" w:fill="auto"/>
            <w:vAlign w:val="center"/>
          </w:tcPr>
          <w:p w14:paraId="4BC09ADD"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w:t>
            </w:r>
          </w:p>
        </w:tc>
        <w:tc>
          <w:tcPr>
            <w:tcW w:w="2126" w:type="dxa"/>
            <w:shd w:val="clear" w:color="auto" w:fill="auto"/>
          </w:tcPr>
          <w:p w14:paraId="3701FB82"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430,5</w:t>
            </w:r>
          </w:p>
        </w:tc>
        <w:tc>
          <w:tcPr>
            <w:tcW w:w="1418" w:type="dxa"/>
            <w:vAlign w:val="center"/>
          </w:tcPr>
          <w:p w14:paraId="621A814B"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430,5</w:t>
            </w:r>
          </w:p>
        </w:tc>
      </w:tr>
      <w:tr w:rsidR="003230DF" w:rsidRPr="00B65933" w14:paraId="7D1A43A4" w14:textId="77777777" w:rsidTr="006D44FD">
        <w:tc>
          <w:tcPr>
            <w:tcW w:w="567" w:type="dxa"/>
          </w:tcPr>
          <w:p w14:paraId="5DA87D44" w14:textId="77777777" w:rsidR="003230DF" w:rsidRPr="00B65933" w:rsidRDefault="003230DF" w:rsidP="006D44FD">
            <w:pPr>
              <w:spacing w:before="20" w:after="20" w:line="280" w:lineRule="atLeast"/>
              <w:rPr>
                <w:rFonts w:ascii="Verdana" w:hAnsi="Verdana"/>
                <w:color w:val="000000"/>
                <w:sz w:val="17"/>
                <w:szCs w:val="17"/>
              </w:rPr>
            </w:pPr>
          </w:p>
        </w:tc>
        <w:tc>
          <w:tcPr>
            <w:tcW w:w="2693" w:type="dxa"/>
            <w:shd w:val="clear" w:color="auto" w:fill="auto"/>
          </w:tcPr>
          <w:p w14:paraId="23DA806F" w14:textId="77777777" w:rsidR="003230DF" w:rsidRDefault="003230DF" w:rsidP="006D44FD">
            <w:pPr>
              <w:spacing w:before="20" w:after="20" w:line="280" w:lineRule="atLeast"/>
              <w:rPr>
                <w:rFonts w:ascii="Verdana" w:hAnsi="Verdana"/>
                <w:color w:val="000000"/>
                <w:sz w:val="17"/>
                <w:szCs w:val="17"/>
              </w:rPr>
            </w:pPr>
            <w:r>
              <w:rPr>
                <w:rFonts w:ascii="Verdana" w:hAnsi="Verdana"/>
                <w:color w:val="000000"/>
                <w:sz w:val="17"/>
                <w:szCs w:val="17"/>
              </w:rPr>
              <w:t>Wheat</w:t>
            </w:r>
          </w:p>
        </w:tc>
        <w:tc>
          <w:tcPr>
            <w:tcW w:w="2552" w:type="dxa"/>
            <w:shd w:val="clear" w:color="auto" w:fill="auto"/>
            <w:vAlign w:val="center"/>
          </w:tcPr>
          <w:p w14:paraId="107DD6ED"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w:t>
            </w:r>
          </w:p>
        </w:tc>
        <w:tc>
          <w:tcPr>
            <w:tcW w:w="2126" w:type="dxa"/>
            <w:shd w:val="clear" w:color="auto" w:fill="auto"/>
          </w:tcPr>
          <w:p w14:paraId="46AB0934"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33,4</w:t>
            </w:r>
          </w:p>
        </w:tc>
        <w:tc>
          <w:tcPr>
            <w:tcW w:w="1418" w:type="dxa"/>
            <w:vAlign w:val="center"/>
          </w:tcPr>
          <w:p w14:paraId="2A8CF831"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33,4</w:t>
            </w:r>
          </w:p>
        </w:tc>
      </w:tr>
      <w:tr w:rsidR="003230DF" w:rsidRPr="00B65933" w14:paraId="4B7F6BD8" w14:textId="77777777" w:rsidTr="006D44FD">
        <w:tc>
          <w:tcPr>
            <w:tcW w:w="567" w:type="dxa"/>
          </w:tcPr>
          <w:p w14:paraId="73A1F498" w14:textId="77777777" w:rsidR="003230DF" w:rsidRPr="00B65933" w:rsidRDefault="003230DF" w:rsidP="006D44FD">
            <w:pPr>
              <w:spacing w:before="20" w:after="20" w:line="280" w:lineRule="atLeast"/>
              <w:rPr>
                <w:rFonts w:ascii="Verdana" w:hAnsi="Verdana"/>
                <w:color w:val="000000"/>
                <w:sz w:val="17"/>
                <w:szCs w:val="17"/>
              </w:rPr>
            </w:pPr>
          </w:p>
        </w:tc>
        <w:tc>
          <w:tcPr>
            <w:tcW w:w="2693" w:type="dxa"/>
            <w:shd w:val="clear" w:color="auto" w:fill="auto"/>
          </w:tcPr>
          <w:p w14:paraId="27315B8A" w14:textId="77777777" w:rsidR="003230DF" w:rsidRDefault="003230DF" w:rsidP="006D44FD">
            <w:pPr>
              <w:spacing w:before="20" w:after="20" w:line="280" w:lineRule="atLeast"/>
              <w:rPr>
                <w:rFonts w:ascii="Verdana" w:hAnsi="Verdana"/>
                <w:color w:val="000000"/>
                <w:sz w:val="17"/>
                <w:szCs w:val="17"/>
              </w:rPr>
            </w:pPr>
            <w:r>
              <w:rPr>
                <w:rFonts w:ascii="Verdana" w:hAnsi="Verdana"/>
                <w:color w:val="000000"/>
                <w:sz w:val="17"/>
                <w:szCs w:val="17"/>
              </w:rPr>
              <w:t>Commodity Basket</w:t>
            </w:r>
          </w:p>
        </w:tc>
        <w:tc>
          <w:tcPr>
            <w:tcW w:w="2552" w:type="dxa"/>
            <w:shd w:val="clear" w:color="auto" w:fill="auto"/>
            <w:vAlign w:val="center"/>
          </w:tcPr>
          <w:p w14:paraId="2B917B66"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w:t>
            </w:r>
          </w:p>
        </w:tc>
        <w:tc>
          <w:tcPr>
            <w:tcW w:w="2126" w:type="dxa"/>
            <w:shd w:val="clear" w:color="auto" w:fill="auto"/>
          </w:tcPr>
          <w:p w14:paraId="0737CFB9"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142,2</w:t>
            </w:r>
          </w:p>
        </w:tc>
        <w:tc>
          <w:tcPr>
            <w:tcW w:w="1418" w:type="dxa"/>
            <w:vAlign w:val="center"/>
          </w:tcPr>
          <w:p w14:paraId="0328B39E"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142,2</w:t>
            </w:r>
          </w:p>
        </w:tc>
      </w:tr>
      <w:tr w:rsidR="003230DF" w:rsidRPr="00B65933" w14:paraId="78848BCA" w14:textId="77777777" w:rsidTr="006D44FD">
        <w:tc>
          <w:tcPr>
            <w:tcW w:w="567" w:type="dxa"/>
          </w:tcPr>
          <w:p w14:paraId="72592731" w14:textId="77777777" w:rsidR="003230DF" w:rsidRPr="00B65933" w:rsidRDefault="003230DF" w:rsidP="006D44FD">
            <w:pPr>
              <w:spacing w:before="20" w:after="20" w:line="280" w:lineRule="atLeast"/>
              <w:rPr>
                <w:rFonts w:ascii="Verdana" w:hAnsi="Verdana"/>
                <w:color w:val="000000"/>
                <w:sz w:val="17"/>
                <w:szCs w:val="17"/>
              </w:rPr>
            </w:pPr>
          </w:p>
        </w:tc>
        <w:tc>
          <w:tcPr>
            <w:tcW w:w="2693" w:type="dxa"/>
            <w:shd w:val="clear" w:color="auto" w:fill="auto"/>
            <w:vAlign w:val="center"/>
          </w:tcPr>
          <w:p w14:paraId="61417EF5" w14:textId="77777777" w:rsidR="003230DF"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Sub-total</w:t>
            </w:r>
          </w:p>
        </w:tc>
        <w:tc>
          <w:tcPr>
            <w:tcW w:w="2552" w:type="dxa"/>
            <w:shd w:val="clear" w:color="auto" w:fill="auto"/>
            <w:vAlign w:val="center"/>
          </w:tcPr>
          <w:p w14:paraId="28B05618"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w:t>
            </w:r>
          </w:p>
        </w:tc>
        <w:tc>
          <w:tcPr>
            <w:tcW w:w="2126" w:type="dxa"/>
            <w:shd w:val="clear" w:color="auto" w:fill="auto"/>
          </w:tcPr>
          <w:p w14:paraId="0FE3AF70"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767,0</w:t>
            </w:r>
          </w:p>
        </w:tc>
        <w:tc>
          <w:tcPr>
            <w:tcW w:w="1418" w:type="dxa"/>
            <w:vAlign w:val="center"/>
          </w:tcPr>
          <w:p w14:paraId="2CCE1190" w14:textId="77777777" w:rsidR="003230DF" w:rsidRPr="00B65933" w:rsidRDefault="003230DF" w:rsidP="006D44FD">
            <w:pPr>
              <w:spacing w:before="20" w:after="20" w:line="280" w:lineRule="atLeast"/>
              <w:jc w:val="right"/>
              <w:rPr>
                <w:rFonts w:ascii="Verdana" w:hAnsi="Verdana"/>
                <w:color w:val="000000"/>
                <w:sz w:val="17"/>
                <w:szCs w:val="17"/>
              </w:rPr>
            </w:pPr>
            <w:r>
              <w:rPr>
                <w:rFonts w:ascii="Verdana" w:hAnsi="Verdana"/>
                <w:color w:val="000000"/>
                <w:sz w:val="17"/>
                <w:szCs w:val="17"/>
              </w:rPr>
              <w:t>787,0</w:t>
            </w:r>
          </w:p>
        </w:tc>
      </w:tr>
      <w:tr w:rsidR="003230DF" w:rsidRPr="00B65933" w14:paraId="36FAF87E" w14:textId="77777777" w:rsidTr="006D44FD">
        <w:tc>
          <w:tcPr>
            <w:tcW w:w="3260" w:type="dxa"/>
            <w:gridSpan w:val="2"/>
          </w:tcPr>
          <w:p w14:paraId="0FF3B35B" w14:textId="77777777" w:rsidR="003230DF" w:rsidRPr="00C36D78" w:rsidRDefault="003230DF" w:rsidP="006D44FD">
            <w:pPr>
              <w:spacing w:before="20" w:after="20" w:line="280" w:lineRule="atLeast"/>
              <w:rPr>
                <w:rFonts w:ascii="Verdana" w:hAnsi="Verdana"/>
                <w:b/>
                <w:bCs/>
                <w:color w:val="000000"/>
                <w:sz w:val="17"/>
                <w:szCs w:val="17"/>
              </w:rPr>
            </w:pPr>
            <w:r>
              <w:rPr>
                <w:rFonts w:ascii="Verdana" w:hAnsi="Verdana"/>
                <w:b/>
                <w:bCs/>
                <w:color w:val="000000"/>
                <w:sz w:val="17"/>
                <w:szCs w:val="17"/>
              </w:rPr>
              <w:t>Grand Total</w:t>
            </w:r>
          </w:p>
        </w:tc>
        <w:tc>
          <w:tcPr>
            <w:tcW w:w="2552" w:type="dxa"/>
            <w:shd w:val="clear" w:color="auto" w:fill="auto"/>
            <w:vAlign w:val="center"/>
          </w:tcPr>
          <w:p w14:paraId="13345DFD" w14:textId="77777777" w:rsidR="003230DF" w:rsidRPr="00C36D78" w:rsidRDefault="003230DF" w:rsidP="006D44FD">
            <w:pPr>
              <w:spacing w:before="20" w:after="20" w:line="280" w:lineRule="atLeast"/>
              <w:jc w:val="right"/>
              <w:rPr>
                <w:rFonts w:ascii="Verdana" w:hAnsi="Verdana"/>
                <w:b/>
                <w:bCs/>
                <w:color w:val="000000"/>
                <w:sz w:val="17"/>
                <w:szCs w:val="17"/>
              </w:rPr>
            </w:pPr>
            <w:r>
              <w:rPr>
                <w:rFonts w:ascii="Verdana" w:hAnsi="Verdana"/>
                <w:b/>
                <w:bCs/>
                <w:color w:val="000000"/>
                <w:sz w:val="17"/>
                <w:szCs w:val="17"/>
              </w:rPr>
              <w:t>29 421,6</w:t>
            </w:r>
          </w:p>
        </w:tc>
        <w:tc>
          <w:tcPr>
            <w:tcW w:w="2126" w:type="dxa"/>
            <w:shd w:val="clear" w:color="auto" w:fill="auto"/>
          </w:tcPr>
          <w:p w14:paraId="5B0661AA" w14:textId="77777777" w:rsidR="003230DF" w:rsidRPr="00C36D78" w:rsidRDefault="003230DF" w:rsidP="006D44FD">
            <w:pPr>
              <w:spacing w:before="20" w:after="20" w:line="280" w:lineRule="atLeast"/>
              <w:jc w:val="right"/>
              <w:rPr>
                <w:rFonts w:ascii="Verdana" w:hAnsi="Verdana"/>
                <w:b/>
                <w:bCs/>
                <w:color w:val="000000"/>
                <w:sz w:val="17"/>
                <w:szCs w:val="17"/>
              </w:rPr>
            </w:pPr>
            <w:r>
              <w:rPr>
                <w:rFonts w:ascii="Verdana" w:hAnsi="Verdana"/>
                <w:b/>
                <w:bCs/>
                <w:color w:val="000000"/>
                <w:sz w:val="17"/>
                <w:szCs w:val="17"/>
              </w:rPr>
              <w:t>7 765,0</w:t>
            </w:r>
          </w:p>
        </w:tc>
        <w:tc>
          <w:tcPr>
            <w:tcW w:w="1418" w:type="dxa"/>
            <w:vAlign w:val="center"/>
          </w:tcPr>
          <w:p w14:paraId="1EDD9DC9" w14:textId="6322C502" w:rsidR="003230DF" w:rsidRPr="00C36D78" w:rsidRDefault="003230DF" w:rsidP="006D44FD">
            <w:pPr>
              <w:spacing w:before="20" w:after="20" w:line="280" w:lineRule="atLeast"/>
              <w:jc w:val="right"/>
              <w:rPr>
                <w:rFonts w:ascii="Verdana" w:hAnsi="Verdana"/>
                <w:b/>
                <w:bCs/>
                <w:color w:val="000000"/>
                <w:sz w:val="17"/>
                <w:szCs w:val="17"/>
              </w:rPr>
            </w:pPr>
            <w:r>
              <w:rPr>
                <w:rFonts w:ascii="Verdana" w:hAnsi="Verdana"/>
                <w:b/>
                <w:bCs/>
                <w:color w:val="000000"/>
                <w:sz w:val="17"/>
                <w:szCs w:val="17"/>
              </w:rPr>
              <w:t>37 206,6</w:t>
            </w:r>
          </w:p>
        </w:tc>
      </w:tr>
      <w:tr w:rsidR="003230DF" w:rsidRPr="00B65933" w14:paraId="280ABA47" w14:textId="77777777" w:rsidTr="006D44FD">
        <w:tc>
          <w:tcPr>
            <w:tcW w:w="9356" w:type="dxa"/>
            <w:gridSpan w:val="5"/>
            <w:vAlign w:val="center"/>
          </w:tcPr>
          <w:p w14:paraId="551BD6C2" w14:textId="77777777" w:rsidR="003230DF" w:rsidRPr="00C36D78" w:rsidRDefault="003230DF" w:rsidP="006D44FD">
            <w:pPr>
              <w:spacing w:before="20" w:after="20" w:line="280" w:lineRule="atLeast"/>
              <w:rPr>
                <w:rFonts w:ascii="Verdana" w:hAnsi="Verdana"/>
                <w:i/>
                <w:iCs/>
                <w:color w:val="000000"/>
                <w:sz w:val="16"/>
                <w:szCs w:val="16"/>
              </w:rPr>
            </w:pPr>
            <w:r>
              <w:rPr>
                <w:rFonts w:ascii="Verdana" w:hAnsi="Verdana"/>
                <w:i/>
                <w:iCs/>
                <w:color w:val="000000"/>
                <w:sz w:val="16"/>
                <w:szCs w:val="16"/>
              </w:rPr>
              <w:t>Source: etfSA.co.za/Profile Data (30 September 2019)</w:t>
            </w:r>
          </w:p>
        </w:tc>
      </w:tr>
    </w:tbl>
    <w:p w14:paraId="3E98FB8D" w14:textId="77777777" w:rsidR="003230DF" w:rsidRDefault="003230DF" w:rsidP="003230DF">
      <w:pPr>
        <w:spacing w:after="0" w:line="340" w:lineRule="atLeast"/>
        <w:jc w:val="both"/>
        <w:rPr>
          <w:rFonts w:ascii="Verdana" w:hAnsi="Verdana"/>
          <w:color w:val="000000"/>
          <w:sz w:val="20"/>
          <w:szCs w:val="20"/>
        </w:rPr>
      </w:pPr>
    </w:p>
    <w:p w14:paraId="6437E58A" w14:textId="469DDFBF" w:rsidR="003230DF" w:rsidRDefault="003230DF" w:rsidP="00AC54A6">
      <w:pPr>
        <w:spacing w:after="0" w:line="340" w:lineRule="atLeast"/>
        <w:jc w:val="both"/>
        <w:rPr>
          <w:rFonts w:ascii="Verdana" w:hAnsi="Verdana"/>
          <w:bCs/>
          <w:sz w:val="21"/>
          <w:szCs w:val="21"/>
        </w:rPr>
      </w:pPr>
    </w:p>
    <w:p w14:paraId="319D7243" w14:textId="47ECB70A" w:rsidR="003230DF" w:rsidRDefault="003230DF" w:rsidP="005A21ED">
      <w:pPr>
        <w:spacing w:after="0" w:line="360" w:lineRule="atLeast"/>
        <w:jc w:val="both"/>
        <w:rPr>
          <w:rFonts w:ascii="Verdana" w:hAnsi="Verdana"/>
          <w:bCs/>
          <w:sz w:val="21"/>
          <w:szCs w:val="21"/>
        </w:rPr>
      </w:pPr>
    </w:p>
    <w:p w14:paraId="0B4433CE" w14:textId="316BE1F1" w:rsidR="00AC54A6" w:rsidRDefault="00AC54A6" w:rsidP="005A21ED">
      <w:pPr>
        <w:spacing w:after="0" w:line="360" w:lineRule="atLeast"/>
        <w:jc w:val="both"/>
        <w:rPr>
          <w:rFonts w:ascii="Verdana" w:hAnsi="Verdana"/>
          <w:bCs/>
          <w:sz w:val="21"/>
          <w:szCs w:val="21"/>
        </w:rPr>
      </w:pPr>
      <w:r>
        <w:rPr>
          <w:rFonts w:ascii="Verdana" w:hAnsi="Verdana"/>
          <w:bCs/>
          <w:sz w:val="21"/>
          <w:szCs w:val="21"/>
        </w:rPr>
        <w:t xml:space="preserve">South Africa is unique amongst global financial markets in that commodity tracking Exchange Traded Products play a far more </w:t>
      </w:r>
      <w:r w:rsidR="002E4F01">
        <w:rPr>
          <w:rFonts w:ascii="Verdana" w:hAnsi="Verdana"/>
          <w:bCs/>
          <w:sz w:val="21"/>
          <w:szCs w:val="21"/>
        </w:rPr>
        <w:t>significant</w:t>
      </w:r>
      <w:r>
        <w:rPr>
          <w:rFonts w:ascii="Verdana" w:hAnsi="Verdana"/>
          <w:bCs/>
          <w:sz w:val="21"/>
          <w:szCs w:val="21"/>
        </w:rPr>
        <w:t xml:space="preserve"> role than is the case</w:t>
      </w:r>
      <w:r w:rsidR="001113DA">
        <w:rPr>
          <w:rFonts w:ascii="Verdana" w:hAnsi="Verdana"/>
          <w:bCs/>
          <w:sz w:val="21"/>
          <w:szCs w:val="21"/>
        </w:rPr>
        <w:t xml:space="preserve"> in other markets</w:t>
      </w:r>
      <w:r>
        <w:rPr>
          <w:rFonts w:ascii="Verdana" w:hAnsi="Verdana"/>
          <w:bCs/>
          <w:sz w:val="21"/>
          <w:szCs w:val="21"/>
        </w:rPr>
        <w:t xml:space="preserve">.  </w:t>
      </w:r>
    </w:p>
    <w:p w14:paraId="638B98B5" w14:textId="7D6E3663" w:rsidR="00AC54A6" w:rsidRDefault="00AC54A6" w:rsidP="005A21ED">
      <w:pPr>
        <w:spacing w:after="0" w:line="360" w:lineRule="atLeast"/>
        <w:jc w:val="both"/>
        <w:rPr>
          <w:rFonts w:ascii="Verdana" w:hAnsi="Verdana"/>
          <w:bCs/>
          <w:sz w:val="21"/>
          <w:szCs w:val="21"/>
        </w:rPr>
      </w:pPr>
    </w:p>
    <w:p w14:paraId="08295D9E" w14:textId="23E3F6AA" w:rsidR="00AC54A6" w:rsidRDefault="00AC54A6" w:rsidP="005A21ED">
      <w:pPr>
        <w:spacing w:after="0" w:line="360" w:lineRule="atLeast"/>
        <w:jc w:val="both"/>
        <w:rPr>
          <w:rFonts w:ascii="Verdana" w:hAnsi="Verdana"/>
          <w:bCs/>
          <w:sz w:val="21"/>
          <w:szCs w:val="21"/>
        </w:rPr>
      </w:pPr>
      <w:r>
        <w:rPr>
          <w:rFonts w:ascii="Verdana" w:hAnsi="Verdana"/>
          <w:bCs/>
          <w:sz w:val="21"/>
          <w:szCs w:val="21"/>
        </w:rPr>
        <w:t>Table B</w:t>
      </w:r>
      <w:r w:rsidR="00B238F4">
        <w:rPr>
          <w:rFonts w:ascii="Verdana" w:hAnsi="Verdana"/>
          <w:bCs/>
          <w:sz w:val="21"/>
          <w:szCs w:val="21"/>
        </w:rPr>
        <w:t xml:space="preserve"> </w:t>
      </w:r>
      <w:r>
        <w:rPr>
          <w:rFonts w:ascii="Verdana" w:hAnsi="Verdana"/>
          <w:bCs/>
          <w:sz w:val="21"/>
          <w:szCs w:val="21"/>
        </w:rPr>
        <w:t xml:space="preserve">summarises the commodity ETPs that </w:t>
      </w:r>
      <w:r w:rsidR="001113DA">
        <w:rPr>
          <w:rFonts w:ascii="Verdana" w:hAnsi="Verdana"/>
          <w:bCs/>
          <w:sz w:val="21"/>
          <w:szCs w:val="21"/>
        </w:rPr>
        <w:t>a</w:t>
      </w:r>
      <w:r>
        <w:rPr>
          <w:rFonts w:ascii="Verdana" w:hAnsi="Verdana"/>
          <w:bCs/>
          <w:sz w:val="21"/>
          <w:szCs w:val="21"/>
        </w:rPr>
        <w:t xml:space="preserve">re in issue on the JSE, as at 30 September 2019. </w:t>
      </w:r>
    </w:p>
    <w:p w14:paraId="74AD0340" w14:textId="2C62980D" w:rsidR="00B238F4" w:rsidRDefault="00B238F4" w:rsidP="005A21ED">
      <w:pPr>
        <w:spacing w:after="0" w:line="360" w:lineRule="atLeast"/>
        <w:jc w:val="both"/>
        <w:rPr>
          <w:rFonts w:ascii="Verdana" w:hAnsi="Verdana"/>
          <w:bCs/>
          <w:sz w:val="21"/>
          <w:szCs w:val="21"/>
        </w:rPr>
      </w:pPr>
    </w:p>
    <w:p w14:paraId="5D6FF07B" w14:textId="1A934381" w:rsidR="00B238F4" w:rsidRDefault="00B238F4" w:rsidP="005A21ED">
      <w:pPr>
        <w:spacing w:after="0" w:line="360" w:lineRule="atLeast"/>
        <w:jc w:val="both"/>
        <w:rPr>
          <w:rFonts w:ascii="Verdana" w:hAnsi="Verdana"/>
          <w:bCs/>
          <w:sz w:val="21"/>
          <w:szCs w:val="21"/>
        </w:rPr>
      </w:pPr>
      <w:r>
        <w:rPr>
          <w:rFonts w:ascii="Verdana" w:hAnsi="Verdana"/>
          <w:bCs/>
          <w:sz w:val="21"/>
          <w:szCs w:val="21"/>
        </w:rPr>
        <w:t xml:space="preserve">In total, commodity-based ETPs accounted for a market capitalisation of R37,2 billion (37,5% of the total SA ETP industry) and for 18 out of the 106 ETPs currently trading on the JSE.  </w:t>
      </w:r>
    </w:p>
    <w:p w14:paraId="0DF57997" w14:textId="1D463CE5" w:rsidR="00B238F4" w:rsidRDefault="00B238F4" w:rsidP="005A21ED">
      <w:pPr>
        <w:spacing w:after="0" w:line="360" w:lineRule="atLeast"/>
        <w:jc w:val="both"/>
        <w:rPr>
          <w:rFonts w:ascii="Verdana" w:hAnsi="Verdana"/>
          <w:bCs/>
          <w:sz w:val="21"/>
          <w:szCs w:val="21"/>
        </w:rPr>
      </w:pPr>
    </w:p>
    <w:p w14:paraId="2A9AE905" w14:textId="70463266" w:rsidR="00B238F4" w:rsidRDefault="00B238F4" w:rsidP="005A21ED">
      <w:pPr>
        <w:spacing w:after="0" w:line="360" w:lineRule="atLeast"/>
        <w:jc w:val="both"/>
        <w:rPr>
          <w:rFonts w:ascii="Verdana" w:hAnsi="Verdana"/>
          <w:bCs/>
          <w:sz w:val="21"/>
          <w:szCs w:val="21"/>
        </w:rPr>
      </w:pPr>
      <w:r>
        <w:rPr>
          <w:rFonts w:ascii="Verdana" w:hAnsi="Verdana"/>
          <w:bCs/>
          <w:sz w:val="21"/>
          <w:szCs w:val="21"/>
        </w:rPr>
        <w:t>Physically-ba</w:t>
      </w:r>
      <w:r w:rsidR="001113DA">
        <w:rPr>
          <w:rFonts w:ascii="Verdana" w:hAnsi="Verdana"/>
          <w:bCs/>
          <w:sz w:val="21"/>
          <w:szCs w:val="21"/>
        </w:rPr>
        <w:t>c</w:t>
      </w:r>
      <w:r>
        <w:rPr>
          <w:rFonts w:ascii="Verdana" w:hAnsi="Verdana"/>
          <w:bCs/>
          <w:sz w:val="21"/>
          <w:szCs w:val="21"/>
        </w:rPr>
        <w:t xml:space="preserve">ked gold and platinum ETFs, issued by NewGold (Absa Capital) and Standard Bank, dominate the market, but a broad spread of other commodities can be traded in </w:t>
      </w:r>
      <w:r w:rsidR="001113DA">
        <w:rPr>
          <w:rFonts w:ascii="Verdana" w:hAnsi="Verdana"/>
          <w:bCs/>
          <w:sz w:val="21"/>
          <w:szCs w:val="21"/>
        </w:rPr>
        <w:t>ETNs.</w:t>
      </w:r>
    </w:p>
    <w:p w14:paraId="67715B26" w14:textId="02C2ACA1" w:rsidR="00B238F4" w:rsidRDefault="00B238F4" w:rsidP="005A21ED">
      <w:pPr>
        <w:spacing w:after="0" w:line="360" w:lineRule="atLeast"/>
        <w:jc w:val="both"/>
        <w:rPr>
          <w:rFonts w:ascii="Verdana" w:hAnsi="Verdana"/>
          <w:bCs/>
          <w:sz w:val="21"/>
          <w:szCs w:val="21"/>
        </w:rPr>
      </w:pPr>
    </w:p>
    <w:p w14:paraId="01655E94" w14:textId="5095ABB6" w:rsidR="00B238F4" w:rsidRDefault="00B238F4" w:rsidP="005A21ED">
      <w:pPr>
        <w:spacing w:after="0" w:line="360" w:lineRule="atLeast"/>
        <w:jc w:val="both"/>
        <w:rPr>
          <w:rFonts w:ascii="Verdana" w:hAnsi="Verdana"/>
          <w:bCs/>
          <w:sz w:val="21"/>
          <w:szCs w:val="21"/>
        </w:rPr>
      </w:pPr>
      <w:r>
        <w:rPr>
          <w:rFonts w:ascii="Verdana" w:hAnsi="Verdana"/>
          <w:bCs/>
          <w:sz w:val="21"/>
          <w:szCs w:val="21"/>
        </w:rPr>
        <w:t xml:space="preserve">Why is the penetration of commodity ETPs of greater </w:t>
      </w:r>
      <w:r w:rsidR="008E2FDF">
        <w:rPr>
          <w:rFonts w:ascii="Verdana" w:hAnsi="Verdana"/>
          <w:bCs/>
          <w:sz w:val="21"/>
          <w:szCs w:val="21"/>
        </w:rPr>
        <w:t>significance in South Africa?</w:t>
      </w:r>
    </w:p>
    <w:p w14:paraId="18E94328" w14:textId="47C2076F" w:rsidR="008E2FDF" w:rsidRDefault="008E2FDF" w:rsidP="005A21ED">
      <w:pPr>
        <w:spacing w:after="0" w:line="360" w:lineRule="atLeast"/>
        <w:jc w:val="both"/>
        <w:rPr>
          <w:rFonts w:ascii="Verdana" w:hAnsi="Verdana"/>
          <w:bCs/>
          <w:sz w:val="21"/>
          <w:szCs w:val="21"/>
        </w:rPr>
      </w:pPr>
    </w:p>
    <w:p w14:paraId="79A4061C" w14:textId="534E58C6" w:rsidR="008E2FDF" w:rsidRDefault="008E2FDF" w:rsidP="005A21ED">
      <w:pPr>
        <w:pStyle w:val="ListParagraph"/>
        <w:numPr>
          <w:ilvl w:val="0"/>
          <w:numId w:val="10"/>
        </w:numPr>
        <w:spacing w:after="0" w:line="360" w:lineRule="atLeast"/>
        <w:jc w:val="both"/>
        <w:rPr>
          <w:rFonts w:ascii="Verdana" w:hAnsi="Verdana"/>
          <w:bCs/>
          <w:sz w:val="21"/>
          <w:szCs w:val="21"/>
        </w:rPr>
      </w:pPr>
      <w:r>
        <w:rPr>
          <w:rFonts w:ascii="Verdana" w:hAnsi="Verdana"/>
          <w:bCs/>
          <w:sz w:val="21"/>
          <w:szCs w:val="21"/>
        </w:rPr>
        <w:t xml:space="preserve">The tradition of investing in mining and mineral resources in South Africa has always been strong.  However, as the local gold mining industry </w:t>
      </w:r>
      <w:r w:rsidR="001113DA">
        <w:rPr>
          <w:rFonts w:ascii="Verdana" w:hAnsi="Verdana"/>
          <w:bCs/>
          <w:sz w:val="21"/>
          <w:szCs w:val="21"/>
        </w:rPr>
        <w:t>h</w:t>
      </w:r>
      <w:r>
        <w:rPr>
          <w:rFonts w:ascii="Verdana" w:hAnsi="Verdana"/>
          <w:bCs/>
          <w:sz w:val="21"/>
          <w:szCs w:val="21"/>
        </w:rPr>
        <w:t xml:space="preserve">as shrunk to a fraction of its former size and the </w:t>
      </w:r>
      <w:r w:rsidR="001113DA">
        <w:rPr>
          <w:rFonts w:ascii="Verdana" w:hAnsi="Verdana"/>
          <w:bCs/>
          <w:sz w:val="21"/>
          <w:szCs w:val="21"/>
        </w:rPr>
        <w:t xml:space="preserve">major </w:t>
      </w:r>
      <w:r>
        <w:rPr>
          <w:rFonts w:ascii="Verdana" w:hAnsi="Verdana"/>
          <w:bCs/>
          <w:sz w:val="21"/>
          <w:szCs w:val="21"/>
        </w:rPr>
        <w:t xml:space="preserve">mining houses have either shut down or moved offshore, direct investment in metals rather than </w:t>
      </w:r>
      <w:r w:rsidR="001113DA">
        <w:rPr>
          <w:rFonts w:ascii="Verdana" w:hAnsi="Verdana"/>
          <w:bCs/>
          <w:sz w:val="21"/>
          <w:szCs w:val="21"/>
        </w:rPr>
        <w:t xml:space="preserve">in </w:t>
      </w:r>
      <w:r>
        <w:rPr>
          <w:rFonts w:ascii="Verdana" w:hAnsi="Verdana"/>
          <w:bCs/>
          <w:sz w:val="21"/>
          <w:szCs w:val="21"/>
        </w:rPr>
        <w:t xml:space="preserve">mining shares has become </w:t>
      </w:r>
      <w:r w:rsidR="001113DA">
        <w:rPr>
          <w:rFonts w:ascii="Verdana" w:hAnsi="Verdana"/>
          <w:bCs/>
          <w:sz w:val="21"/>
          <w:szCs w:val="21"/>
        </w:rPr>
        <w:t xml:space="preserve">the </w:t>
      </w:r>
      <w:r w:rsidR="009E19AA">
        <w:rPr>
          <w:rFonts w:ascii="Verdana" w:hAnsi="Verdana"/>
          <w:bCs/>
          <w:sz w:val="21"/>
          <w:szCs w:val="21"/>
        </w:rPr>
        <w:t>favoured</w:t>
      </w:r>
      <w:r>
        <w:rPr>
          <w:rFonts w:ascii="Verdana" w:hAnsi="Verdana"/>
          <w:bCs/>
          <w:sz w:val="21"/>
          <w:szCs w:val="21"/>
        </w:rPr>
        <w:t xml:space="preserve"> option for </w:t>
      </w:r>
      <w:r w:rsidR="009E19AA">
        <w:rPr>
          <w:rFonts w:ascii="Verdana" w:hAnsi="Verdana"/>
          <w:bCs/>
          <w:sz w:val="21"/>
          <w:szCs w:val="21"/>
        </w:rPr>
        <w:t xml:space="preserve">some </w:t>
      </w:r>
      <w:r>
        <w:rPr>
          <w:rFonts w:ascii="Verdana" w:hAnsi="Verdana"/>
          <w:bCs/>
          <w:sz w:val="21"/>
          <w:szCs w:val="21"/>
        </w:rPr>
        <w:t xml:space="preserve">investment managers. </w:t>
      </w:r>
    </w:p>
    <w:p w14:paraId="40F7DD63" w14:textId="77777777" w:rsidR="008E2FDF" w:rsidRDefault="008E2FDF" w:rsidP="005A21ED">
      <w:pPr>
        <w:spacing w:after="0" w:line="360" w:lineRule="atLeast"/>
        <w:ind w:left="360"/>
        <w:jc w:val="both"/>
        <w:rPr>
          <w:rFonts w:ascii="Verdana" w:hAnsi="Verdana"/>
          <w:bCs/>
          <w:sz w:val="21"/>
          <w:szCs w:val="21"/>
        </w:rPr>
      </w:pPr>
    </w:p>
    <w:p w14:paraId="7B5C2DC5" w14:textId="7FB08F39" w:rsidR="008E2FDF" w:rsidRDefault="008E2FDF" w:rsidP="005A21ED">
      <w:pPr>
        <w:pStyle w:val="ListParagraph"/>
        <w:numPr>
          <w:ilvl w:val="0"/>
          <w:numId w:val="10"/>
        </w:numPr>
        <w:spacing w:after="0" w:line="360" w:lineRule="atLeast"/>
        <w:jc w:val="both"/>
        <w:rPr>
          <w:rFonts w:ascii="Verdana" w:hAnsi="Verdana"/>
          <w:bCs/>
          <w:sz w:val="21"/>
          <w:szCs w:val="21"/>
        </w:rPr>
      </w:pPr>
      <w:r w:rsidRPr="008E2FDF">
        <w:rPr>
          <w:rFonts w:ascii="Verdana" w:hAnsi="Verdana"/>
          <w:bCs/>
          <w:sz w:val="21"/>
          <w:szCs w:val="21"/>
        </w:rPr>
        <w:t xml:space="preserve">The mining </w:t>
      </w:r>
      <w:r w:rsidR="005A21ED">
        <w:rPr>
          <w:rFonts w:ascii="Verdana" w:hAnsi="Verdana"/>
          <w:bCs/>
          <w:sz w:val="21"/>
          <w:szCs w:val="21"/>
        </w:rPr>
        <w:t xml:space="preserve">overall </w:t>
      </w:r>
      <w:r w:rsidRPr="008E2FDF">
        <w:rPr>
          <w:rFonts w:ascii="Verdana" w:hAnsi="Verdana"/>
          <w:bCs/>
          <w:sz w:val="21"/>
          <w:szCs w:val="21"/>
        </w:rPr>
        <w:t>environment has deteriorated in recent years in South Africa</w:t>
      </w:r>
      <w:r w:rsidR="005A21ED">
        <w:rPr>
          <w:rFonts w:ascii="Verdana" w:hAnsi="Verdana"/>
          <w:bCs/>
          <w:sz w:val="21"/>
          <w:szCs w:val="21"/>
        </w:rPr>
        <w:t>.  Doubts concerning</w:t>
      </w:r>
      <w:r w:rsidRPr="008E2FDF">
        <w:rPr>
          <w:rFonts w:ascii="Verdana" w:hAnsi="Verdana"/>
          <w:bCs/>
          <w:sz w:val="21"/>
          <w:szCs w:val="21"/>
        </w:rPr>
        <w:t xml:space="preserve"> mineral rights, mining policy, </w:t>
      </w:r>
      <w:r w:rsidR="002E4F01" w:rsidRPr="008E2FDF">
        <w:rPr>
          <w:rFonts w:ascii="Verdana" w:hAnsi="Verdana"/>
          <w:bCs/>
          <w:sz w:val="21"/>
          <w:szCs w:val="21"/>
        </w:rPr>
        <w:t>taxation</w:t>
      </w:r>
      <w:r w:rsidRPr="008E2FDF">
        <w:rPr>
          <w:rFonts w:ascii="Verdana" w:hAnsi="Verdana"/>
          <w:bCs/>
          <w:sz w:val="21"/>
          <w:szCs w:val="21"/>
        </w:rPr>
        <w:t xml:space="preserve"> treatment and ownership, have </w:t>
      </w:r>
      <w:r w:rsidR="005A21ED">
        <w:rPr>
          <w:rFonts w:ascii="Verdana" w:hAnsi="Verdana"/>
          <w:bCs/>
          <w:sz w:val="21"/>
          <w:szCs w:val="21"/>
        </w:rPr>
        <w:t xml:space="preserve">prevented </w:t>
      </w:r>
      <w:r w:rsidRPr="008E2FDF">
        <w:rPr>
          <w:rFonts w:ascii="Verdana" w:hAnsi="Verdana"/>
          <w:bCs/>
          <w:sz w:val="21"/>
          <w:szCs w:val="21"/>
        </w:rPr>
        <w:t>new min</w:t>
      </w:r>
      <w:r w:rsidR="005A21ED">
        <w:rPr>
          <w:rFonts w:ascii="Verdana" w:hAnsi="Verdana"/>
          <w:bCs/>
          <w:sz w:val="21"/>
          <w:szCs w:val="21"/>
        </w:rPr>
        <w:t>ing</w:t>
      </w:r>
      <w:r w:rsidRPr="008E2FDF">
        <w:rPr>
          <w:rFonts w:ascii="Verdana" w:hAnsi="Verdana"/>
          <w:bCs/>
          <w:sz w:val="21"/>
          <w:szCs w:val="21"/>
        </w:rPr>
        <w:t xml:space="preserve"> development and e</w:t>
      </w:r>
      <w:r w:rsidR="005A21ED">
        <w:rPr>
          <w:rFonts w:ascii="Verdana" w:hAnsi="Verdana"/>
          <w:bCs/>
          <w:sz w:val="21"/>
          <w:szCs w:val="21"/>
        </w:rPr>
        <w:t xml:space="preserve">xpansions.  </w:t>
      </w:r>
      <w:r w:rsidRPr="008E2FDF">
        <w:rPr>
          <w:rFonts w:ascii="Verdana" w:hAnsi="Verdana"/>
          <w:bCs/>
          <w:sz w:val="21"/>
          <w:szCs w:val="21"/>
        </w:rPr>
        <w:t>Accordingly, direct investment in metals</w:t>
      </w:r>
      <w:r w:rsidR="005A21ED">
        <w:rPr>
          <w:rFonts w:ascii="Verdana" w:hAnsi="Verdana"/>
          <w:bCs/>
          <w:sz w:val="21"/>
          <w:szCs w:val="21"/>
        </w:rPr>
        <w:t xml:space="preserve">, rather than in mining ventures, </w:t>
      </w:r>
      <w:r w:rsidR="009E19AA">
        <w:rPr>
          <w:rFonts w:ascii="Verdana" w:hAnsi="Verdana"/>
          <w:bCs/>
          <w:sz w:val="21"/>
          <w:szCs w:val="21"/>
        </w:rPr>
        <w:t>h</w:t>
      </w:r>
      <w:r w:rsidR="005A21ED">
        <w:rPr>
          <w:rFonts w:ascii="Verdana" w:hAnsi="Verdana"/>
          <w:bCs/>
          <w:sz w:val="21"/>
          <w:szCs w:val="21"/>
        </w:rPr>
        <w:t>as become more a</w:t>
      </w:r>
      <w:r w:rsidRPr="008E2FDF">
        <w:rPr>
          <w:rFonts w:ascii="Verdana" w:hAnsi="Verdana"/>
          <w:bCs/>
          <w:sz w:val="21"/>
          <w:szCs w:val="21"/>
        </w:rPr>
        <w:t>ttracti</w:t>
      </w:r>
      <w:r w:rsidR="005A21ED">
        <w:rPr>
          <w:rFonts w:ascii="Verdana" w:hAnsi="Verdana"/>
          <w:bCs/>
          <w:sz w:val="21"/>
          <w:szCs w:val="21"/>
        </w:rPr>
        <w:t>ve</w:t>
      </w:r>
      <w:r w:rsidRPr="008E2FDF">
        <w:rPr>
          <w:rFonts w:ascii="Verdana" w:hAnsi="Verdana"/>
          <w:bCs/>
          <w:sz w:val="21"/>
          <w:szCs w:val="21"/>
        </w:rPr>
        <w:t xml:space="preserve">.  </w:t>
      </w:r>
    </w:p>
    <w:p w14:paraId="29F9B1F4" w14:textId="77777777" w:rsidR="008E2FDF" w:rsidRDefault="008E2FDF" w:rsidP="005A21ED">
      <w:pPr>
        <w:pStyle w:val="ListParagraph"/>
        <w:spacing w:after="0" w:line="360" w:lineRule="atLeast"/>
        <w:jc w:val="both"/>
        <w:rPr>
          <w:rFonts w:ascii="Verdana" w:hAnsi="Verdana"/>
          <w:bCs/>
          <w:sz w:val="21"/>
          <w:szCs w:val="21"/>
        </w:rPr>
      </w:pPr>
    </w:p>
    <w:p w14:paraId="168C2CC0" w14:textId="708E4207" w:rsidR="008E2FDF" w:rsidRDefault="008E2FDF" w:rsidP="005A21ED">
      <w:pPr>
        <w:pStyle w:val="ListParagraph"/>
        <w:numPr>
          <w:ilvl w:val="0"/>
          <w:numId w:val="10"/>
        </w:numPr>
        <w:spacing w:after="0" w:line="360" w:lineRule="atLeast"/>
        <w:jc w:val="both"/>
        <w:rPr>
          <w:rFonts w:ascii="Verdana" w:hAnsi="Verdana"/>
          <w:bCs/>
          <w:sz w:val="21"/>
          <w:szCs w:val="21"/>
        </w:rPr>
      </w:pPr>
      <w:r>
        <w:rPr>
          <w:rFonts w:ascii="Verdana" w:hAnsi="Verdana"/>
          <w:bCs/>
          <w:sz w:val="21"/>
          <w:szCs w:val="21"/>
        </w:rPr>
        <w:t xml:space="preserve">The </w:t>
      </w:r>
      <w:r w:rsidR="009E19AA">
        <w:rPr>
          <w:rFonts w:ascii="Verdana" w:hAnsi="Verdana"/>
          <w:bCs/>
          <w:sz w:val="21"/>
          <w:szCs w:val="21"/>
        </w:rPr>
        <w:t>enhanced</w:t>
      </w:r>
      <w:r>
        <w:rPr>
          <w:rFonts w:ascii="Verdana" w:hAnsi="Verdana"/>
          <w:bCs/>
          <w:sz w:val="21"/>
          <w:szCs w:val="21"/>
        </w:rPr>
        <w:t xml:space="preserve"> security of commodity ETFs, where the physical assets are held offshore in global depositories, or the liabilities are covered on international futures markets, rather than having assets physically held in South Africa, </w:t>
      </w:r>
      <w:r w:rsidR="005A21ED">
        <w:rPr>
          <w:rFonts w:ascii="Verdana" w:hAnsi="Verdana"/>
          <w:bCs/>
          <w:sz w:val="21"/>
          <w:szCs w:val="21"/>
        </w:rPr>
        <w:t xml:space="preserve">also contributes in favour of </w:t>
      </w:r>
      <w:r w:rsidR="009E19AA">
        <w:rPr>
          <w:rFonts w:ascii="Verdana" w:hAnsi="Verdana"/>
          <w:bCs/>
          <w:sz w:val="21"/>
          <w:szCs w:val="21"/>
        </w:rPr>
        <w:t xml:space="preserve">these </w:t>
      </w:r>
      <w:r w:rsidR="005A21ED">
        <w:rPr>
          <w:rFonts w:ascii="Verdana" w:hAnsi="Verdana"/>
          <w:bCs/>
          <w:sz w:val="21"/>
          <w:szCs w:val="21"/>
        </w:rPr>
        <w:t>ETFs</w:t>
      </w:r>
      <w:r>
        <w:rPr>
          <w:rFonts w:ascii="Verdana" w:hAnsi="Verdana"/>
          <w:bCs/>
          <w:sz w:val="21"/>
          <w:szCs w:val="21"/>
        </w:rPr>
        <w:t xml:space="preserve">. </w:t>
      </w:r>
    </w:p>
    <w:p w14:paraId="168A9DF5" w14:textId="77777777" w:rsidR="008E2FDF" w:rsidRPr="008E2FDF" w:rsidRDefault="008E2FDF" w:rsidP="005A21ED">
      <w:pPr>
        <w:pStyle w:val="ListParagraph"/>
        <w:spacing w:after="0" w:line="360" w:lineRule="atLeast"/>
        <w:rPr>
          <w:rFonts w:ascii="Verdana" w:hAnsi="Verdana"/>
          <w:bCs/>
          <w:sz w:val="21"/>
          <w:szCs w:val="21"/>
        </w:rPr>
      </w:pPr>
    </w:p>
    <w:p w14:paraId="0626B8C2" w14:textId="2B2120FC" w:rsidR="008E2FDF" w:rsidRDefault="008E2FDF" w:rsidP="005A21ED">
      <w:pPr>
        <w:pStyle w:val="ListParagraph"/>
        <w:numPr>
          <w:ilvl w:val="0"/>
          <w:numId w:val="10"/>
        </w:numPr>
        <w:spacing w:after="0" w:line="360" w:lineRule="atLeast"/>
        <w:jc w:val="both"/>
        <w:rPr>
          <w:rFonts w:ascii="Verdana" w:hAnsi="Verdana"/>
          <w:bCs/>
          <w:sz w:val="21"/>
          <w:szCs w:val="21"/>
        </w:rPr>
      </w:pPr>
      <w:r>
        <w:rPr>
          <w:rFonts w:ascii="Verdana" w:hAnsi="Verdana"/>
          <w:bCs/>
          <w:sz w:val="21"/>
          <w:szCs w:val="21"/>
        </w:rPr>
        <w:t xml:space="preserve">Regulation 28 of the Pension Funds Act, 196, specifically allows for </w:t>
      </w:r>
      <w:r w:rsidR="005A21ED">
        <w:rPr>
          <w:rFonts w:ascii="Verdana" w:hAnsi="Verdana"/>
          <w:bCs/>
          <w:sz w:val="21"/>
          <w:szCs w:val="21"/>
        </w:rPr>
        <w:t>1</w:t>
      </w:r>
      <w:r>
        <w:rPr>
          <w:rFonts w:ascii="Verdana" w:hAnsi="Verdana"/>
          <w:bCs/>
          <w:sz w:val="21"/>
          <w:szCs w:val="21"/>
        </w:rPr>
        <w:t xml:space="preserve">0% of the assets of any retirement fund to be held in commodities and the FSCA has indicated its preference for such </w:t>
      </w:r>
      <w:r w:rsidR="002E4F01">
        <w:rPr>
          <w:rFonts w:ascii="Verdana" w:hAnsi="Verdana"/>
          <w:bCs/>
          <w:sz w:val="21"/>
          <w:szCs w:val="21"/>
        </w:rPr>
        <w:t>holdings</w:t>
      </w:r>
      <w:r>
        <w:rPr>
          <w:rFonts w:ascii="Verdana" w:hAnsi="Verdana"/>
          <w:bCs/>
          <w:sz w:val="21"/>
          <w:szCs w:val="21"/>
        </w:rPr>
        <w:t xml:space="preserve"> to be in ETF or ETN form. </w:t>
      </w:r>
    </w:p>
    <w:p w14:paraId="02A3A9B7" w14:textId="77777777" w:rsidR="008E2FDF" w:rsidRPr="008E2FDF" w:rsidRDefault="008E2FDF" w:rsidP="005A21ED">
      <w:pPr>
        <w:pStyle w:val="ListParagraph"/>
        <w:spacing w:after="0" w:line="360" w:lineRule="atLeast"/>
        <w:rPr>
          <w:rFonts w:ascii="Verdana" w:hAnsi="Verdana"/>
          <w:bCs/>
          <w:sz w:val="21"/>
          <w:szCs w:val="21"/>
        </w:rPr>
      </w:pPr>
    </w:p>
    <w:p w14:paraId="330FDD25" w14:textId="1D582DBE" w:rsidR="008E2FDF" w:rsidRPr="008E2FDF" w:rsidRDefault="008E2FDF" w:rsidP="005A21ED">
      <w:pPr>
        <w:pStyle w:val="ListParagraph"/>
        <w:numPr>
          <w:ilvl w:val="0"/>
          <w:numId w:val="10"/>
        </w:numPr>
        <w:spacing w:after="0" w:line="360" w:lineRule="atLeast"/>
        <w:jc w:val="both"/>
        <w:rPr>
          <w:rFonts w:ascii="Verdana" w:hAnsi="Verdana"/>
          <w:bCs/>
          <w:sz w:val="21"/>
          <w:szCs w:val="21"/>
        </w:rPr>
      </w:pPr>
      <w:r>
        <w:rPr>
          <w:rFonts w:ascii="Verdana" w:hAnsi="Verdana"/>
          <w:bCs/>
          <w:sz w:val="21"/>
          <w:szCs w:val="21"/>
        </w:rPr>
        <w:t xml:space="preserve">The outstanding investment returns of </w:t>
      </w:r>
      <w:r w:rsidR="005A21ED">
        <w:rPr>
          <w:rFonts w:ascii="Verdana" w:hAnsi="Verdana"/>
          <w:bCs/>
          <w:sz w:val="21"/>
          <w:szCs w:val="21"/>
        </w:rPr>
        <w:t xml:space="preserve">many </w:t>
      </w:r>
      <w:r>
        <w:rPr>
          <w:rFonts w:ascii="Verdana" w:hAnsi="Verdana"/>
          <w:bCs/>
          <w:sz w:val="21"/>
          <w:szCs w:val="21"/>
        </w:rPr>
        <w:t xml:space="preserve">commodity based ETFs and ETNs over the past </w:t>
      </w:r>
      <w:r w:rsidR="005A21ED">
        <w:rPr>
          <w:rFonts w:ascii="Verdana" w:hAnsi="Verdana"/>
          <w:bCs/>
          <w:sz w:val="21"/>
          <w:szCs w:val="21"/>
        </w:rPr>
        <w:t>five</w:t>
      </w:r>
      <w:r>
        <w:rPr>
          <w:rFonts w:ascii="Verdana" w:hAnsi="Verdana"/>
          <w:bCs/>
          <w:sz w:val="21"/>
          <w:szCs w:val="21"/>
        </w:rPr>
        <w:t xml:space="preserve"> years </w:t>
      </w:r>
      <w:r w:rsidR="005A21ED">
        <w:rPr>
          <w:rFonts w:ascii="Verdana" w:hAnsi="Verdana"/>
          <w:bCs/>
          <w:sz w:val="21"/>
          <w:szCs w:val="21"/>
        </w:rPr>
        <w:t>are in stark contrast to poor returns from more traditional asset classes</w:t>
      </w:r>
      <w:r>
        <w:rPr>
          <w:rFonts w:ascii="Verdana" w:hAnsi="Verdana"/>
          <w:bCs/>
          <w:sz w:val="21"/>
          <w:szCs w:val="21"/>
        </w:rPr>
        <w:t xml:space="preserve">. </w:t>
      </w:r>
    </w:p>
    <w:p w14:paraId="330FCDFC" w14:textId="77777777" w:rsidR="005A21ED" w:rsidRDefault="005A21ED" w:rsidP="005A21ED">
      <w:pPr>
        <w:spacing w:after="0" w:line="360" w:lineRule="atLeast"/>
        <w:jc w:val="both"/>
        <w:rPr>
          <w:rFonts w:ascii="Verdana" w:hAnsi="Verdana"/>
          <w:color w:val="000000"/>
          <w:sz w:val="21"/>
          <w:szCs w:val="21"/>
        </w:rPr>
      </w:pPr>
    </w:p>
    <w:p w14:paraId="6379280D" w14:textId="316AAE29" w:rsidR="008E2FDF" w:rsidRPr="002E4F01" w:rsidRDefault="008E2FDF" w:rsidP="005A21ED">
      <w:pPr>
        <w:spacing w:after="0" w:line="360" w:lineRule="atLeast"/>
        <w:jc w:val="both"/>
        <w:rPr>
          <w:rFonts w:ascii="Verdana" w:hAnsi="Verdana"/>
          <w:color w:val="000000"/>
          <w:sz w:val="21"/>
          <w:szCs w:val="21"/>
        </w:rPr>
      </w:pPr>
      <w:r w:rsidRPr="002E4F01">
        <w:rPr>
          <w:rFonts w:ascii="Verdana" w:hAnsi="Verdana"/>
          <w:color w:val="000000"/>
          <w:sz w:val="21"/>
          <w:szCs w:val="21"/>
        </w:rPr>
        <w:t xml:space="preserve">The summary table </w:t>
      </w:r>
      <w:r w:rsidR="005A21ED">
        <w:rPr>
          <w:rFonts w:ascii="Verdana" w:hAnsi="Verdana"/>
          <w:color w:val="000000"/>
          <w:sz w:val="21"/>
          <w:szCs w:val="21"/>
        </w:rPr>
        <w:t xml:space="preserve">below, </w:t>
      </w:r>
      <w:r w:rsidRPr="002E4F01">
        <w:rPr>
          <w:rFonts w:ascii="Verdana" w:hAnsi="Verdana"/>
          <w:color w:val="000000"/>
          <w:sz w:val="21"/>
          <w:szCs w:val="21"/>
        </w:rPr>
        <w:t>from the latest Monthly Performance Survey</w:t>
      </w:r>
      <w:r w:rsidR="005A21ED">
        <w:rPr>
          <w:rFonts w:ascii="Verdana" w:hAnsi="Verdana"/>
          <w:color w:val="000000"/>
          <w:sz w:val="21"/>
          <w:szCs w:val="21"/>
        </w:rPr>
        <w:t>,</w:t>
      </w:r>
      <w:r w:rsidRPr="002E4F01">
        <w:rPr>
          <w:rFonts w:ascii="Verdana" w:hAnsi="Verdana"/>
          <w:color w:val="000000"/>
          <w:sz w:val="21"/>
          <w:szCs w:val="21"/>
        </w:rPr>
        <w:t xml:space="preserve"> </w:t>
      </w:r>
      <w:r w:rsidR="002E4F01" w:rsidRPr="002E4F01">
        <w:rPr>
          <w:rFonts w:ascii="Verdana" w:hAnsi="Verdana"/>
          <w:color w:val="000000"/>
          <w:sz w:val="21"/>
          <w:szCs w:val="21"/>
        </w:rPr>
        <w:t>clearly</w:t>
      </w:r>
      <w:r w:rsidRPr="002E4F01">
        <w:rPr>
          <w:rFonts w:ascii="Verdana" w:hAnsi="Verdana"/>
          <w:color w:val="000000"/>
          <w:sz w:val="21"/>
          <w:szCs w:val="21"/>
        </w:rPr>
        <w:t xml:space="preserve"> shows the </w:t>
      </w:r>
      <w:r w:rsidR="002E4F01" w:rsidRPr="002E4F01">
        <w:rPr>
          <w:rFonts w:ascii="Verdana" w:hAnsi="Verdana"/>
          <w:color w:val="000000"/>
          <w:sz w:val="21"/>
          <w:szCs w:val="21"/>
        </w:rPr>
        <w:t>dominant</w:t>
      </w:r>
      <w:r w:rsidRPr="002E4F01">
        <w:rPr>
          <w:rFonts w:ascii="Verdana" w:hAnsi="Verdana"/>
          <w:color w:val="000000"/>
          <w:sz w:val="21"/>
          <w:szCs w:val="21"/>
        </w:rPr>
        <w:t xml:space="preserve"> investment returns made by commodity ETFs and ETNs over the past 5 years. </w:t>
      </w:r>
    </w:p>
    <w:p w14:paraId="20640B5B" w14:textId="77777777" w:rsidR="005A21ED" w:rsidRDefault="005A21ED" w:rsidP="00AC54A6">
      <w:pPr>
        <w:spacing w:after="0" w:line="340" w:lineRule="atLeast"/>
        <w:jc w:val="both"/>
        <w:rPr>
          <w:rFonts w:ascii="Verdana" w:hAnsi="Verdana"/>
          <w:b/>
          <w:bCs/>
          <w:color w:val="000000"/>
          <w:sz w:val="21"/>
          <w:szCs w:val="21"/>
        </w:rPr>
      </w:pPr>
    </w:p>
    <w:p w14:paraId="5E38E263" w14:textId="77777777" w:rsidR="005A21ED" w:rsidRDefault="005A21ED">
      <w:pPr>
        <w:rPr>
          <w:rFonts w:ascii="Verdana" w:hAnsi="Verdana"/>
          <w:b/>
          <w:bCs/>
          <w:color w:val="000000"/>
          <w:sz w:val="21"/>
          <w:szCs w:val="21"/>
        </w:rPr>
      </w:pPr>
      <w:r>
        <w:rPr>
          <w:rFonts w:ascii="Verdana" w:hAnsi="Verdana"/>
          <w:b/>
          <w:bCs/>
          <w:color w:val="000000"/>
          <w:sz w:val="21"/>
          <w:szCs w:val="21"/>
        </w:rPr>
        <w:br w:type="page"/>
      </w:r>
    </w:p>
    <w:p w14:paraId="3311DB6F" w14:textId="4D8F4F5A" w:rsidR="00752C5D" w:rsidRPr="002E4F01" w:rsidRDefault="002E4F01" w:rsidP="00AC54A6">
      <w:pPr>
        <w:spacing w:after="0" w:line="340" w:lineRule="atLeast"/>
        <w:jc w:val="both"/>
        <w:rPr>
          <w:rFonts w:ascii="Verdana" w:hAnsi="Verdana"/>
          <w:b/>
          <w:bCs/>
          <w:color w:val="000000"/>
          <w:sz w:val="21"/>
          <w:szCs w:val="21"/>
        </w:rPr>
      </w:pPr>
      <w:r>
        <w:rPr>
          <w:rFonts w:ascii="Verdana" w:hAnsi="Verdana"/>
          <w:b/>
          <w:bCs/>
          <w:color w:val="000000"/>
          <w:sz w:val="21"/>
          <w:szCs w:val="21"/>
        </w:rPr>
        <w:t>Summary Table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851"/>
        <w:gridCol w:w="1134"/>
        <w:gridCol w:w="3012"/>
        <w:gridCol w:w="830"/>
        <w:gridCol w:w="1112"/>
      </w:tblGrid>
      <w:tr w:rsidR="001D3AD8" w:rsidRPr="00804DEE" w14:paraId="686D0633" w14:textId="77777777" w:rsidTr="001D3AD8">
        <w:tc>
          <w:tcPr>
            <w:tcW w:w="9916" w:type="dxa"/>
            <w:gridSpan w:val="6"/>
            <w:shd w:val="clear" w:color="auto" w:fill="CB2229"/>
            <w:vAlign w:val="center"/>
          </w:tcPr>
          <w:p w14:paraId="72D58538" w14:textId="77777777" w:rsidR="001D3AD8" w:rsidRPr="005B7B53" w:rsidRDefault="001D3AD8" w:rsidP="005A21ED">
            <w:pPr>
              <w:pStyle w:val="BodyText2"/>
              <w:spacing w:before="40" w:after="40" w:line="280" w:lineRule="atLeast"/>
              <w:jc w:val="center"/>
              <w:rPr>
                <w:rFonts w:ascii="Verdana" w:hAnsi="Verdana"/>
                <w:b/>
                <w:color w:val="FFFFFF"/>
                <w:sz w:val="17"/>
                <w:szCs w:val="17"/>
              </w:rPr>
            </w:pPr>
            <w:bookmarkStart w:id="1" w:name="_Hlk355605138"/>
            <w:r w:rsidRPr="005B7B53">
              <w:rPr>
                <w:rFonts w:ascii="Verdana" w:hAnsi="Verdana"/>
                <w:b/>
                <w:color w:val="FFFFFF"/>
                <w:sz w:val="17"/>
                <w:szCs w:val="17"/>
              </w:rPr>
              <w:t>etfSA.co.za Monthly Performance Survey</w:t>
            </w:r>
          </w:p>
          <w:p w14:paraId="0464A763" w14:textId="77777777" w:rsidR="001D3AD8" w:rsidRPr="005B7B53" w:rsidRDefault="001D3AD8" w:rsidP="005A21ED">
            <w:pPr>
              <w:pStyle w:val="BodyText2"/>
              <w:spacing w:before="40" w:after="40" w:line="280" w:lineRule="atLeast"/>
              <w:jc w:val="center"/>
              <w:rPr>
                <w:rFonts w:ascii="Verdana" w:hAnsi="Verdana"/>
                <w:b/>
                <w:color w:val="FFFFFF"/>
                <w:sz w:val="17"/>
                <w:szCs w:val="17"/>
              </w:rPr>
            </w:pPr>
            <w:r w:rsidRPr="005B7B53">
              <w:rPr>
                <w:rFonts w:ascii="Verdana" w:hAnsi="Verdana"/>
                <w:b/>
                <w:color w:val="FFFFFF"/>
                <w:sz w:val="17"/>
                <w:szCs w:val="17"/>
              </w:rPr>
              <w:t>Best Performing Index Tracker Funds –</w:t>
            </w:r>
            <w:r>
              <w:rPr>
                <w:rFonts w:ascii="Verdana" w:hAnsi="Verdana"/>
                <w:b/>
                <w:color w:val="FFFFFF"/>
                <w:sz w:val="17"/>
                <w:szCs w:val="17"/>
              </w:rPr>
              <w:t xml:space="preserve">30 September </w:t>
            </w:r>
            <w:r w:rsidRPr="005B7B53">
              <w:rPr>
                <w:rFonts w:ascii="Verdana" w:hAnsi="Verdana"/>
                <w:b/>
                <w:color w:val="FFFFFF"/>
                <w:sz w:val="17"/>
                <w:szCs w:val="17"/>
              </w:rPr>
              <w:t>201</w:t>
            </w:r>
            <w:r>
              <w:rPr>
                <w:rFonts w:ascii="Verdana" w:hAnsi="Verdana"/>
                <w:b/>
                <w:color w:val="FFFFFF"/>
                <w:sz w:val="17"/>
                <w:szCs w:val="17"/>
              </w:rPr>
              <w:t>9</w:t>
            </w:r>
          </w:p>
          <w:p w14:paraId="24764620" w14:textId="77777777" w:rsidR="001D3AD8" w:rsidRPr="00000A2B" w:rsidRDefault="001D3AD8" w:rsidP="005A21ED">
            <w:pPr>
              <w:pStyle w:val="BodyText2"/>
              <w:spacing w:before="40" w:after="40" w:line="280" w:lineRule="atLeast"/>
              <w:jc w:val="center"/>
              <w:rPr>
                <w:rFonts w:ascii="Verdana" w:hAnsi="Verdana"/>
                <w:b/>
                <w:color w:val="FFFFFF"/>
                <w:sz w:val="18"/>
                <w:szCs w:val="18"/>
              </w:rPr>
            </w:pPr>
            <w:r w:rsidRPr="005B7B53">
              <w:rPr>
                <w:rFonts w:ascii="Verdana" w:hAnsi="Verdana"/>
                <w:b/>
                <w:color w:val="FFFFFF"/>
                <w:sz w:val="17"/>
                <w:szCs w:val="17"/>
              </w:rPr>
              <w:t>(Total Return %</w:t>
            </w:r>
            <w:r>
              <w:rPr>
                <w:rFonts w:ascii="Verdana" w:hAnsi="Verdana"/>
                <w:b/>
                <w:color w:val="FFFFFF"/>
                <w:sz w:val="17"/>
                <w:szCs w:val="17"/>
              </w:rPr>
              <w:t xml:space="preserve"> Performance*</w:t>
            </w:r>
            <w:r w:rsidRPr="005B7B53">
              <w:rPr>
                <w:rFonts w:ascii="Verdana" w:hAnsi="Verdana"/>
                <w:b/>
                <w:color w:val="FFFFFF"/>
                <w:sz w:val="17"/>
                <w:szCs w:val="17"/>
              </w:rPr>
              <w:t>)</w:t>
            </w:r>
          </w:p>
        </w:tc>
      </w:tr>
      <w:tr w:rsidR="001D3AD8" w:rsidRPr="00804DEE" w14:paraId="6A20B55F" w14:textId="77777777" w:rsidTr="001D3AD8">
        <w:tc>
          <w:tcPr>
            <w:tcW w:w="2977" w:type="dxa"/>
            <w:shd w:val="clear" w:color="auto" w:fill="4C4C4C"/>
            <w:vAlign w:val="center"/>
          </w:tcPr>
          <w:p w14:paraId="3993C4CB" w14:textId="77777777" w:rsidR="001D3AD8" w:rsidRPr="005B7B53" w:rsidRDefault="001D3AD8" w:rsidP="005A21ED">
            <w:pPr>
              <w:pStyle w:val="BodyText2"/>
              <w:spacing w:before="40" w:after="40" w:line="280" w:lineRule="atLeast"/>
              <w:rPr>
                <w:rFonts w:ascii="Verdana" w:hAnsi="Verdana"/>
                <w:b/>
                <w:color w:val="FFFFFF"/>
                <w:sz w:val="17"/>
                <w:szCs w:val="17"/>
              </w:rPr>
            </w:pPr>
            <w:r w:rsidRPr="005B7B53">
              <w:rPr>
                <w:rFonts w:ascii="Verdana" w:hAnsi="Verdana"/>
                <w:b/>
                <w:color w:val="FFFFFF"/>
                <w:sz w:val="17"/>
                <w:szCs w:val="17"/>
              </w:rPr>
              <w:t>Fund Name</w:t>
            </w:r>
          </w:p>
        </w:tc>
        <w:tc>
          <w:tcPr>
            <w:tcW w:w="851" w:type="dxa"/>
            <w:shd w:val="clear" w:color="auto" w:fill="4C4C4C"/>
            <w:vAlign w:val="center"/>
          </w:tcPr>
          <w:p w14:paraId="74F179A8" w14:textId="77777777" w:rsidR="001D3AD8" w:rsidRPr="005B7B53" w:rsidRDefault="001D3AD8" w:rsidP="005A21ED">
            <w:pPr>
              <w:pStyle w:val="BodyText2"/>
              <w:spacing w:before="40" w:after="40" w:line="280" w:lineRule="atLeast"/>
              <w:jc w:val="center"/>
              <w:rPr>
                <w:rFonts w:ascii="Verdana" w:hAnsi="Verdana"/>
                <w:b/>
                <w:color w:val="FFFFFF"/>
                <w:sz w:val="17"/>
                <w:szCs w:val="17"/>
              </w:rPr>
            </w:pPr>
            <w:r w:rsidRPr="005B7B53">
              <w:rPr>
                <w:rFonts w:ascii="Verdana" w:hAnsi="Verdana"/>
                <w:b/>
                <w:color w:val="FFFFFF"/>
                <w:sz w:val="17"/>
                <w:szCs w:val="17"/>
              </w:rPr>
              <w:t>Type</w:t>
            </w:r>
          </w:p>
        </w:tc>
        <w:tc>
          <w:tcPr>
            <w:tcW w:w="1134" w:type="dxa"/>
            <w:tcBorders>
              <w:right w:val="single" w:sz="18" w:space="0" w:color="auto"/>
            </w:tcBorders>
            <w:shd w:val="clear" w:color="auto" w:fill="4C4C4C"/>
            <w:vAlign w:val="center"/>
          </w:tcPr>
          <w:p w14:paraId="6ED52108" w14:textId="19ADD3B7" w:rsidR="001D3AD8" w:rsidRPr="005B7B53" w:rsidRDefault="001D3AD8" w:rsidP="005A21ED">
            <w:pPr>
              <w:pStyle w:val="BodyText2"/>
              <w:spacing w:before="40" w:after="40" w:line="280" w:lineRule="atLeast"/>
              <w:jc w:val="center"/>
              <w:rPr>
                <w:rFonts w:ascii="Verdana" w:hAnsi="Verdana"/>
                <w:b/>
                <w:color w:val="FFFFFF"/>
                <w:sz w:val="17"/>
                <w:szCs w:val="17"/>
              </w:rPr>
            </w:pPr>
            <w:r>
              <w:rPr>
                <w:rFonts w:ascii="Verdana" w:hAnsi="Verdana"/>
                <w:b/>
                <w:color w:val="FFFFFF"/>
                <w:sz w:val="17"/>
                <w:szCs w:val="17"/>
              </w:rPr>
              <w:t>5</w:t>
            </w:r>
            <w:r w:rsidRPr="005B7B53">
              <w:rPr>
                <w:rFonts w:ascii="Verdana" w:hAnsi="Verdana"/>
                <w:b/>
                <w:color w:val="FFFFFF"/>
                <w:sz w:val="17"/>
                <w:szCs w:val="17"/>
              </w:rPr>
              <w:t xml:space="preserve"> Years (p</w:t>
            </w:r>
            <w:r>
              <w:rPr>
                <w:rFonts w:ascii="Verdana" w:hAnsi="Verdana"/>
                <w:b/>
                <w:color w:val="FFFFFF"/>
                <w:sz w:val="17"/>
                <w:szCs w:val="17"/>
              </w:rPr>
              <w:t>.a.</w:t>
            </w:r>
            <w:r w:rsidRPr="005B7B53">
              <w:rPr>
                <w:rFonts w:ascii="Verdana" w:hAnsi="Verdana"/>
                <w:b/>
                <w:color w:val="FFFFFF"/>
                <w:sz w:val="17"/>
                <w:szCs w:val="17"/>
              </w:rPr>
              <w:t>)</w:t>
            </w:r>
          </w:p>
        </w:tc>
        <w:tc>
          <w:tcPr>
            <w:tcW w:w="3012" w:type="dxa"/>
            <w:tcBorders>
              <w:left w:val="single" w:sz="18" w:space="0" w:color="auto"/>
            </w:tcBorders>
            <w:shd w:val="clear" w:color="auto" w:fill="4C4C4C"/>
            <w:vAlign w:val="center"/>
          </w:tcPr>
          <w:p w14:paraId="01612B9E" w14:textId="77777777" w:rsidR="001D3AD8" w:rsidRPr="005B7B53" w:rsidRDefault="001D3AD8" w:rsidP="005A21ED">
            <w:pPr>
              <w:pStyle w:val="BodyText2"/>
              <w:spacing w:before="40" w:after="40" w:line="280" w:lineRule="atLeast"/>
              <w:rPr>
                <w:rFonts w:ascii="Verdana" w:hAnsi="Verdana"/>
                <w:b/>
                <w:color w:val="FFFFFF"/>
                <w:sz w:val="17"/>
                <w:szCs w:val="17"/>
              </w:rPr>
            </w:pPr>
            <w:r w:rsidRPr="005B7B53">
              <w:rPr>
                <w:rFonts w:ascii="Verdana" w:hAnsi="Verdana"/>
                <w:b/>
                <w:color w:val="FFFFFF"/>
                <w:sz w:val="17"/>
                <w:szCs w:val="17"/>
              </w:rPr>
              <w:t>Fund Name</w:t>
            </w:r>
          </w:p>
        </w:tc>
        <w:tc>
          <w:tcPr>
            <w:tcW w:w="830" w:type="dxa"/>
            <w:shd w:val="clear" w:color="auto" w:fill="4C4C4C"/>
            <w:vAlign w:val="center"/>
          </w:tcPr>
          <w:p w14:paraId="07D2FBAF" w14:textId="77777777" w:rsidR="001D3AD8" w:rsidRPr="005B7B53" w:rsidRDefault="001D3AD8" w:rsidP="005A21ED">
            <w:pPr>
              <w:pStyle w:val="BodyText2"/>
              <w:spacing w:before="40" w:after="40" w:line="280" w:lineRule="atLeast"/>
              <w:jc w:val="center"/>
              <w:rPr>
                <w:rFonts w:ascii="Verdana" w:hAnsi="Verdana"/>
                <w:b/>
                <w:color w:val="FFFFFF"/>
                <w:sz w:val="17"/>
                <w:szCs w:val="17"/>
              </w:rPr>
            </w:pPr>
            <w:r w:rsidRPr="005B7B53">
              <w:rPr>
                <w:rFonts w:ascii="Verdana" w:hAnsi="Verdana"/>
                <w:b/>
                <w:color w:val="FFFFFF"/>
                <w:sz w:val="17"/>
                <w:szCs w:val="17"/>
              </w:rPr>
              <w:t>Type</w:t>
            </w:r>
          </w:p>
        </w:tc>
        <w:tc>
          <w:tcPr>
            <w:tcW w:w="1112" w:type="dxa"/>
            <w:shd w:val="clear" w:color="auto" w:fill="4C4C4C"/>
          </w:tcPr>
          <w:p w14:paraId="440E0D4A" w14:textId="5BA8CAD6" w:rsidR="001D3AD8" w:rsidRPr="005B7B53" w:rsidRDefault="001D3AD8" w:rsidP="005A21ED">
            <w:pPr>
              <w:pStyle w:val="BodyText2"/>
              <w:spacing w:before="40" w:after="40" w:line="280" w:lineRule="atLeast"/>
              <w:jc w:val="center"/>
              <w:rPr>
                <w:rFonts w:ascii="Verdana" w:hAnsi="Verdana"/>
                <w:b/>
                <w:color w:val="FFFFFF"/>
                <w:sz w:val="17"/>
                <w:szCs w:val="17"/>
              </w:rPr>
            </w:pPr>
            <w:r>
              <w:rPr>
                <w:rFonts w:ascii="Verdana" w:hAnsi="Verdana"/>
                <w:b/>
                <w:color w:val="FFFFFF"/>
                <w:sz w:val="17"/>
                <w:szCs w:val="17"/>
              </w:rPr>
              <w:t>3</w:t>
            </w:r>
            <w:r w:rsidRPr="005B7B53">
              <w:rPr>
                <w:rFonts w:ascii="Verdana" w:hAnsi="Verdana"/>
                <w:b/>
                <w:color w:val="FFFFFF"/>
                <w:sz w:val="17"/>
                <w:szCs w:val="17"/>
              </w:rPr>
              <w:t xml:space="preserve"> Years (p</w:t>
            </w:r>
            <w:r>
              <w:rPr>
                <w:rFonts w:ascii="Verdana" w:hAnsi="Verdana"/>
                <w:b/>
                <w:color w:val="FFFFFF"/>
                <w:sz w:val="17"/>
                <w:szCs w:val="17"/>
              </w:rPr>
              <w:t>.a.</w:t>
            </w:r>
            <w:r w:rsidRPr="005B7B53">
              <w:rPr>
                <w:rFonts w:ascii="Verdana" w:hAnsi="Verdana"/>
                <w:b/>
                <w:color w:val="FFFFFF"/>
                <w:sz w:val="17"/>
                <w:szCs w:val="17"/>
              </w:rPr>
              <w:t>)</w:t>
            </w:r>
          </w:p>
        </w:tc>
      </w:tr>
      <w:tr w:rsidR="001D3AD8" w:rsidRPr="00804DEE" w14:paraId="7AB03767" w14:textId="77777777" w:rsidTr="001D3AD8">
        <w:tc>
          <w:tcPr>
            <w:tcW w:w="2977" w:type="dxa"/>
            <w:shd w:val="clear" w:color="auto" w:fill="auto"/>
            <w:vAlign w:val="center"/>
          </w:tcPr>
          <w:p w14:paraId="03DAEBCF" w14:textId="7023DF5D" w:rsidR="001D3AD8" w:rsidRPr="005B7B53" w:rsidRDefault="001D3AD8" w:rsidP="005A21ED">
            <w:pPr>
              <w:pStyle w:val="BodyText2"/>
              <w:spacing w:before="40" w:after="40" w:line="280" w:lineRule="atLeast"/>
              <w:rPr>
                <w:rFonts w:ascii="Verdana" w:hAnsi="Verdana"/>
                <w:sz w:val="17"/>
                <w:szCs w:val="17"/>
              </w:rPr>
            </w:pPr>
            <w:r>
              <w:rPr>
                <w:rFonts w:ascii="Verdana" w:hAnsi="Verdana"/>
                <w:sz w:val="17"/>
                <w:szCs w:val="17"/>
              </w:rPr>
              <w:t>Standard Bank Palladium Linker</w:t>
            </w:r>
          </w:p>
        </w:tc>
        <w:tc>
          <w:tcPr>
            <w:tcW w:w="851" w:type="dxa"/>
            <w:shd w:val="clear" w:color="auto" w:fill="auto"/>
            <w:vAlign w:val="center"/>
          </w:tcPr>
          <w:p w14:paraId="00952611" w14:textId="2B3CE26E"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ETN</w:t>
            </w:r>
          </w:p>
        </w:tc>
        <w:tc>
          <w:tcPr>
            <w:tcW w:w="1134" w:type="dxa"/>
            <w:tcBorders>
              <w:right w:val="single" w:sz="18" w:space="0" w:color="auto"/>
            </w:tcBorders>
            <w:shd w:val="clear" w:color="auto" w:fill="auto"/>
            <w:vAlign w:val="center"/>
          </w:tcPr>
          <w:p w14:paraId="74E200B0" w14:textId="59C76250"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24,65%</w:t>
            </w:r>
          </w:p>
        </w:tc>
        <w:tc>
          <w:tcPr>
            <w:tcW w:w="3012" w:type="dxa"/>
            <w:tcBorders>
              <w:left w:val="single" w:sz="18" w:space="0" w:color="auto"/>
            </w:tcBorders>
            <w:vAlign w:val="center"/>
          </w:tcPr>
          <w:p w14:paraId="1D4147B8" w14:textId="35135969" w:rsidR="001D3AD8" w:rsidRPr="005B7B53" w:rsidRDefault="001D3AD8" w:rsidP="005A21ED">
            <w:pPr>
              <w:pStyle w:val="BodyText2"/>
              <w:spacing w:before="40" w:after="40" w:line="280" w:lineRule="atLeast"/>
              <w:rPr>
                <w:rFonts w:ascii="Verdana" w:hAnsi="Verdana"/>
                <w:sz w:val="17"/>
                <w:szCs w:val="17"/>
              </w:rPr>
            </w:pPr>
            <w:r>
              <w:rPr>
                <w:rFonts w:ascii="Verdana" w:hAnsi="Verdana"/>
                <w:sz w:val="17"/>
                <w:szCs w:val="17"/>
              </w:rPr>
              <w:t>Standard Bank Africa Rhodium</w:t>
            </w:r>
          </w:p>
        </w:tc>
        <w:tc>
          <w:tcPr>
            <w:tcW w:w="830" w:type="dxa"/>
            <w:vAlign w:val="center"/>
          </w:tcPr>
          <w:p w14:paraId="6C690C86" w14:textId="4259DD0C"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ETF</w:t>
            </w:r>
          </w:p>
        </w:tc>
        <w:tc>
          <w:tcPr>
            <w:tcW w:w="1112" w:type="dxa"/>
            <w:vAlign w:val="center"/>
          </w:tcPr>
          <w:p w14:paraId="151250BE" w14:textId="0C81EF47"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102,5%%</w:t>
            </w:r>
          </w:p>
        </w:tc>
      </w:tr>
      <w:tr w:rsidR="001D3AD8" w:rsidRPr="00804DEE" w14:paraId="2DB33AF3" w14:textId="77777777" w:rsidTr="001D3AD8">
        <w:tc>
          <w:tcPr>
            <w:tcW w:w="2977" w:type="dxa"/>
            <w:shd w:val="clear" w:color="auto" w:fill="auto"/>
            <w:vAlign w:val="center"/>
          </w:tcPr>
          <w:p w14:paraId="554A54F7" w14:textId="5113746C" w:rsidR="001D3AD8" w:rsidRPr="005B7B53" w:rsidRDefault="001D3AD8" w:rsidP="005A21ED">
            <w:pPr>
              <w:pStyle w:val="BodyText2"/>
              <w:spacing w:before="40" w:after="40" w:line="280" w:lineRule="atLeast"/>
              <w:rPr>
                <w:rFonts w:ascii="Verdana" w:hAnsi="Verdana"/>
                <w:sz w:val="17"/>
                <w:szCs w:val="17"/>
              </w:rPr>
            </w:pPr>
            <w:r>
              <w:rPr>
                <w:rFonts w:ascii="Verdana" w:hAnsi="Verdana"/>
                <w:sz w:val="17"/>
                <w:szCs w:val="17"/>
              </w:rPr>
              <w:t>Standard Bank Africa Palladium</w:t>
            </w:r>
          </w:p>
        </w:tc>
        <w:tc>
          <w:tcPr>
            <w:tcW w:w="851" w:type="dxa"/>
            <w:shd w:val="clear" w:color="auto" w:fill="auto"/>
            <w:vAlign w:val="center"/>
          </w:tcPr>
          <w:p w14:paraId="1FAA6CF6" w14:textId="72663982"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ETF</w:t>
            </w:r>
          </w:p>
        </w:tc>
        <w:tc>
          <w:tcPr>
            <w:tcW w:w="1134" w:type="dxa"/>
            <w:tcBorders>
              <w:right w:val="single" w:sz="18" w:space="0" w:color="auto"/>
            </w:tcBorders>
            <w:shd w:val="clear" w:color="auto" w:fill="auto"/>
            <w:vAlign w:val="center"/>
          </w:tcPr>
          <w:p w14:paraId="6822DC0D" w14:textId="56B92E1B"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23,19%</w:t>
            </w:r>
          </w:p>
        </w:tc>
        <w:tc>
          <w:tcPr>
            <w:tcW w:w="3012" w:type="dxa"/>
            <w:tcBorders>
              <w:left w:val="single" w:sz="18" w:space="0" w:color="auto"/>
            </w:tcBorders>
            <w:vAlign w:val="center"/>
          </w:tcPr>
          <w:p w14:paraId="1C60D1E4" w14:textId="6FC52911" w:rsidR="001D3AD8" w:rsidRPr="005B7B53" w:rsidRDefault="001D3AD8" w:rsidP="005A21ED">
            <w:pPr>
              <w:pStyle w:val="BodyText2"/>
              <w:spacing w:before="40" w:after="40" w:line="280" w:lineRule="atLeast"/>
              <w:rPr>
                <w:rFonts w:ascii="Verdana" w:hAnsi="Verdana"/>
                <w:sz w:val="17"/>
                <w:szCs w:val="17"/>
              </w:rPr>
            </w:pPr>
            <w:r>
              <w:rPr>
                <w:rFonts w:ascii="Verdana" w:hAnsi="Verdana"/>
                <w:sz w:val="17"/>
                <w:szCs w:val="17"/>
              </w:rPr>
              <w:t>Standard Bank Palladium Linker</w:t>
            </w:r>
          </w:p>
        </w:tc>
        <w:tc>
          <w:tcPr>
            <w:tcW w:w="830" w:type="dxa"/>
            <w:vAlign w:val="center"/>
          </w:tcPr>
          <w:p w14:paraId="4960D246" w14:textId="79C56CCE"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ETN</w:t>
            </w:r>
          </w:p>
        </w:tc>
        <w:tc>
          <w:tcPr>
            <w:tcW w:w="1112" w:type="dxa"/>
            <w:vAlign w:val="center"/>
          </w:tcPr>
          <w:p w14:paraId="226F94FC" w14:textId="25EC0FF3"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38,99%</w:t>
            </w:r>
          </w:p>
        </w:tc>
      </w:tr>
      <w:tr w:rsidR="001D3AD8" w:rsidRPr="00804DEE" w14:paraId="16CE11D9" w14:textId="77777777" w:rsidTr="001D3AD8">
        <w:tc>
          <w:tcPr>
            <w:tcW w:w="2977" w:type="dxa"/>
            <w:shd w:val="clear" w:color="auto" w:fill="auto"/>
            <w:vAlign w:val="center"/>
          </w:tcPr>
          <w:p w14:paraId="4FE946FB" w14:textId="192AA1A5" w:rsidR="001D3AD8" w:rsidRPr="005B7B53" w:rsidRDefault="001D3AD8" w:rsidP="005A21ED">
            <w:pPr>
              <w:pStyle w:val="BodyText2"/>
              <w:spacing w:before="40" w:after="40" w:line="280" w:lineRule="atLeast"/>
              <w:rPr>
                <w:rFonts w:ascii="Verdana" w:hAnsi="Verdana"/>
                <w:sz w:val="17"/>
                <w:szCs w:val="17"/>
              </w:rPr>
            </w:pPr>
            <w:r>
              <w:rPr>
                <w:rFonts w:ascii="Verdana" w:hAnsi="Verdana"/>
                <w:sz w:val="17"/>
                <w:szCs w:val="17"/>
              </w:rPr>
              <w:t>NewGold Palladium</w:t>
            </w:r>
          </w:p>
        </w:tc>
        <w:tc>
          <w:tcPr>
            <w:tcW w:w="851" w:type="dxa"/>
            <w:shd w:val="clear" w:color="auto" w:fill="auto"/>
            <w:vAlign w:val="center"/>
          </w:tcPr>
          <w:p w14:paraId="4354E8B2" w14:textId="1387F6A2"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ETF</w:t>
            </w:r>
          </w:p>
        </w:tc>
        <w:tc>
          <w:tcPr>
            <w:tcW w:w="1134" w:type="dxa"/>
            <w:tcBorders>
              <w:right w:val="single" w:sz="18" w:space="0" w:color="auto"/>
            </w:tcBorders>
            <w:shd w:val="clear" w:color="auto" w:fill="auto"/>
            <w:vAlign w:val="center"/>
          </w:tcPr>
          <w:p w14:paraId="2B6FC284" w14:textId="620D6776"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23,16%</w:t>
            </w:r>
          </w:p>
        </w:tc>
        <w:tc>
          <w:tcPr>
            <w:tcW w:w="3012" w:type="dxa"/>
            <w:tcBorders>
              <w:left w:val="single" w:sz="18" w:space="0" w:color="auto"/>
            </w:tcBorders>
            <w:vAlign w:val="center"/>
          </w:tcPr>
          <w:p w14:paraId="79861139" w14:textId="6C2CB384" w:rsidR="001D3AD8" w:rsidRPr="005B7B53" w:rsidRDefault="001D3AD8" w:rsidP="005A21ED">
            <w:pPr>
              <w:pStyle w:val="BodyText2"/>
              <w:spacing w:before="40" w:after="40" w:line="280" w:lineRule="atLeast"/>
              <w:rPr>
                <w:rFonts w:ascii="Verdana" w:hAnsi="Verdana"/>
                <w:sz w:val="17"/>
                <w:szCs w:val="17"/>
              </w:rPr>
            </w:pPr>
            <w:r>
              <w:rPr>
                <w:rFonts w:ascii="Verdana" w:hAnsi="Verdana"/>
                <w:sz w:val="17"/>
                <w:szCs w:val="17"/>
              </w:rPr>
              <w:t>Standard Bank Africa Palladium</w:t>
            </w:r>
          </w:p>
        </w:tc>
        <w:tc>
          <w:tcPr>
            <w:tcW w:w="830" w:type="dxa"/>
            <w:vAlign w:val="center"/>
          </w:tcPr>
          <w:p w14:paraId="274FBEA8" w14:textId="09EFD1C8"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ETF</w:t>
            </w:r>
          </w:p>
        </w:tc>
        <w:tc>
          <w:tcPr>
            <w:tcW w:w="1112" w:type="dxa"/>
            <w:vAlign w:val="center"/>
          </w:tcPr>
          <w:p w14:paraId="3951EBC1" w14:textId="504F9ED3"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35,99%</w:t>
            </w:r>
          </w:p>
        </w:tc>
      </w:tr>
      <w:tr w:rsidR="001D3AD8" w:rsidRPr="00804DEE" w14:paraId="1E77AADD" w14:textId="77777777" w:rsidTr="001D3AD8">
        <w:tc>
          <w:tcPr>
            <w:tcW w:w="2977" w:type="dxa"/>
            <w:shd w:val="clear" w:color="auto" w:fill="auto"/>
            <w:vAlign w:val="center"/>
          </w:tcPr>
          <w:p w14:paraId="7A8F774A" w14:textId="37470611" w:rsidR="001D3AD8" w:rsidRPr="005B7B53" w:rsidRDefault="001D3AD8" w:rsidP="005A21ED">
            <w:pPr>
              <w:pStyle w:val="BodyText2"/>
              <w:spacing w:before="40" w:after="40" w:line="280" w:lineRule="atLeast"/>
              <w:rPr>
                <w:rFonts w:ascii="Verdana" w:hAnsi="Verdana"/>
                <w:sz w:val="17"/>
                <w:szCs w:val="17"/>
              </w:rPr>
            </w:pPr>
            <w:r>
              <w:rPr>
                <w:rFonts w:ascii="Verdana" w:hAnsi="Verdana"/>
                <w:sz w:val="17"/>
                <w:szCs w:val="17"/>
              </w:rPr>
              <w:t>Sygnia Itrix MSCI USA</w:t>
            </w:r>
          </w:p>
        </w:tc>
        <w:tc>
          <w:tcPr>
            <w:tcW w:w="851" w:type="dxa"/>
            <w:shd w:val="clear" w:color="auto" w:fill="auto"/>
            <w:vAlign w:val="center"/>
          </w:tcPr>
          <w:p w14:paraId="6CE03A55" w14:textId="3AC078BE"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ETF</w:t>
            </w:r>
          </w:p>
        </w:tc>
        <w:tc>
          <w:tcPr>
            <w:tcW w:w="1134" w:type="dxa"/>
            <w:tcBorders>
              <w:bottom w:val="single" w:sz="4" w:space="0" w:color="auto"/>
              <w:right w:val="single" w:sz="18" w:space="0" w:color="auto"/>
            </w:tcBorders>
            <w:shd w:val="clear" w:color="auto" w:fill="auto"/>
            <w:vAlign w:val="center"/>
          </w:tcPr>
          <w:p w14:paraId="712AB0CF" w14:textId="04E4DE34"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22,17%</w:t>
            </w:r>
          </w:p>
        </w:tc>
        <w:tc>
          <w:tcPr>
            <w:tcW w:w="3012" w:type="dxa"/>
            <w:tcBorders>
              <w:left w:val="single" w:sz="18" w:space="0" w:color="auto"/>
            </w:tcBorders>
            <w:vAlign w:val="center"/>
          </w:tcPr>
          <w:p w14:paraId="0DCDDEA0" w14:textId="198CF533" w:rsidR="001D3AD8" w:rsidRPr="005B7B53" w:rsidRDefault="001D3AD8" w:rsidP="005A21ED">
            <w:pPr>
              <w:pStyle w:val="BodyText2"/>
              <w:spacing w:before="40" w:after="40" w:line="280" w:lineRule="atLeast"/>
              <w:rPr>
                <w:rFonts w:ascii="Verdana" w:hAnsi="Verdana"/>
                <w:sz w:val="17"/>
                <w:szCs w:val="17"/>
              </w:rPr>
            </w:pPr>
            <w:r>
              <w:rPr>
                <w:rFonts w:ascii="Verdana" w:hAnsi="Verdana"/>
                <w:sz w:val="17"/>
                <w:szCs w:val="17"/>
              </w:rPr>
              <w:t>NewGold Palladium</w:t>
            </w:r>
          </w:p>
        </w:tc>
        <w:tc>
          <w:tcPr>
            <w:tcW w:w="830" w:type="dxa"/>
            <w:vAlign w:val="center"/>
          </w:tcPr>
          <w:p w14:paraId="2DE2697B" w14:textId="4FA75242"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ETF</w:t>
            </w:r>
          </w:p>
        </w:tc>
        <w:tc>
          <w:tcPr>
            <w:tcW w:w="1112" w:type="dxa"/>
            <w:vAlign w:val="center"/>
          </w:tcPr>
          <w:p w14:paraId="61F566DA" w14:textId="610B98AC"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35,99%</w:t>
            </w:r>
          </w:p>
        </w:tc>
      </w:tr>
      <w:tr w:rsidR="001D3AD8" w:rsidRPr="00804DEE" w14:paraId="79B8A90F" w14:textId="77777777" w:rsidTr="001D3AD8">
        <w:tc>
          <w:tcPr>
            <w:tcW w:w="2977" w:type="dxa"/>
            <w:shd w:val="clear" w:color="auto" w:fill="auto"/>
            <w:vAlign w:val="center"/>
          </w:tcPr>
          <w:p w14:paraId="6FE2A8D0" w14:textId="77777777" w:rsidR="001D3AD8" w:rsidRPr="005B7B53" w:rsidRDefault="001D3AD8" w:rsidP="005A21ED">
            <w:pPr>
              <w:pStyle w:val="BodyText2"/>
              <w:spacing w:before="40" w:after="40" w:line="280" w:lineRule="atLeast"/>
              <w:rPr>
                <w:rFonts w:ascii="Verdana" w:hAnsi="Verdana"/>
                <w:sz w:val="17"/>
                <w:szCs w:val="17"/>
              </w:rPr>
            </w:pPr>
          </w:p>
        </w:tc>
        <w:tc>
          <w:tcPr>
            <w:tcW w:w="851" w:type="dxa"/>
            <w:shd w:val="clear" w:color="auto" w:fill="auto"/>
            <w:vAlign w:val="center"/>
          </w:tcPr>
          <w:p w14:paraId="65732D2B" w14:textId="77777777" w:rsidR="001D3AD8" w:rsidRPr="005B7B53" w:rsidRDefault="001D3AD8" w:rsidP="005A21ED">
            <w:pPr>
              <w:pStyle w:val="BodyText2"/>
              <w:spacing w:before="40" w:after="40" w:line="280" w:lineRule="atLeast"/>
              <w:jc w:val="center"/>
              <w:rPr>
                <w:rFonts w:ascii="Verdana" w:hAnsi="Verdana"/>
                <w:sz w:val="17"/>
                <w:szCs w:val="17"/>
              </w:rPr>
            </w:pPr>
          </w:p>
        </w:tc>
        <w:tc>
          <w:tcPr>
            <w:tcW w:w="1134" w:type="dxa"/>
            <w:tcBorders>
              <w:right w:val="single" w:sz="18" w:space="0" w:color="auto"/>
            </w:tcBorders>
            <w:shd w:val="clear" w:color="auto" w:fill="4C4C4C"/>
          </w:tcPr>
          <w:p w14:paraId="0E98C355" w14:textId="7366179D" w:rsidR="001D3AD8" w:rsidRPr="005B7B53" w:rsidRDefault="001D3AD8" w:rsidP="005A21ED">
            <w:pPr>
              <w:pStyle w:val="BodyText2"/>
              <w:spacing w:before="40" w:after="40" w:line="280" w:lineRule="atLeast"/>
              <w:jc w:val="center"/>
              <w:rPr>
                <w:rFonts w:ascii="Verdana" w:hAnsi="Verdana"/>
                <w:b/>
                <w:color w:val="FFFFFF"/>
                <w:sz w:val="17"/>
                <w:szCs w:val="17"/>
              </w:rPr>
            </w:pPr>
            <w:r>
              <w:rPr>
                <w:rFonts w:ascii="Verdana" w:hAnsi="Verdana"/>
                <w:b/>
                <w:color w:val="FFFFFF"/>
                <w:sz w:val="17"/>
                <w:szCs w:val="17"/>
              </w:rPr>
              <w:t xml:space="preserve">2 Years </w:t>
            </w:r>
            <w:r w:rsidRPr="005B7B53">
              <w:rPr>
                <w:rFonts w:ascii="Verdana" w:hAnsi="Verdana"/>
                <w:b/>
                <w:color w:val="FFFFFF"/>
                <w:sz w:val="17"/>
                <w:szCs w:val="17"/>
              </w:rPr>
              <w:t>(p</w:t>
            </w:r>
            <w:r>
              <w:rPr>
                <w:rFonts w:ascii="Verdana" w:hAnsi="Verdana"/>
                <w:b/>
                <w:color w:val="FFFFFF"/>
                <w:sz w:val="17"/>
                <w:szCs w:val="17"/>
              </w:rPr>
              <w:t>.a.</w:t>
            </w:r>
            <w:r w:rsidRPr="005B7B53">
              <w:rPr>
                <w:rFonts w:ascii="Verdana" w:hAnsi="Verdana"/>
                <w:b/>
                <w:color w:val="FFFFFF"/>
                <w:sz w:val="17"/>
                <w:szCs w:val="17"/>
              </w:rPr>
              <w:t>)</w:t>
            </w:r>
          </w:p>
        </w:tc>
        <w:tc>
          <w:tcPr>
            <w:tcW w:w="3012" w:type="dxa"/>
            <w:tcBorders>
              <w:left w:val="single" w:sz="18" w:space="0" w:color="auto"/>
            </w:tcBorders>
            <w:shd w:val="clear" w:color="auto" w:fill="auto"/>
            <w:vAlign w:val="center"/>
          </w:tcPr>
          <w:p w14:paraId="158A5F42" w14:textId="77777777" w:rsidR="001D3AD8" w:rsidRPr="005B7B53" w:rsidRDefault="001D3AD8" w:rsidP="005A21ED">
            <w:pPr>
              <w:pStyle w:val="BodyText2"/>
              <w:spacing w:before="40" w:after="40" w:line="280" w:lineRule="atLeast"/>
              <w:rPr>
                <w:rFonts w:ascii="Verdana" w:hAnsi="Verdana"/>
                <w:sz w:val="17"/>
                <w:szCs w:val="17"/>
              </w:rPr>
            </w:pPr>
          </w:p>
        </w:tc>
        <w:tc>
          <w:tcPr>
            <w:tcW w:w="830" w:type="dxa"/>
            <w:shd w:val="clear" w:color="auto" w:fill="auto"/>
            <w:vAlign w:val="center"/>
          </w:tcPr>
          <w:p w14:paraId="78753679" w14:textId="77777777" w:rsidR="001D3AD8" w:rsidRPr="005B7B53" w:rsidRDefault="001D3AD8" w:rsidP="005A21ED">
            <w:pPr>
              <w:pStyle w:val="BodyText2"/>
              <w:spacing w:before="40" w:after="40" w:line="280" w:lineRule="atLeast"/>
              <w:jc w:val="center"/>
              <w:rPr>
                <w:rFonts w:ascii="Verdana" w:hAnsi="Verdana"/>
                <w:sz w:val="17"/>
                <w:szCs w:val="17"/>
              </w:rPr>
            </w:pPr>
          </w:p>
        </w:tc>
        <w:tc>
          <w:tcPr>
            <w:tcW w:w="1112" w:type="dxa"/>
            <w:shd w:val="clear" w:color="auto" w:fill="4C4C4C"/>
            <w:vAlign w:val="center"/>
          </w:tcPr>
          <w:p w14:paraId="43B7B572" w14:textId="7A2CCAE8" w:rsidR="001D3AD8" w:rsidRPr="005B7B53" w:rsidRDefault="001D3AD8" w:rsidP="005A21ED">
            <w:pPr>
              <w:pStyle w:val="BodyText2"/>
              <w:spacing w:before="40" w:after="40" w:line="280" w:lineRule="atLeast"/>
              <w:jc w:val="center"/>
              <w:rPr>
                <w:rFonts w:ascii="Verdana" w:hAnsi="Verdana"/>
                <w:b/>
                <w:color w:val="FFFFFF"/>
                <w:sz w:val="17"/>
                <w:szCs w:val="17"/>
              </w:rPr>
            </w:pPr>
            <w:r>
              <w:rPr>
                <w:rFonts w:ascii="Verdana" w:hAnsi="Verdana"/>
                <w:b/>
                <w:color w:val="FFFFFF"/>
                <w:sz w:val="17"/>
                <w:szCs w:val="17"/>
              </w:rPr>
              <w:t>1</w:t>
            </w:r>
            <w:r w:rsidRPr="005B7B53">
              <w:rPr>
                <w:rFonts w:ascii="Verdana" w:hAnsi="Verdana"/>
                <w:b/>
                <w:color w:val="FFFFFF"/>
                <w:sz w:val="17"/>
                <w:szCs w:val="17"/>
              </w:rPr>
              <w:t xml:space="preserve"> Year (p</w:t>
            </w:r>
            <w:r>
              <w:rPr>
                <w:rFonts w:ascii="Verdana" w:hAnsi="Verdana"/>
                <w:b/>
                <w:color w:val="FFFFFF"/>
                <w:sz w:val="17"/>
                <w:szCs w:val="17"/>
              </w:rPr>
              <w:t>.a.</w:t>
            </w:r>
            <w:r w:rsidRPr="005B7B53">
              <w:rPr>
                <w:rFonts w:ascii="Verdana" w:hAnsi="Verdana"/>
                <w:b/>
                <w:color w:val="FFFFFF"/>
                <w:sz w:val="17"/>
                <w:szCs w:val="17"/>
              </w:rPr>
              <w:t>)</w:t>
            </w:r>
          </w:p>
        </w:tc>
      </w:tr>
      <w:tr w:rsidR="001D3AD8" w:rsidRPr="00804DEE" w14:paraId="48E65EEF" w14:textId="77777777" w:rsidTr="001D3AD8">
        <w:tc>
          <w:tcPr>
            <w:tcW w:w="2977" w:type="dxa"/>
            <w:shd w:val="clear" w:color="auto" w:fill="auto"/>
            <w:vAlign w:val="center"/>
          </w:tcPr>
          <w:p w14:paraId="3C3A8BB3" w14:textId="6A106E78" w:rsidR="001D3AD8" w:rsidRPr="005B7B53" w:rsidRDefault="001D3AD8" w:rsidP="005A21ED">
            <w:pPr>
              <w:pStyle w:val="BodyText2"/>
              <w:spacing w:before="40" w:after="40" w:line="280" w:lineRule="atLeast"/>
              <w:rPr>
                <w:rFonts w:ascii="Verdana" w:hAnsi="Verdana"/>
                <w:sz w:val="17"/>
                <w:szCs w:val="17"/>
              </w:rPr>
            </w:pPr>
            <w:r>
              <w:rPr>
                <w:rFonts w:ascii="Verdana" w:hAnsi="Verdana"/>
                <w:sz w:val="17"/>
                <w:szCs w:val="17"/>
              </w:rPr>
              <w:t>Standard Bank Africa Rhodium</w:t>
            </w:r>
          </w:p>
        </w:tc>
        <w:tc>
          <w:tcPr>
            <w:tcW w:w="851" w:type="dxa"/>
            <w:shd w:val="clear" w:color="auto" w:fill="auto"/>
            <w:vAlign w:val="center"/>
          </w:tcPr>
          <w:p w14:paraId="2D0E378F" w14:textId="136AD8EC"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ETF</w:t>
            </w:r>
          </w:p>
        </w:tc>
        <w:tc>
          <w:tcPr>
            <w:tcW w:w="1134" w:type="dxa"/>
            <w:tcBorders>
              <w:right w:val="single" w:sz="18" w:space="0" w:color="auto"/>
            </w:tcBorders>
            <w:shd w:val="clear" w:color="auto" w:fill="auto"/>
            <w:vAlign w:val="center"/>
          </w:tcPr>
          <w:p w14:paraId="15762126" w14:textId="05109BB9"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122,24%</w:t>
            </w:r>
          </w:p>
        </w:tc>
        <w:tc>
          <w:tcPr>
            <w:tcW w:w="3012" w:type="dxa"/>
            <w:tcBorders>
              <w:left w:val="single" w:sz="18" w:space="0" w:color="auto"/>
            </w:tcBorders>
            <w:vAlign w:val="center"/>
          </w:tcPr>
          <w:p w14:paraId="6FE26B1F" w14:textId="696DC2E6" w:rsidR="001D3AD8" w:rsidRPr="005B7B53" w:rsidRDefault="001D3AD8" w:rsidP="005A21ED">
            <w:pPr>
              <w:pStyle w:val="BodyText2"/>
              <w:spacing w:before="40" w:after="40" w:line="280" w:lineRule="atLeast"/>
              <w:rPr>
                <w:rFonts w:ascii="Verdana" w:hAnsi="Verdana"/>
                <w:sz w:val="17"/>
                <w:szCs w:val="17"/>
              </w:rPr>
            </w:pPr>
            <w:r>
              <w:rPr>
                <w:rFonts w:ascii="Verdana" w:hAnsi="Verdana"/>
                <w:sz w:val="17"/>
                <w:szCs w:val="17"/>
              </w:rPr>
              <w:t>Standard Bank Africa Rhodium</w:t>
            </w:r>
          </w:p>
        </w:tc>
        <w:tc>
          <w:tcPr>
            <w:tcW w:w="830" w:type="dxa"/>
            <w:vAlign w:val="center"/>
          </w:tcPr>
          <w:p w14:paraId="5C346691" w14:textId="32DAEF10"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ETF</w:t>
            </w:r>
          </w:p>
        </w:tc>
        <w:tc>
          <w:tcPr>
            <w:tcW w:w="1112" w:type="dxa"/>
            <w:vAlign w:val="center"/>
          </w:tcPr>
          <w:p w14:paraId="614FAE80" w14:textId="1411F5CF"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114,10%</w:t>
            </w:r>
          </w:p>
        </w:tc>
      </w:tr>
      <w:tr w:rsidR="001D3AD8" w:rsidRPr="00804DEE" w14:paraId="0832F919" w14:textId="77777777" w:rsidTr="001D3AD8">
        <w:tc>
          <w:tcPr>
            <w:tcW w:w="2977" w:type="dxa"/>
            <w:shd w:val="clear" w:color="auto" w:fill="auto"/>
            <w:vAlign w:val="center"/>
          </w:tcPr>
          <w:p w14:paraId="48D4C905" w14:textId="6932AE58" w:rsidR="001D3AD8" w:rsidRPr="005B7B53" w:rsidRDefault="001D3AD8" w:rsidP="005A21ED">
            <w:pPr>
              <w:pStyle w:val="BodyText2"/>
              <w:spacing w:before="40" w:after="40" w:line="280" w:lineRule="atLeast"/>
              <w:rPr>
                <w:rFonts w:ascii="Verdana" w:hAnsi="Verdana"/>
                <w:sz w:val="17"/>
                <w:szCs w:val="17"/>
              </w:rPr>
            </w:pPr>
            <w:r>
              <w:rPr>
                <w:rFonts w:ascii="Verdana" w:hAnsi="Verdana"/>
                <w:sz w:val="17"/>
                <w:szCs w:val="17"/>
              </w:rPr>
              <w:t>Standard Bank Palladium Linker</w:t>
            </w:r>
          </w:p>
        </w:tc>
        <w:tc>
          <w:tcPr>
            <w:tcW w:w="851" w:type="dxa"/>
            <w:shd w:val="clear" w:color="auto" w:fill="auto"/>
            <w:vAlign w:val="center"/>
          </w:tcPr>
          <w:p w14:paraId="2630A89F" w14:textId="58575144"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ETN</w:t>
            </w:r>
          </w:p>
        </w:tc>
        <w:tc>
          <w:tcPr>
            <w:tcW w:w="1134" w:type="dxa"/>
            <w:tcBorders>
              <w:right w:val="single" w:sz="18" w:space="0" w:color="auto"/>
            </w:tcBorders>
            <w:shd w:val="clear" w:color="auto" w:fill="auto"/>
            <w:vAlign w:val="center"/>
          </w:tcPr>
          <w:p w14:paraId="33C1B381" w14:textId="28D57BBD"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44,89%</w:t>
            </w:r>
          </w:p>
        </w:tc>
        <w:tc>
          <w:tcPr>
            <w:tcW w:w="3012" w:type="dxa"/>
            <w:tcBorders>
              <w:left w:val="single" w:sz="18" w:space="0" w:color="auto"/>
            </w:tcBorders>
            <w:vAlign w:val="center"/>
          </w:tcPr>
          <w:p w14:paraId="29102A3D" w14:textId="100FB422" w:rsidR="001D3AD8" w:rsidRPr="005B7B53" w:rsidRDefault="001D3AD8" w:rsidP="005A21ED">
            <w:pPr>
              <w:pStyle w:val="BodyText2"/>
              <w:spacing w:before="40" w:after="40" w:line="280" w:lineRule="atLeast"/>
              <w:rPr>
                <w:rFonts w:ascii="Verdana" w:hAnsi="Verdana"/>
                <w:sz w:val="17"/>
                <w:szCs w:val="17"/>
              </w:rPr>
            </w:pPr>
            <w:r>
              <w:rPr>
                <w:rFonts w:ascii="Verdana" w:hAnsi="Verdana"/>
                <w:sz w:val="17"/>
                <w:szCs w:val="17"/>
              </w:rPr>
              <w:t>Standard Bank Palladium Linker</w:t>
            </w:r>
          </w:p>
        </w:tc>
        <w:tc>
          <w:tcPr>
            <w:tcW w:w="830" w:type="dxa"/>
            <w:vAlign w:val="center"/>
          </w:tcPr>
          <w:p w14:paraId="6C313FD9" w14:textId="457E3D17"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ETN</w:t>
            </w:r>
          </w:p>
        </w:tc>
        <w:tc>
          <w:tcPr>
            <w:tcW w:w="1112" w:type="dxa"/>
            <w:vAlign w:val="center"/>
          </w:tcPr>
          <w:p w14:paraId="386B51EE" w14:textId="16FA72CD"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68,88%</w:t>
            </w:r>
          </w:p>
        </w:tc>
      </w:tr>
      <w:tr w:rsidR="001D3AD8" w:rsidRPr="00804DEE" w14:paraId="3872FBBA" w14:textId="77777777" w:rsidTr="001D3AD8">
        <w:tc>
          <w:tcPr>
            <w:tcW w:w="2977" w:type="dxa"/>
            <w:shd w:val="clear" w:color="auto" w:fill="auto"/>
            <w:vAlign w:val="center"/>
          </w:tcPr>
          <w:p w14:paraId="268ADB32" w14:textId="20F8D9EE" w:rsidR="001D3AD8" w:rsidRPr="005B7B53" w:rsidRDefault="001D3AD8" w:rsidP="005A21ED">
            <w:pPr>
              <w:pStyle w:val="BodyText2"/>
              <w:spacing w:before="40" w:after="40" w:line="280" w:lineRule="atLeast"/>
              <w:rPr>
                <w:rFonts w:ascii="Verdana" w:hAnsi="Verdana"/>
                <w:sz w:val="17"/>
                <w:szCs w:val="17"/>
              </w:rPr>
            </w:pPr>
            <w:r>
              <w:rPr>
                <w:rFonts w:ascii="Verdana" w:hAnsi="Verdana"/>
                <w:sz w:val="17"/>
                <w:szCs w:val="17"/>
              </w:rPr>
              <w:t>Standard Bank Africa Palladium</w:t>
            </w:r>
          </w:p>
        </w:tc>
        <w:tc>
          <w:tcPr>
            <w:tcW w:w="851" w:type="dxa"/>
            <w:shd w:val="clear" w:color="auto" w:fill="auto"/>
            <w:vAlign w:val="center"/>
          </w:tcPr>
          <w:p w14:paraId="3807DFF6" w14:textId="05CD31E4"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ETF</w:t>
            </w:r>
          </w:p>
        </w:tc>
        <w:tc>
          <w:tcPr>
            <w:tcW w:w="1134" w:type="dxa"/>
            <w:tcBorders>
              <w:right w:val="single" w:sz="18" w:space="0" w:color="auto"/>
            </w:tcBorders>
            <w:shd w:val="clear" w:color="auto" w:fill="auto"/>
            <w:vAlign w:val="center"/>
          </w:tcPr>
          <w:p w14:paraId="2127AF32" w14:textId="2BFFB4AC"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41,10%</w:t>
            </w:r>
          </w:p>
        </w:tc>
        <w:tc>
          <w:tcPr>
            <w:tcW w:w="3012" w:type="dxa"/>
            <w:tcBorders>
              <w:left w:val="single" w:sz="18" w:space="0" w:color="auto"/>
            </w:tcBorders>
            <w:vAlign w:val="center"/>
          </w:tcPr>
          <w:p w14:paraId="0A78C7F1" w14:textId="2112D4FA" w:rsidR="001D3AD8" w:rsidRPr="005B7B53" w:rsidRDefault="001D3AD8" w:rsidP="005A21ED">
            <w:pPr>
              <w:pStyle w:val="BodyText2"/>
              <w:spacing w:before="40" w:after="40" w:line="280" w:lineRule="atLeast"/>
              <w:rPr>
                <w:rFonts w:ascii="Verdana" w:hAnsi="Verdana"/>
                <w:sz w:val="17"/>
                <w:szCs w:val="17"/>
              </w:rPr>
            </w:pPr>
            <w:r>
              <w:rPr>
                <w:rFonts w:ascii="Verdana" w:hAnsi="Verdana"/>
                <w:sz w:val="17"/>
                <w:szCs w:val="17"/>
              </w:rPr>
              <w:t>Standard Bank Africa Palladium</w:t>
            </w:r>
          </w:p>
        </w:tc>
        <w:tc>
          <w:tcPr>
            <w:tcW w:w="830" w:type="dxa"/>
            <w:vAlign w:val="center"/>
          </w:tcPr>
          <w:p w14:paraId="569B138F" w14:textId="6A813EA1"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ETF</w:t>
            </w:r>
          </w:p>
        </w:tc>
        <w:tc>
          <w:tcPr>
            <w:tcW w:w="1112" w:type="dxa"/>
            <w:vAlign w:val="center"/>
          </w:tcPr>
          <w:p w14:paraId="164A38D5" w14:textId="7B4C8F16"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63,69%</w:t>
            </w:r>
          </w:p>
        </w:tc>
      </w:tr>
      <w:tr w:rsidR="001D3AD8" w:rsidRPr="00804DEE" w14:paraId="08533A94" w14:textId="77777777" w:rsidTr="001D3AD8">
        <w:tc>
          <w:tcPr>
            <w:tcW w:w="2977" w:type="dxa"/>
            <w:shd w:val="clear" w:color="auto" w:fill="auto"/>
            <w:vAlign w:val="center"/>
          </w:tcPr>
          <w:p w14:paraId="2E2FD8D3" w14:textId="0BC2F0D8" w:rsidR="001D3AD8" w:rsidRPr="005B7B53" w:rsidRDefault="001D3AD8" w:rsidP="005A21ED">
            <w:pPr>
              <w:pStyle w:val="BodyText2"/>
              <w:spacing w:before="40" w:after="40" w:line="280" w:lineRule="atLeast"/>
              <w:rPr>
                <w:rFonts w:ascii="Verdana" w:hAnsi="Verdana"/>
                <w:sz w:val="17"/>
                <w:szCs w:val="17"/>
              </w:rPr>
            </w:pPr>
            <w:r>
              <w:rPr>
                <w:rFonts w:ascii="Verdana" w:hAnsi="Verdana"/>
                <w:sz w:val="17"/>
                <w:szCs w:val="17"/>
              </w:rPr>
              <w:t>NewGold Palladium</w:t>
            </w:r>
          </w:p>
        </w:tc>
        <w:tc>
          <w:tcPr>
            <w:tcW w:w="851" w:type="dxa"/>
            <w:shd w:val="clear" w:color="auto" w:fill="auto"/>
            <w:vAlign w:val="center"/>
          </w:tcPr>
          <w:p w14:paraId="7C9DF0B6" w14:textId="509E5773"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ETF</w:t>
            </w:r>
          </w:p>
        </w:tc>
        <w:tc>
          <w:tcPr>
            <w:tcW w:w="1134" w:type="dxa"/>
            <w:tcBorders>
              <w:right w:val="single" w:sz="18" w:space="0" w:color="auto"/>
            </w:tcBorders>
            <w:shd w:val="clear" w:color="auto" w:fill="auto"/>
            <w:vAlign w:val="center"/>
          </w:tcPr>
          <w:p w14:paraId="5228830E" w14:textId="658DAD78"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40,99%</w:t>
            </w:r>
          </w:p>
        </w:tc>
        <w:tc>
          <w:tcPr>
            <w:tcW w:w="3012" w:type="dxa"/>
            <w:tcBorders>
              <w:left w:val="single" w:sz="18" w:space="0" w:color="auto"/>
            </w:tcBorders>
            <w:vAlign w:val="center"/>
          </w:tcPr>
          <w:p w14:paraId="7738A38C" w14:textId="431A2EB6" w:rsidR="001D3AD8" w:rsidRPr="005B7B53" w:rsidRDefault="001D3AD8" w:rsidP="005A21ED">
            <w:pPr>
              <w:pStyle w:val="BodyText2"/>
              <w:spacing w:before="40" w:after="40" w:line="280" w:lineRule="atLeast"/>
              <w:rPr>
                <w:rFonts w:ascii="Verdana" w:hAnsi="Verdana"/>
                <w:sz w:val="17"/>
                <w:szCs w:val="17"/>
              </w:rPr>
            </w:pPr>
            <w:r>
              <w:rPr>
                <w:rFonts w:ascii="Verdana" w:hAnsi="Verdana"/>
                <w:sz w:val="17"/>
                <w:szCs w:val="17"/>
              </w:rPr>
              <w:t>NewGold Palladium</w:t>
            </w:r>
          </w:p>
        </w:tc>
        <w:tc>
          <w:tcPr>
            <w:tcW w:w="830" w:type="dxa"/>
            <w:vAlign w:val="center"/>
          </w:tcPr>
          <w:p w14:paraId="52E72E8A" w14:textId="5E7ECF5C"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ETF</w:t>
            </w:r>
          </w:p>
        </w:tc>
        <w:tc>
          <w:tcPr>
            <w:tcW w:w="1112" w:type="dxa"/>
            <w:vAlign w:val="center"/>
          </w:tcPr>
          <w:p w14:paraId="09F14791" w14:textId="41E5F50E"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62,92%</w:t>
            </w:r>
          </w:p>
        </w:tc>
      </w:tr>
      <w:tr w:rsidR="001D3AD8" w:rsidRPr="006E3070" w14:paraId="1C10BC26" w14:textId="77777777" w:rsidTr="001D3AD8">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BFAFC61" w14:textId="77777777" w:rsidR="001D3AD8" w:rsidRPr="005B7B53" w:rsidRDefault="001D3AD8" w:rsidP="005A21ED">
            <w:pPr>
              <w:pStyle w:val="BodyText2"/>
              <w:spacing w:before="40" w:after="40" w:line="280" w:lineRule="atLeast"/>
              <w:rPr>
                <w:rFonts w:ascii="Verdana" w:hAnsi="Verdana"/>
                <w:sz w:val="17"/>
                <w:szCs w:val="17"/>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B1136A" w14:textId="77777777" w:rsidR="001D3AD8" w:rsidRPr="005B7B53" w:rsidRDefault="001D3AD8" w:rsidP="005A21ED">
            <w:pPr>
              <w:pStyle w:val="BodyText2"/>
              <w:spacing w:before="40" w:after="40" w:line="280" w:lineRule="atLeast"/>
              <w:jc w:val="center"/>
              <w:rPr>
                <w:rFonts w:ascii="Verdana" w:hAnsi="Verdana"/>
                <w:sz w:val="17"/>
                <w:szCs w:val="17"/>
              </w:rPr>
            </w:pPr>
          </w:p>
        </w:tc>
        <w:tc>
          <w:tcPr>
            <w:tcW w:w="1134" w:type="dxa"/>
            <w:tcBorders>
              <w:top w:val="single" w:sz="4" w:space="0" w:color="auto"/>
              <w:left w:val="single" w:sz="4" w:space="0" w:color="auto"/>
              <w:bottom w:val="single" w:sz="4" w:space="0" w:color="auto"/>
              <w:right w:val="single" w:sz="18" w:space="0" w:color="auto"/>
            </w:tcBorders>
            <w:shd w:val="clear" w:color="auto" w:fill="4C4C4C"/>
            <w:vAlign w:val="center"/>
          </w:tcPr>
          <w:p w14:paraId="3242C537" w14:textId="33D79CD4" w:rsidR="001D3AD8" w:rsidRPr="005B7B53" w:rsidRDefault="001D3AD8" w:rsidP="005A21ED">
            <w:pPr>
              <w:pStyle w:val="BodyText2"/>
              <w:spacing w:before="40" w:after="40" w:line="280" w:lineRule="atLeast"/>
              <w:jc w:val="center"/>
              <w:rPr>
                <w:rFonts w:ascii="Verdana" w:hAnsi="Verdana"/>
                <w:b/>
                <w:color w:val="FFFFFF"/>
                <w:sz w:val="17"/>
                <w:szCs w:val="17"/>
              </w:rPr>
            </w:pPr>
            <w:r>
              <w:rPr>
                <w:rFonts w:ascii="Verdana" w:hAnsi="Verdana"/>
                <w:b/>
                <w:color w:val="FFFFFF"/>
                <w:sz w:val="17"/>
                <w:szCs w:val="17"/>
              </w:rPr>
              <w:t>6 Months</w:t>
            </w:r>
          </w:p>
        </w:tc>
        <w:tc>
          <w:tcPr>
            <w:tcW w:w="3012" w:type="dxa"/>
            <w:tcBorders>
              <w:top w:val="single" w:sz="4" w:space="0" w:color="auto"/>
              <w:left w:val="single" w:sz="18" w:space="0" w:color="auto"/>
              <w:bottom w:val="single" w:sz="4" w:space="0" w:color="auto"/>
              <w:right w:val="single" w:sz="4" w:space="0" w:color="auto"/>
            </w:tcBorders>
            <w:shd w:val="clear" w:color="auto" w:fill="auto"/>
            <w:vAlign w:val="center"/>
          </w:tcPr>
          <w:p w14:paraId="4694A48C" w14:textId="77777777" w:rsidR="001D3AD8" w:rsidRPr="005B7B53" w:rsidRDefault="001D3AD8" w:rsidP="005A21ED">
            <w:pPr>
              <w:pStyle w:val="BodyText2"/>
              <w:spacing w:before="40" w:after="40" w:line="280" w:lineRule="atLeast"/>
              <w:rPr>
                <w:rFonts w:ascii="Verdana" w:hAnsi="Verdana"/>
                <w:sz w:val="17"/>
                <w:szCs w:val="17"/>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F797955" w14:textId="77777777" w:rsidR="001D3AD8" w:rsidRPr="005B7B53" w:rsidRDefault="001D3AD8" w:rsidP="005A21ED">
            <w:pPr>
              <w:pStyle w:val="BodyText2"/>
              <w:spacing w:before="40" w:after="40" w:line="280" w:lineRule="atLeast"/>
              <w:jc w:val="center"/>
              <w:rPr>
                <w:rFonts w:ascii="Verdana" w:hAnsi="Verdana"/>
                <w:sz w:val="17"/>
                <w:szCs w:val="17"/>
              </w:rPr>
            </w:pPr>
          </w:p>
        </w:tc>
        <w:tc>
          <w:tcPr>
            <w:tcW w:w="1112" w:type="dxa"/>
            <w:tcBorders>
              <w:top w:val="single" w:sz="4" w:space="0" w:color="auto"/>
              <w:left w:val="single" w:sz="4" w:space="0" w:color="auto"/>
              <w:bottom w:val="single" w:sz="4" w:space="0" w:color="auto"/>
              <w:right w:val="single" w:sz="4" w:space="0" w:color="auto"/>
            </w:tcBorders>
            <w:shd w:val="clear" w:color="auto" w:fill="4C4C4C"/>
          </w:tcPr>
          <w:p w14:paraId="02308FFE" w14:textId="5EEDD502" w:rsidR="001D3AD8" w:rsidRPr="005B7B53" w:rsidRDefault="001D3AD8" w:rsidP="005A21ED">
            <w:pPr>
              <w:pStyle w:val="BodyText2"/>
              <w:spacing w:before="40" w:after="40" w:line="280" w:lineRule="atLeast"/>
              <w:jc w:val="center"/>
              <w:rPr>
                <w:rFonts w:ascii="Verdana" w:hAnsi="Verdana"/>
                <w:b/>
                <w:color w:val="FFFFFF"/>
                <w:sz w:val="17"/>
                <w:szCs w:val="17"/>
              </w:rPr>
            </w:pPr>
            <w:r>
              <w:rPr>
                <w:rFonts w:ascii="Verdana" w:hAnsi="Verdana"/>
                <w:b/>
                <w:color w:val="FFFFFF"/>
                <w:sz w:val="17"/>
                <w:szCs w:val="17"/>
              </w:rPr>
              <w:t>3</w:t>
            </w:r>
            <w:r w:rsidRPr="005B7B53">
              <w:rPr>
                <w:rFonts w:ascii="Verdana" w:hAnsi="Verdana"/>
                <w:b/>
                <w:color w:val="FFFFFF"/>
                <w:sz w:val="17"/>
                <w:szCs w:val="17"/>
              </w:rPr>
              <w:t xml:space="preserve"> Months</w:t>
            </w:r>
          </w:p>
        </w:tc>
      </w:tr>
      <w:tr w:rsidR="001D3AD8" w14:paraId="6231C231" w14:textId="77777777" w:rsidTr="001D3AD8">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90EAC1D" w14:textId="20D61C56" w:rsidR="001D3AD8" w:rsidRPr="005B7B53" w:rsidRDefault="001D3AD8" w:rsidP="005A21ED">
            <w:pPr>
              <w:pStyle w:val="BodyText2"/>
              <w:spacing w:before="40" w:after="40" w:line="280" w:lineRule="atLeast"/>
              <w:rPr>
                <w:rFonts w:ascii="Verdana" w:hAnsi="Verdana"/>
                <w:sz w:val="17"/>
                <w:szCs w:val="17"/>
              </w:rPr>
            </w:pPr>
            <w:r>
              <w:rPr>
                <w:rFonts w:ascii="Verdana" w:hAnsi="Verdana"/>
                <w:sz w:val="17"/>
                <w:szCs w:val="17"/>
              </w:rPr>
              <w:t>Standard Bank Africa Rhodium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EDA8C1" w14:textId="5109DA9F"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ETF</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026FD440" w14:textId="0214D544"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69,84%</w:t>
            </w:r>
          </w:p>
        </w:tc>
        <w:tc>
          <w:tcPr>
            <w:tcW w:w="3012" w:type="dxa"/>
            <w:tcBorders>
              <w:top w:val="single" w:sz="4" w:space="0" w:color="auto"/>
              <w:left w:val="single" w:sz="18" w:space="0" w:color="auto"/>
              <w:bottom w:val="single" w:sz="4" w:space="0" w:color="auto"/>
              <w:right w:val="single" w:sz="4" w:space="0" w:color="auto"/>
            </w:tcBorders>
            <w:vAlign w:val="center"/>
          </w:tcPr>
          <w:p w14:paraId="172E5074" w14:textId="0F67F1E1" w:rsidR="001D3AD8" w:rsidRPr="005B7B53" w:rsidRDefault="001D3AD8" w:rsidP="005A21ED">
            <w:pPr>
              <w:pStyle w:val="BodyText2"/>
              <w:spacing w:before="40" w:after="40" w:line="280" w:lineRule="atLeast"/>
              <w:rPr>
                <w:rFonts w:ascii="Verdana" w:hAnsi="Verdana"/>
                <w:sz w:val="17"/>
                <w:szCs w:val="17"/>
              </w:rPr>
            </w:pPr>
            <w:r>
              <w:rPr>
                <w:rFonts w:ascii="Verdana" w:hAnsi="Verdana"/>
                <w:sz w:val="17"/>
                <w:szCs w:val="17"/>
              </w:rPr>
              <w:t>Standard Bank Africa Rhodium</w:t>
            </w:r>
          </w:p>
        </w:tc>
        <w:tc>
          <w:tcPr>
            <w:tcW w:w="830" w:type="dxa"/>
            <w:tcBorders>
              <w:top w:val="single" w:sz="4" w:space="0" w:color="auto"/>
              <w:left w:val="single" w:sz="4" w:space="0" w:color="auto"/>
              <w:bottom w:val="single" w:sz="4" w:space="0" w:color="auto"/>
              <w:right w:val="single" w:sz="4" w:space="0" w:color="auto"/>
            </w:tcBorders>
            <w:vAlign w:val="center"/>
          </w:tcPr>
          <w:p w14:paraId="66D12445" w14:textId="21B6FE6F"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ETF</w:t>
            </w:r>
          </w:p>
        </w:tc>
        <w:tc>
          <w:tcPr>
            <w:tcW w:w="1112" w:type="dxa"/>
            <w:tcBorders>
              <w:top w:val="single" w:sz="4" w:space="0" w:color="auto"/>
              <w:left w:val="single" w:sz="4" w:space="0" w:color="auto"/>
              <w:bottom w:val="single" w:sz="4" w:space="0" w:color="auto"/>
              <w:right w:val="single" w:sz="4" w:space="0" w:color="auto"/>
            </w:tcBorders>
            <w:vAlign w:val="center"/>
          </w:tcPr>
          <w:p w14:paraId="00694968" w14:textId="044BBCEC"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63,99%</w:t>
            </w:r>
          </w:p>
        </w:tc>
      </w:tr>
      <w:tr w:rsidR="001D3AD8" w:rsidRPr="00804DEE" w14:paraId="1185C41C" w14:textId="77777777" w:rsidTr="001D3AD8">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9F3C079" w14:textId="74463A76" w:rsidR="001D3AD8" w:rsidRPr="005B7B53" w:rsidRDefault="001D3AD8" w:rsidP="005A21ED">
            <w:pPr>
              <w:pStyle w:val="BodyText2"/>
              <w:spacing w:before="40" w:after="40" w:line="280" w:lineRule="atLeast"/>
              <w:rPr>
                <w:rFonts w:ascii="Verdana" w:hAnsi="Verdana"/>
                <w:sz w:val="17"/>
                <w:szCs w:val="17"/>
              </w:rPr>
            </w:pPr>
            <w:r>
              <w:rPr>
                <w:rFonts w:ascii="Verdana" w:hAnsi="Verdana"/>
                <w:sz w:val="17"/>
                <w:szCs w:val="17"/>
              </w:rPr>
              <w:t>Standard Bank Palladium Linker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2BAEB0" w14:textId="453DB9E1"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ETN</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31D9496A" w14:textId="6C10C4A0"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27,89%</w:t>
            </w:r>
          </w:p>
        </w:tc>
        <w:tc>
          <w:tcPr>
            <w:tcW w:w="3012" w:type="dxa"/>
            <w:tcBorders>
              <w:top w:val="single" w:sz="4" w:space="0" w:color="auto"/>
              <w:left w:val="single" w:sz="18" w:space="0" w:color="auto"/>
              <w:right w:val="single" w:sz="4" w:space="0" w:color="auto"/>
            </w:tcBorders>
            <w:vAlign w:val="center"/>
          </w:tcPr>
          <w:p w14:paraId="77E2392D" w14:textId="689B5FFB" w:rsidR="001D3AD8" w:rsidRPr="005B7B53" w:rsidRDefault="001D3AD8" w:rsidP="005A21ED">
            <w:pPr>
              <w:pStyle w:val="BodyText2"/>
              <w:spacing w:before="40" w:after="40" w:line="280" w:lineRule="atLeast"/>
              <w:rPr>
                <w:rFonts w:ascii="Verdana" w:hAnsi="Verdana"/>
                <w:sz w:val="17"/>
                <w:szCs w:val="17"/>
              </w:rPr>
            </w:pPr>
            <w:r>
              <w:rPr>
                <w:rFonts w:ascii="Verdana" w:hAnsi="Verdana"/>
                <w:sz w:val="17"/>
                <w:szCs w:val="17"/>
              </w:rPr>
              <w:t>Absa NewWave Silver</w:t>
            </w:r>
          </w:p>
        </w:tc>
        <w:tc>
          <w:tcPr>
            <w:tcW w:w="830" w:type="dxa"/>
            <w:tcBorders>
              <w:top w:val="single" w:sz="4" w:space="0" w:color="auto"/>
              <w:left w:val="single" w:sz="4" w:space="0" w:color="auto"/>
              <w:right w:val="single" w:sz="4" w:space="0" w:color="auto"/>
            </w:tcBorders>
            <w:vAlign w:val="center"/>
          </w:tcPr>
          <w:p w14:paraId="3CB8731A" w14:textId="2BBE0D81"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ETN</w:t>
            </w:r>
          </w:p>
        </w:tc>
        <w:tc>
          <w:tcPr>
            <w:tcW w:w="1112" w:type="dxa"/>
            <w:tcBorders>
              <w:top w:val="single" w:sz="4" w:space="0" w:color="auto"/>
              <w:left w:val="single" w:sz="4" w:space="0" w:color="auto"/>
              <w:right w:val="single" w:sz="4" w:space="0" w:color="auto"/>
            </w:tcBorders>
            <w:vAlign w:val="center"/>
          </w:tcPr>
          <w:p w14:paraId="0B247AC0" w14:textId="3518E83A"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20,95%</w:t>
            </w:r>
          </w:p>
        </w:tc>
      </w:tr>
      <w:tr w:rsidR="001D3AD8" w:rsidRPr="00804DEE" w14:paraId="1FCF9379" w14:textId="77777777" w:rsidTr="001D3AD8">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3C12E07" w14:textId="5A5430CC" w:rsidR="001D3AD8" w:rsidRPr="005B7B53" w:rsidRDefault="001D3AD8" w:rsidP="005A21ED">
            <w:pPr>
              <w:pStyle w:val="BodyText2"/>
              <w:spacing w:before="40" w:after="40" w:line="280" w:lineRule="atLeast"/>
              <w:rPr>
                <w:rFonts w:ascii="Verdana" w:hAnsi="Verdana"/>
                <w:sz w:val="17"/>
                <w:szCs w:val="17"/>
              </w:rPr>
            </w:pPr>
            <w:r>
              <w:rPr>
                <w:rFonts w:ascii="Verdana" w:hAnsi="Verdana"/>
                <w:sz w:val="17"/>
                <w:szCs w:val="17"/>
              </w:rPr>
              <w:t>NewGold Palladium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0FA3CD" w14:textId="6AE0F9EB"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ETF</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340BC079" w14:textId="53E09738"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25,80%</w:t>
            </w:r>
          </w:p>
        </w:tc>
        <w:tc>
          <w:tcPr>
            <w:tcW w:w="3012" w:type="dxa"/>
            <w:tcBorders>
              <w:left w:val="single" w:sz="18" w:space="0" w:color="auto"/>
              <w:bottom w:val="single" w:sz="4" w:space="0" w:color="auto"/>
              <w:right w:val="single" w:sz="4" w:space="0" w:color="auto"/>
            </w:tcBorders>
            <w:vAlign w:val="center"/>
          </w:tcPr>
          <w:p w14:paraId="41E3A2FF" w14:textId="4F2942E9" w:rsidR="001D3AD8" w:rsidRPr="005B7B53" w:rsidRDefault="001D3AD8" w:rsidP="005A21ED">
            <w:pPr>
              <w:pStyle w:val="BodyText2"/>
              <w:spacing w:before="40" w:after="40" w:line="280" w:lineRule="atLeast"/>
              <w:rPr>
                <w:rFonts w:ascii="Verdana" w:hAnsi="Verdana"/>
                <w:sz w:val="17"/>
                <w:szCs w:val="17"/>
              </w:rPr>
            </w:pPr>
            <w:r>
              <w:rPr>
                <w:rFonts w:ascii="Verdana" w:hAnsi="Verdana"/>
                <w:sz w:val="17"/>
                <w:szCs w:val="17"/>
              </w:rPr>
              <w:t>Standard Bank Silver Linker</w:t>
            </w:r>
          </w:p>
        </w:tc>
        <w:tc>
          <w:tcPr>
            <w:tcW w:w="830" w:type="dxa"/>
            <w:tcBorders>
              <w:left w:val="single" w:sz="4" w:space="0" w:color="auto"/>
              <w:bottom w:val="single" w:sz="4" w:space="0" w:color="auto"/>
              <w:right w:val="single" w:sz="4" w:space="0" w:color="auto"/>
            </w:tcBorders>
            <w:vAlign w:val="center"/>
          </w:tcPr>
          <w:p w14:paraId="54F0DD96" w14:textId="7CF8D21D" w:rsidR="001D3AD8" w:rsidRPr="0019755E" w:rsidRDefault="001D3AD8" w:rsidP="005A21ED">
            <w:pPr>
              <w:pStyle w:val="BodyText2"/>
              <w:spacing w:before="40" w:after="40" w:line="280" w:lineRule="atLeast"/>
              <w:jc w:val="center"/>
              <w:rPr>
                <w:rFonts w:ascii="silver" w:hAnsi="silver"/>
                <w:sz w:val="17"/>
                <w:szCs w:val="17"/>
              </w:rPr>
            </w:pPr>
            <w:r>
              <w:rPr>
                <w:rFonts w:ascii="Verdana" w:hAnsi="Verdana"/>
                <w:sz w:val="17"/>
                <w:szCs w:val="17"/>
              </w:rPr>
              <w:t>ETN</w:t>
            </w:r>
          </w:p>
        </w:tc>
        <w:tc>
          <w:tcPr>
            <w:tcW w:w="1112" w:type="dxa"/>
            <w:tcBorders>
              <w:left w:val="single" w:sz="4" w:space="0" w:color="auto"/>
              <w:bottom w:val="single" w:sz="4" w:space="0" w:color="auto"/>
              <w:right w:val="single" w:sz="4" w:space="0" w:color="auto"/>
            </w:tcBorders>
            <w:vAlign w:val="center"/>
          </w:tcPr>
          <w:p w14:paraId="3771B23D" w14:textId="70A18AD5"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20,86%</w:t>
            </w:r>
          </w:p>
        </w:tc>
      </w:tr>
      <w:tr w:rsidR="001D3AD8" w:rsidRPr="00804DEE" w14:paraId="3DF7081F" w14:textId="77777777" w:rsidTr="001D3AD8">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9593D1B" w14:textId="6A161A14" w:rsidR="001D3AD8" w:rsidRPr="005B7B53" w:rsidRDefault="001D3AD8" w:rsidP="005A21ED">
            <w:pPr>
              <w:pStyle w:val="BodyText2"/>
              <w:spacing w:before="40" w:after="40" w:line="280" w:lineRule="atLeast"/>
              <w:rPr>
                <w:rFonts w:ascii="Verdana" w:hAnsi="Verdana"/>
                <w:sz w:val="17"/>
                <w:szCs w:val="17"/>
              </w:rPr>
            </w:pPr>
            <w:r>
              <w:rPr>
                <w:rFonts w:ascii="Verdana" w:hAnsi="Verdana"/>
                <w:sz w:val="17"/>
                <w:szCs w:val="17"/>
              </w:rPr>
              <w:t>Standard Bank Africa Palladium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8A1ED4" w14:textId="6CF37031"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ETF</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20CDAC1F" w14:textId="5223FC77"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25,73%</w:t>
            </w:r>
          </w:p>
        </w:tc>
        <w:tc>
          <w:tcPr>
            <w:tcW w:w="3012" w:type="dxa"/>
            <w:tcBorders>
              <w:left w:val="single" w:sz="18" w:space="0" w:color="auto"/>
              <w:bottom w:val="single" w:sz="4" w:space="0" w:color="auto"/>
              <w:right w:val="single" w:sz="4" w:space="0" w:color="auto"/>
            </w:tcBorders>
            <w:vAlign w:val="center"/>
          </w:tcPr>
          <w:p w14:paraId="0D50D38B" w14:textId="00580797" w:rsidR="001D3AD8" w:rsidRPr="005B7B53" w:rsidRDefault="001D3AD8" w:rsidP="005A21ED">
            <w:pPr>
              <w:pStyle w:val="BodyText2"/>
              <w:spacing w:before="40" w:after="40" w:line="280" w:lineRule="atLeast"/>
              <w:rPr>
                <w:rFonts w:ascii="Verdana" w:hAnsi="Verdana"/>
                <w:sz w:val="17"/>
                <w:szCs w:val="17"/>
              </w:rPr>
            </w:pPr>
            <w:r>
              <w:rPr>
                <w:rFonts w:ascii="Verdana" w:hAnsi="Verdana"/>
                <w:sz w:val="17"/>
                <w:szCs w:val="17"/>
              </w:rPr>
              <w:t>NewGold Platinum</w:t>
            </w:r>
          </w:p>
        </w:tc>
        <w:tc>
          <w:tcPr>
            <w:tcW w:w="830" w:type="dxa"/>
            <w:tcBorders>
              <w:left w:val="single" w:sz="4" w:space="0" w:color="auto"/>
              <w:bottom w:val="single" w:sz="4" w:space="0" w:color="auto"/>
              <w:right w:val="single" w:sz="4" w:space="0" w:color="auto"/>
            </w:tcBorders>
            <w:vAlign w:val="center"/>
          </w:tcPr>
          <w:p w14:paraId="70D02A66" w14:textId="4C27E939"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ETF</w:t>
            </w:r>
          </w:p>
        </w:tc>
        <w:tc>
          <w:tcPr>
            <w:tcW w:w="1112" w:type="dxa"/>
            <w:tcBorders>
              <w:left w:val="single" w:sz="4" w:space="0" w:color="auto"/>
              <w:bottom w:val="single" w:sz="4" w:space="0" w:color="auto"/>
              <w:right w:val="single" w:sz="4" w:space="0" w:color="auto"/>
            </w:tcBorders>
            <w:vAlign w:val="center"/>
          </w:tcPr>
          <w:p w14:paraId="7CF78004" w14:textId="322B007B" w:rsidR="001D3AD8" w:rsidRPr="005B7B53" w:rsidRDefault="001D3AD8" w:rsidP="005A21ED">
            <w:pPr>
              <w:pStyle w:val="BodyText2"/>
              <w:spacing w:before="40" w:after="40" w:line="280" w:lineRule="atLeast"/>
              <w:jc w:val="center"/>
              <w:rPr>
                <w:rFonts w:ascii="Verdana" w:hAnsi="Verdana"/>
                <w:sz w:val="17"/>
                <w:szCs w:val="17"/>
              </w:rPr>
            </w:pPr>
            <w:r>
              <w:rPr>
                <w:rFonts w:ascii="Verdana" w:hAnsi="Verdana"/>
                <w:sz w:val="17"/>
                <w:szCs w:val="17"/>
              </w:rPr>
              <w:t>17,88%</w:t>
            </w:r>
          </w:p>
        </w:tc>
      </w:tr>
      <w:tr w:rsidR="001D3AD8" w:rsidRPr="00804DEE" w14:paraId="75DEE144" w14:textId="77777777" w:rsidTr="001D3AD8">
        <w:tc>
          <w:tcPr>
            <w:tcW w:w="991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D191245" w14:textId="77777777" w:rsidR="001D3AD8" w:rsidRPr="005B7B53" w:rsidRDefault="001D3AD8" w:rsidP="001D3AD8">
            <w:pPr>
              <w:pStyle w:val="BodyText2"/>
              <w:spacing w:before="20" w:after="40" w:line="260" w:lineRule="atLeast"/>
              <w:rPr>
                <w:rFonts w:ascii="Verdana" w:hAnsi="Verdana"/>
                <w:i/>
                <w:sz w:val="14"/>
                <w:szCs w:val="14"/>
              </w:rPr>
            </w:pPr>
            <w:r w:rsidRPr="005B7B53">
              <w:rPr>
                <w:rFonts w:ascii="Verdana" w:hAnsi="Verdana"/>
                <w:i/>
                <w:sz w:val="14"/>
                <w:szCs w:val="14"/>
              </w:rPr>
              <w:t>Source: etfSA.co.za / Profile Media Funds Data (</w:t>
            </w:r>
            <w:r>
              <w:rPr>
                <w:rFonts w:ascii="Verdana" w:hAnsi="Verdana"/>
                <w:i/>
                <w:sz w:val="14"/>
                <w:szCs w:val="14"/>
              </w:rPr>
              <w:t>30/9</w:t>
            </w:r>
            <w:r w:rsidRPr="005B7B53">
              <w:rPr>
                <w:rFonts w:ascii="Verdana" w:hAnsi="Verdana"/>
                <w:i/>
                <w:sz w:val="14"/>
                <w:szCs w:val="14"/>
              </w:rPr>
              <w:t>/201</w:t>
            </w:r>
            <w:r>
              <w:rPr>
                <w:rFonts w:ascii="Verdana" w:hAnsi="Verdana"/>
                <w:i/>
                <w:sz w:val="14"/>
                <w:szCs w:val="14"/>
              </w:rPr>
              <w:t>9</w:t>
            </w:r>
            <w:r w:rsidRPr="005B7B53">
              <w:rPr>
                <w:rFonts w:ascii="Verdana" w:hAnsi="Verdana"/>
                <w:i/>
                <w:sz w:val="14"/>
                <w:szCs w:val="14"/>
              </w:rPr>
              <w:t xml:space="preserve">)                   * Includes reinvestment of dividends. </w:t>
            </w:r>
          </w:p>
        </w:tc>
      </w:tr>
      <w:bookmarkEnd w:id="1"/>
    </w:tbl>
    <w:p w14:paraId="00C2839F" w14:textId="77777777" w:rsidR="002E4F01" w:rsidRDefault="002E4F01" w:rsidP="00AC54A6">
      <w:pPr>
        <w:spacing w:after="0" w:line="340" w:lineRule="atLeast"/>
        <w:jc w:val="both"/>
        <w:rPr>
          <w:rFonts w:ascii="Verdana" w:hAnsi="Verdana"/>
          <w:color w:val="000000"/>
          <w:sz w:val="21"/>
          <w:szCs w:val="21"/>
        </w:rPr>
      </w:pPr>
    </w:p>
    <w:p w14:paraId="58A23823" w14:textId="721CAD12" w:rsidR="002E4F01" w:rsidRDefault="002E4F01" w:rsidP="005A21ED">
      <w:pPr>
        <w:spacing w:after="0" w:line="360" w:lineRule="atLeast"/>
        <w:jc w:val="both"/>
        <w:rPr>
          <w:rFonts w:ascii="Verdana" w:hAnsi="Verdana"/>
          <w:color w:val="000000"/>
          <w:sz w:val="21"/>
          <w:szCs w:val="21"/>
        </w:rPr>
      </w:pPr>
      <w:r>
        <w:rPr>
          <w:rFonts w:ascii="Verdana" w:hAnsi="Verdana"/>
          <w:color w:val="000000"/>
          <w:sz w:val="21"/>
          <w:szCs w:val="21"/>
        </w:rPr>
        <w:t xml:space="preserve">There are indications that the </w:t>
      </w:r>
      <w:r w:rsidR="005A21ED">
        <w:rPr>
          <w:rFonts w:ascii="Verdana" w:hAnsi="Verdana"/>
          <w:color w:val="000000"/>
          <w:sz w:val="21"/>
          <w:szCs w:val="21"/>
        </w:rPr>
        <w:t>favourable</w:t>
      </w:r>
      <w:r>
        <w:rPr>
          <w:rFonts w:ascii="Verdana" w:hAnsi="Verdana"/>
          <w:color w:val="000000"/>
          <w:sz w:val="21"/>
          <w:szCs w:val="21"/>
        </w:rPr>
        <w:t xml:space="preserve"> conditions for investment in commodity ETPs could continue for some time, as scarcities in supply of certain metals and the rand hedge qualities of such globally priced assets co</w:t>
      </w:r>
      <w:r w:rsidR="005A21ED">
        <w:rPr>
          <w:rFonts w:ascii="Verdana" w:hAnsi="Verdana"/>
          <w:color w:val="000000"/>
          <w:sz w:val="21"/>
          <w:szCs w:val="21"/>
        </w:rPr>
        <w:t>mbine</w:t>
      </w:r>
      <w:r>
        <w:rPr>
          <w:rFonts w:ascii="Verdana" w:hAnsi="Verdana"/>
          <w:color w:val="000000"/>
          <w:sz w:val="21"/>
          <w:szCs w:val="21"/>
        </w:rPr>
        <w:t xml:space="preserve"> to make this an asset class that needs to be considered in any balanced investment portfolio. </w:t>
      </w:r>
    </w:p>
    <w:p w14:paraId="51287A95" w14:textId="77777777" w:rsidR="005A21ED" w:rsidRPr="002E4F01" w:rsidRDefault="005A21ED" w:rsidP="005A21ED">
      <w:pPr>
        <w:pBdr>
          <w:bottom w:val="single" w:sz="12" w:space="1" w:color="C00000"/>
        </w:pBdr>
        <w:spacing w:after="0" w:line="340" w:lineRule="atLeast"/>
        <w:jc w:val="both"/>
        <w:rPr>
          <w:rFonts w:ascii="Verdana" w:hAnsi="Verdana"/>
          <w:color w:val="000000"/>
          <w:sz w:val="21"/>
          <w:szCs w:val="21"/>
        </w:rPr>
      </w:pPr>
    </w:p>
    <w:p w14:paraId="721FCFB8" w14:textId="77777777" w:rsidR="005A21ED" w:rsidRDefault="005A21ED" w:rsidP="001D3AD8">
      <w:pPr>
        <w:spacing w:after="0" w:line="240" w:lineRule="auto"/>
        <w:jc w:val="both"/>
        <w:rPr>
          <w:rFonts w:ascii="Verdana" w:hAnsi="Verdana"/>
          <w:color w:val="000000"/>
          <w:sz w:val="20"/>
          <w:szCs w:val="20"/>
        </w:rPr>
      </w:pPr>
    </w:p>
    <w:p w14:paraId="47AE124A" w14:textId="1FB16626" w:rsidR="00752C5D" w:rsidRDefault="001D3AD8" w:rsidP="001951A8">
      <w:pPr>
        <w:spacing w:after="0" w:line="240" w:lineRule="auto"/>
        <w:jc w:val="center"/>
        <w:rPr>
          <w:rFonts w:ascii="Verdana" w:hAnsi="Verdana"/>
          <w:color w:val="000000"/>
          <w:sz w:val="20"/>
          <w:szCs w:val="20"/>
        </w:rPr>
      </w:pPr>
      <w:r>
        <w:rPr>
          <w:rFonts w:ascii="Berlin Sans FB Demi" w:hAnsi="Berlin Sans FB Demi"/>
          <w:noProof/>
          <w:sz w:val="28"/>
          <w:szCs w:val="28"/>
        </w:rPr>
        <w:drawing>
          <wp:inline distT="0" distB="0" distL="0" distR="0" wp14:anchorId="73A8832A" wp14:editId="22BCC76A">
            <wp:extent cx="5940425" cy="732155"/>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tfSA_730x90 (004).gif"/>
                    <pic:cNvPicPr/>
                  </pic:nvPicPr>
                  <pic:blipFill>
                    <a:blip r:embed="rId9">
                      <a:extLst>
                        <a:ext uri="{28A0092B-C50C-407E-A947-70E740481C1C}">
                          <a14:useLocalDpi xmlns:a14="http://schemas.microsoft.com/office/drawing/2010/main" val="0"/>
                        </a:ext>
                      </a:extLst>
                    </a:blip>
                    <a:stretch>
                      <a:fillRect/>
                    </a:stretch>
                  </pic:blipFill>
                  <pic:spPr>
                    <a:xfrm>
                      <a:off x="0" y="0"/>
                      <a:ext cx="5940425" cy="732155"/>
                    </a:xfrm>
                    <a:prstGeom prst="rect">
                      <a:avLst/>
                    </a:prstGeom>
                  </pic:spPr>
                </pic:pic>
              </a:graphicData>
            </a:graphic>
          </wp:inline>
        </w:drawing>
      </w:r>
    </w:p>
    <w:p w14:paraId="55E0EE78" w14:textId="4970B111" w:rsidR="00A6703F" w:rsidRDefault="00A6703F" w:rsidP="005A21ED">
      <w:pPr>
        <w:pBdr>
          <w:bottom w:val="single" w:sz="12" w:space="1" w:color="C00000"/>
        </w:pBdr>
        <w:spacing w:after="0" w:line="240" w:lineRule="auto"/>
        <w:jc w:val="both"/>
        <w:rPr>
          <w:rFonts w:ascii="Verdana" w:hAnsi="Verdana"/>
          <w:color w:val="000000"/>
          <w:sz w:val="20"/>
          <w:szCs w:val="20"/>
        </w:rPr>
      </w:pPr>
    </w:p>
    <w:p w14:paraId="0345B052" w14:textId="77777777" w:rsidR="005A21ED" w:rsidRPr="00A6703F" w:rsidRDefault="005A21ED" w:rsidP="00D22956">
      <w:pPr>
        <w:spacing w:after="0" w:line="240" w:lineRule="auto"/>
        <w:jc w:val="both"/>
        <w:rPr>
          <w:rFonts w:ascii="Verdana" w:hAnsi="Verdana"/>
          <w:color w:val="000000"/>
          <w:sz w:val="20"/>
          <w:szCs w:val="20"/>
        </w:rPr>
      </w:pPr>
    </w:p>
    <w:p w14:paraId="348057A5" w14:textId="77777777" w:rsidR="00C6212D" w:rsidRPr="00A6703F" w:rsidRDefault="00C6212D" w:rsidP="00C6212D">
      <w:pPr>
        <w:pBdr>
          <w:top w:val="single" w:sz="4" w:space="1" w:color="auto"/>
        </w:pBdr>
        <w:spacing w:after="0" w:line="240" w:lineRule="auto"/>
        <w:ind w:right="567"/>
        <w:rPr>
          <w:sz w:val="15"/>
          <w:szCs w:val="15"/>
          <w:lang w:eastAsia="en-ZA"/>
        </w:rPr>
      </w:pPr>
      <w:r w:rsidRPr="00A6703F">
        <w:rPr>
          <w:rFonts w:ascii="Arial" w:hAnsi="Arial"/>
          <w:b/>
          <w:i/>
          <w:color w:val="0F0D35"/>
          <w:sz w:val="15"/>
          <w:szCs w:val="15"/>
        </w:rPr>
        <w:t xml:space="preserve">Disclaimer: </w:t>
      </w:r>
      <w:r w:rsidRPr="00A6703F">
        <w:rPr>
          <w:rFonts w:ascii="Arial" w:hAnsi="Arial"/>
          <w:color w:val="000000"/>
          <w:sz w:val="15"/>
          <w:szCs w:val="15"/>
          <w:shd w:val="clear" w:color="auto" w:fill="FFFFFF"/>
          <w:lang w:eastAsia="en-ZA"/>
        </w:rPr>
        <w:t>The Exchange Traded Products (ETPs) contained herein are mainly Collective Investment Schemes in Securities (CIS) and other listed securities which are generally medium to long-term investments that contain elements of risk and can be affected by market values, interest rates, exchange rates, volatility, dividend yields and issuer credit ratings. ETPs are listed on the Johannesburg, or other Stock Exchanges, and trade at ruling prices on such Exchanges.</w:t>
      </w:r>
    </w:p>
    <w:p w14:paraId="3AAF1E99" w14:textId="341D3584" w:rsidR="00C6212D" w:rsidRPr="00A6703F" w:rsidRDefault="00C6212D" w:rsidP="00407678">
      <w:pPr>
        <w:pBdr>
          <w:bottom w:val="single" w:sz="4" w:space="1" w:color="auto"/>
        </w:pBdr>
        <w:shd w:val="clear" w:color="auto" w:fill="FFFFFF"/>
        <w:spacing w:after="0" w:line="240" w:lineRule="auto"/>
        <w:ind w:right="567"/>
        <w:jc w:val="both"/>
        <w:rPr>
          <w:rFonts w:ascii="Arial" w:hAnsi="Arial"/>
          <w:color w:val="000000"/>
          <w:sz w:val="15"/>
          <w:szCs w:val="15"/>
          <w:lang w:eastAsia="en-ZA"/>
        </w:rPr>
      </w:pPr>
      <w:r w:rsidRPr="00A6703F">
        <w:rPr>
          <w:rFonts w:ascii="Arial" w:hAnsi="Arial"/>
          <w:color w:val="000000"/>
          <w:sz w:val="15"/>
          <w:szCs w:val="15"/>
          <w:lang w:eastAsia="en-ZA"/>
        </w:rPr>
        <w:t>The price of ETPs can go up as well as down and past performance is not necessarily a guide to the future. The ETP's herein are listed on the Johannesburg Stock Exchange Limited and trading in ETP securities will incur trading and settlement costs. ETF securities are traded at ruling prices and can engage in scrip lending.</w:t>
      </w:r>
    </w:p>
    <w:p w14:paraId="6B359C43" w14:textId="77777777" w:rsidR="00C6212D" w:rsidRPr="00A6703F" w:rsidRDefault="00C6212D" w:rsidP="00407678">
      <w:pPr>
        <w:pBdr>
          <w:bottom w:val="single" w:sz="4" w:space="1" w:color="auto"/>
        </w:pBdr>
        <w:shd w:val="clear" w:color="auto" w:fill="FFFFFF"/>
        <w:spacing w:after="0" w:line="240" w:lineRule="auto"/>
        <w:ind w:right="567"/>
        <w:jc w:val="both"/>
        <w:rPr>
          <w:rFonts w:ascii="Arial" w:hAnsi="Arial"/>
          <w:color w:val="000000"/>
          <w:sz w:val="15"/>
          <w:szCs w:val="15"/>
          <w:lang w:eastAsia="en-ZA"/>
        </w:rPr>
      </w:pPr>
      <w:r w:rsidRPr="00A6703F">
        <w:rPr>
          <w:rFonts w:ascii="Arial" w:hAnsi="Arial"/>
          <w:color w:val="000000"/>
          <w:sz w:val="15"/>
          <w:szCs w:val="15"/>
          <w:lang w:eastAsia="en-ZA"/>
        </w:rPr>
        <w:t>The information and opinions provided herein are of a general nature and do not constitute investment advice. Whilst every care has been taken, no representation, warranty or undertaking, expressed or implied, is given as to the accuracy or completeness thereof.</w:t>
      </w:r>
    </w:p>
    <w:p w14:paraId="02B89787" w14:textId="77777777" w:rsidR="00C6212D" w:rsidRPr="00A6703F" w:rsidRDefault="00C6212D" w:rsidP="00407678">
      <w:pPr>
        <w:pBdr>
          <w:bottom w:val="single" w:sz="4" w:space="1" w:color="auto"/>
        </w:pBdr>
        <w:shd w:val="clear" w:color="auto" w:fill="FFFFFF"/>
        <w:spacing w:after="0" w:line="240" w:lineRule="auto"/>
        <w:ind w:right="567"/>
        <w:jc w:val="both"/>
        <w:rPr>
          <w:rFonts w:ascii="Arial" w:hAnsi="Arial"/>
          <w:color w:val="000000"/>
          <w:sz w:val="15"/>
          <w:szCs w:val="15"/>
          <w:lang w:eastAsia="en-ZA"/>
        </w:rPr>
      </w:pPr>
      <w:r w:rsidRPr="00A6703F">
        <w:rPr>
          <w:rFonts w:ascii="Arial" w:hAnsi="Arial"/>
          <w:color w:val="000000"/>
          <w:sz w:val="15"/>
          <w:szCs w:val="15"/>
          <w:lang w:eastAsia="en-ZA"/>
        </w:rPr>
        <w:t>etfSA.co.za is managed by M F Brown, who is a registered financial services provider (FSP No. 39217). M F Brown has Professional Indemnity Insurance as required by FAIS. The etfSA Investment Services Company (Pty) Ltd (FSP No 40107) provides asset management as well as financial intermediary and advice services. It uses Exchange Traded Products to construct portfolios for use in Retirement Annuity, Tax Free and Discretionary investments. It holds Professional Indemnity insurance and Fidelity Guarantee insurance as required by FAIS.</w:t>
      </w:r>
    </w:p>
    <w:p w14:paraId="0E9485D7" w14:textId="64A3D211" w:rsidR="00407678" w:rsidRDefault="00C6212D" w:rsidP="00407678">
      <w:pPr>
        <w:pBdr>
          <w:bottom w:val="single" w:sz="4" w:space="1" w:color="auto"/>
        </w:pBdr>
        <w:shd w:val="clear" w:color="auto" w:fill="FFFFFF"/>
        <w:spacing w:after="0" w:line="240" w:lineRule="auto"/>
        <w:ind w:right="567"/>
        <w:jc w:val="both"/>
        <w:rPr>
          <w:rFonts w:ascii="Arial" w:hAnsi="Arial"/>
          <w:color w:val="000000"/>
          <w:sz w:val="15"/>
          <w:szCs w:val="15"/>
          <w:lang w:eastAsia="en-ZA"/>
        </w:rPr>
      </w:pPr>
      <w:r w:rsidRPr="00A6703F">
        <w:rPr>
          <w:rFonts w:ascii="Arial" w:hAnsi="Arial"/>
          <w:color w:val="000000"/>
          <w:sz w:val="15"/>
          <w:szCs w:val="15"/>
          <w:lang w:eastAsia="en-ZA"/>
        </w:rPr>
        <w:t>All opinions and information on this website may be changed at any time without notice. Redistribution, reproduction, the resale or transmission to any third party of the contents of this website, whether by email, newsletter, internet or website, is only possible with the written permission of etfSA. etfSA.co.za, its sponsors, administrators, contributors and product providers disclaim any liability for any loss, damage, or expense that might occur from the use of or reliance on the data and services provided through this website. etfSA.co.za® and etfSA The Home of Exchange Traded Funds® are registered trademarks in the Republic of South Africa.</w:t>
      </w:r>
    </w:p>
    <w:sectPr w:rsidR="00407678" w:rsidSect="00A572A0">
      <w:footerReference w:type="default" r:id="rId10"/>
      <w:pgSz w:w="11906" w:h="16838" w:code="9"/>
      <w:pgMar w:top="851" w:right="851"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76B43" w14:textId="77777777" w:rsidR="008E2FDF" w:rsidRDefault="008E2FDF" w:rsidP="001860C2">
      <w:pPr>
        <w:spacing w:after="0" w:line="240" w:lineRule="auto"/>
      </w:pPr>
      <w:r>
        <w:separator/>
      </w:r>
    </w:p>
  </w:endnote>
  <w:endnote w:type="continuationSeparator" w:id="0">
    <w:p w14:paraId="02F2D7FE" w14:textId="77777777" w:rsidR="008E2FDF" w:rsidRDefault="008E2FDF" w:rsidP="00186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lver">
    <w:altName w:val="Cambria"/>
    <w:panose1 w:val="00000000000000000000"/>
    <w:charset w:val="00"/>
    <w:family w:val="roman"/>
    <w:notTrueType/>
    <w:pitch w:val="default"/>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8959353"/>
      <w:docPartObj>
        <w:docPartGallery w:val="Page Numbers (Bottom of Page)"/>
        <w:docPartUnique/>
      </w:docPartObj>
    </w:sdtPr>
    <w:sdtEndPr>
      <w:rPr>
        <w:rFonts w:ascii="Verdana" w:hAnsi="Verdana"/>
        <w:noProof/>
        <w:sz w:val="18"/>
        <w:szCs w:val="18"/>
      </w:rPr>
    </w:sdtEndPr>
    <w:sdtContent>
      <w:p w14:paraId="72DBEA49" w14:textId="73AF9B02" w:rsidR="008E2FDF" w:rsidRPr="001860C2" w:rsidRDefault="008E2FDF" w:rsidP="001860C2">
        <w:pPr>
          <w:pStyle w:val="Footer"/>
          <w:jc w:val="center"/>
          <w:rPr>
            <w:rFonts w:ascii="Verdana" w:hAnsi="Verdana"/>
            <w:sz w:val="18"/>
            <w:szCs w:val="18"/>
          </w:rPr>
        </w:pPr>
        <w:r w:rsidRPr="001860C2">
          <w:rPr>
            <w:rFonts w:ascii="Verdana" w:hAnsi="Verdana"/>
            <w:sz w:val="18"/>
            <w:szCs w:val="18"/>
          </w:rPr>
          <w:fldChar w:fldCharType="begin"/>
        </w:r>
        <w:r w:rsidRPr="001860C2">
          <w:rPr>
            <w:rFonts w:ascii="Verdana" w:hAnsi="Verdana"/>
            <w:sz w:val="18"/>
            <w:szCs w:val="18"/>
          </w:rPr>
          <w:instrText xml:space="preserve"> PAGE   \* MERGEFORMAT </w:instrText>
        </w:r>
        <w:r w:rsidRPr="001860C2">
          <w:rPr>
            <w:rFonts w:ascii="Verdana" w:hAnsi="Verdana"/>
            <w:sz w:val="18"/>
            <w:szCs w:val="18"/>
          </w:rPr>
          <w:fldChar w:fldCharType="separate"/>
        </w:r>
        <w:r>
          <w:rPr>
            <w:rFonts w:ascii="Verdana" w:hAnsi="Verdana"/>
            <w:noProof/>
            <w:sz w:val="18"/>
            <w:szCs w:val="18"/>
          </w:rPr>
          <w:t>3</w:t>
        </w:r>
        <w:r w:rsidRPr="001860C2">
          <w:rPr>
            <w:rFonts w:ascii="Verdana" w:hAnsi="Verdan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63265" w14:textId="77777777" w:rsidR="008E2FDF" w:rsidRDefault="008E2FDF" w:rsidP="001860C2">
      <w:pPr>
        <w:spacing w:after="0" w:line="240" w:lineRule="auto"/>
      </w:pPr>
      <w:r>
        <w:separator/>
      </w:r>
    </w:p>
  </w:footnote>
  <w:footnote w:type="continuationSeparator" w:id="0">
    <w:p w14:paraId="444FB782" w14:textId="77777777" w:rsidR="008E2FDF" w:rsidRDefault="008E2FDF" w:rsidP="00186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651D"/>
    <w:multiLevelType w:val="hybridMultilevel"/>
    <w:tmpl w:val="9504678E"/>
    <w:lvl w:ilvl="0" w:tplc="1C090001">
      <w:start w:val="1"/>
      <w:numFmt w:val="bullet"/>
      <w:lvlText w:val=""/>
      <w:lvlJc w:val="left"/>
      <w:pPr>
        <w:ind w:left="1778" w:hanging="360"/>
      </w:pPr>
      <w:rPr>
        <w:rFonts w:ascii="Symbol" w:hAnsi="Symbol" w:hint="default"/>
      </w:rPr>
    </w:lvl>
    <w:lvl w:ilvl="1" w:tplc="1C090003" w:tentative="1">
      <w:start w:val="1"/>
      <w:numFmt w:val="bullet"/>
      <w:lvlText w:val="o"/>
      <w:lvlJc w:val="left"/>
      <w:pPr>
        <w:ind w:left="2498" w:hanging="360"/>
      </w:pPr>
      <w:rPr>
        <w:rFonts w:ascii="Courier New" w:hAnsi="Courier New" w:cs="Courier New" w:hint="default"/>
      </w:rPr>
    </w:lvl>
    <w:lvl w:ilvl="2" w:tplc="1C090005" w:tentative="1">
      <w:start w:val="1"/>
      <w:numFmt w:val="bullet"/>
      <w:lvlText w:val=""/>
      <w:lvlJc w:val="left"/>
      <w:pPr>
        <w:ind w:left="3218" w:hanging="360"/>
      </w:pPr>
      <w:rPr>
        <w:rFonts w:ascii="Wingdings" w:hAnsi="Wingdings" w:hint="default"/>
      </w:rPr>
    </w:lvl>
    <w:lvl w:ilvl="3" w:tplc="1C090001" w:tentative="1">
      <w:start w:val="1"/>
      <w:numFmt w:val="bullet"/>
      <w:lvlText w:val=""/>
      <w:lvlJc w:val="left"/>
      <w:pPr>
        <w:ind w:left="3938" w:hanging="360"/>
      </w:pPr>
      <w:rPr>
        <w:rFonts w:ascii="Symbol" w:hAnsi="Symbol" w:hint="default"/>
      </w:rPr>
    </w:lvl>
    <w:lvl w:ilvl="4" w:tplc="1C090003" w:tentative="1">
      <w:start w:val="1"/>
      <w:numFmt w:val="bullet"/>
      <w:lvlText w:val="o"/>
      <w:lvlJc w:val="left"/>
      <w:pPr>
        <w:ind w:left="4658" w:hanging="360"/>
      </w:pPr>
      <w:rPr>
        <w:rFonts w:ascii="Courier New" w:hAnsi="Courier New" w:cs="Courier New" w:hint="default"/>
      </w:rPr>
    </w:lvl>
    <w:lvl w:ilvl="5" w:tplc="1C090005" w:tentative="1">
      <w:start w:val="1"/>
      <w:numFmt w:val="bullet"/>
      <w:lvlText w:val=""/>
      <w:lvlJc w:val="left"/>
      <w:pPr>
        <w:ind w:left="5378" w:hanging="360"/>
      </w:pPr>
      <w:rPr>
        <w:rFonts w:ascii="Wingdings" w:hAnsi="Wingdings" w:hint="default"/>
      </w:rPr>
    </w:lvl>
    <w:lvl w:ilvl="6" w:tplc="1C090001" w:tentative="1">
      <w:start w:val="1"/>
      <w:numFmt w:val="bullet"/>
      <w:lvlText w:val=""/>
      <w:lvlJc w:val="left"/>
      <w:pPr>
        <w:ind w:left="6098" w:hanging="360"/>
      </w:pPr>
      <w:rPr>
        <w:rFonts w:ascii="Symbol" w:hAnsi="Symbol" w:hint="default"/>
      </w:rPr>
    </w:lvl>
    <w:lvl w:ilvl="7" w:tplc="1C090003" w:tentative="1">
      <w:start w:val="1"/>
      <w:numFmt w:val="bullet"/>
      <w:lvlText w:val="o"/>
      <w:lvlJc w:val="left"/>
      <w:pPr>
        <w:ind w:left="6818" w:hanging="360"/>
      </w:pPr>
      <w:rPr>
        <w:rFonts w:ascii="Courier New" w:hAnsi="Courier New" w:cs="Courier New" w:hint="default"/>
      </w:rPr>
    </w:lvl>
    <w:lvl w:ilvl="8" w:tplc="1C090005" w:tentative="1">
      <w:start w:val="1"/>
      <w:numFmt w:val="bullet"/>
      <w:lvlText w:val=""/>
      <w:lvlJc w:val="left"/>
      <w:pPr>
        <w:ind w:left="7538" w:hanging="360"/>
      </w:pPr>
      <w:rPr>
        <w:rFonts w:ascii="Wingdings" w:hAnsi="Wingdings" w:hint="default"/>
      </w:rPr>
    </w:lvl>
  </w:abstractNum>
  <w:abstractNum w:abstractNumId="1" w15:restartNumberingAfterBreak="0">
    <w:nsid w:val="01234321"/>
    <w:multiLevelType w:val="hybridMultilevel"/>
    <w:tmpl w:val="2A1607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7E51D4C"/>
    <w:multiLevelType w:val="hybridMultilevel"/>
    <w:tmpl w:val="0AB075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F5E1355"/>
    <w:multiLevelType w:val="hybridMultilevel"/>
    <w:tmpl w:val="888E11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29D1321"/>
    <w:multiLevelType w:val="hybridMultilevel"/>
    <w:tmpl w:val="FDD09F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40D369B"/>
    <w:multiLevelType w:val="hybridMultilevel"/>
    <w:tmpl w:val="401834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48B1364"/>
    <w:multiLevelType w:val="hybridMultilevel"/>
    <w:tmpl w:val="FFE6E3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3D94606"/>
    <w:multiLevelType w:val="hybridMultilevel"/>
    <w:tmpl w:val="1C347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CD962CA"/>
    <w:multiLevelType w:val="hybridMultilevel"/>
    <w:tmpl w:val="855A38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7BC0492"/>
    <w:multiLevelType w:val="hybridMultilevel"/>
    <w:tmpl w:val="005055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8"/>
  </w:num>
  <w:num w:numId="2">
    <w:abstractNumId w:val="0"/>
  </w:num>
  <w:num w:numId="3">
    <w:abstractNumId w:val="7"/>
  </w:num>
  <w:num w:numId="4">
    <w:abstractNumId w:val="4"/>
  </w:num>
  <w:num w:numId="5">
    <w:abstractNumId w:val="1"/>
  </w:num>
  <w:num w:numId="6">
    <w:abstractNumId w:val="9"/>
  </w:num>
  <w:num w:numId="7">
    <w:abstractNumId w:val="3"/>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637"/>
    <w:rsid w:val="000144B3"/>
    <w:rsid w:val="00014D0C"/>
    <w:rsid w:val="00034E06"/>
    <w:rsid w:val="00042250"/>
    <w:rsid w:val="000435BE"/>
    <w:rsid w:val="0005247E"/>
    <w:rsid w:val="00063719"/>
    <w:rsid w:val="00064D86"/>
    <w:rsid w:val="00065FC4"/>
    <w:rsid w:val="00072FB5"/>
    <w:rsid w:val="000736A9"/>
    <w:rsid w:val="00083E17"/>
    <w:rsid w:val="00086ECE"/>
    <w:rsid w:val="000B189D"/>
    <w:rsid w:val="000C1ACB"/>
    <w:rsid w:val="000C2A04"/>
    <w:rsid w:val="000D0FF5"/>
    <w:rsid w:val="000F1A9D"/>
    <w:rsid w:val="000F2E19"/>
    <w:rsid w:val="000F4D11"/>
    <w:rsid w:val="000F676D"/>
    <w:rsid w:val="001011BA"/>
    <w:rsid w:val="001113DA"/>
    <w:rsid w:val="00112914"/>
    <w:rsid w:val="001149F4"/>
    <w:rsid w:val="001169ED"/>
    <w:rsid w:val="001255EF"/>
    <w:rsid w:val="0013147F"/>
    <w:rsid w:val="00137500"/>
    <w:rsid w:val="0016524A"/>
    <w:rsid w:val="00175BD4"/>
    <w:rsid w:val="001860C2"/>
    <w:rsid w:val="0019419C"/>
    <w:rsid w:val="001951A8"/>
    <w:rsid w:val="001976A7"/>
    <w:rsid w:val="001A440E"/>
    <w:rsid w:val="001A6952"/>
    <w:rsid w:val="001B0CAA"/>
    <w:rsid w:val="001C426E"/>
    <w:rsid w:val="001C48EF"/>
    <w:rsid w:val="001D3AD8"/>
    <w:rsid w:val="001F12A9"/>
    <w:rsid w:val="001F6BD9"/>
    <w:rsid w:val="00211E65"/>
    <w:rsid w:val="00214624"/>
    <w:rsid w:val="00215EC5"/>
    <w:rsid w:val="00240106"/>
    <w:rsid w:val="0024764F"/>
    <w:rsid w:val="002536F5"/>
    <w:rsid w:val="00260037"/>
    <w:rsid w:val="00267A62"/>
    <w:rsid w:val="00270178"/>
    <w:rsid w:val="0027130E"/>
    <w:rsid w:val="00271472"/>
    <w:rsid w:val="00275FDA"/>
    <w:rsid w:val="002821C1"/>
    <w:rsid w:val="00283442"/>
    <w:rsid w:val="0028580C"/>
    <w:rsid w:val="00287580"/>
    <w:rsid w:val="002A4EC3"/>
    <w:rsid w:val="002A6914"/>
    <w:rsid w:val="002D4D18"/>
    <w:rsid w:val="002E4F01"/>
    <w:rsid w:val="002E6A24"/>
    <w:rsid w:val="00321934"/>
    <w:rsid w:val="003230DF"/>
    <w:rsid w:val="00337675"/>
    <w:rsid w:val="00340ED3"/>
    <w:rsid w:val="00345103"/>
    <w:rsid w:val="00356055"/>
    <w:rsid w:val="00371A95"/>
    <w:rsid w:val="00380C83"/>
    <w:rsid w:val="00382ADA"/>
    <w:rsid w:val="003835A0"/>
    <w:rsid w:val="00383630"/>
    <w:rsid w:val="003935AB"/>
    <w:rsid w:val="00394359"/>
    <w:rsid w:val="003A0D8D"/>
    <w:rsid w:val="003A29FB"/>
    <w:rsid w:val="003A3D19"/>
    <w:rsid w:val="003A6075"/>
    <w:rsid w:val="003B10C9"/>
    <w:rsid w:val="003B4F95"/>
    <w:rsid w:val="003C278D"/>
    <w:rsid w:val="003C36D7"/>
    <w:rsid w:val="003C6031"/>
    <w:rsid w:val="003C700A"/>
    <w:rsid w:val="003D13C9"/>
    <w:rsid w:val="003D5B90"/>
    <w:rsid w:val="003E41CF"/>
    <w:rsid w:val="003F5A00"/>
    <w:rsid w:val="003F6A02"/>
    <w:rsid w:val="003F7712"/>
    <w:rsid w:val="0040423E"/>
    <w:rsid w:val="00407678"/>
    <w:rsid w:val="00417CC4"/>
    <w:rsid w:val="00433C1B"/>
    <w:rsid w:val="00434DA5"/>
    <w:rsid w:val="00435E56"/>
    <w:rsid w:val="00441724"/>
    <w:rsid w:val="00451766"/>
    <w:rsid w:val="00486A17"/>
    <w:rsid w:val="004A1759"/>
    <w:rsid w:val="004B0713"/>
    <w:rsid w:val="004C1102"/>
    <w:rsid w:val="004C60DA"/>
    <w:rsid w:val="004D1524"/>
    <w:rsid w:val="004D6498"/>
    <w:rsid w:val="004E2922"/>
    <w:rsid w:val="004F0766"/>
    <w:rsid w:val="0050685E"/>
    <w:rsid w:val="00511FB5"/>
    <w:rsid w:val="005135D4"/>
    <w:rsid w:val="005248F6"/>
    <w:rsid w:val="005355B2"/>
    <w:rsid w:val="00557D80"/>
    <w:rsid w:val="00561C75"/>
    <w:rsid w:val="005628FE"/>
    <w:rsid w:val="00574800"/>
    <w:rsid w:val="00587E90"/>
    <w:rsid w:val="005923A8"/>
    <w:rsid w:val="005A16E0"/>
    <w:rsid w:val="005A21ED"/>
    <w:rsid w:val="005A77A2"/>
    <w:rsid w:val="005C6EDE"/>
    <w:rsid w:val="005D7F9E"/>
    <w:rsid w:val="005E6456"/>
    <w:rsid w:val="005F2A62"/>
    <w:rsid w:val="005F3B27"/>
    <w:rsid w:val="005F5553"/>
    <w:rsid w:val="005F72F5"/>
    <w:rsid w:val="006052EB"/>
    <w:rsid w:val="00605876"/>
    <w:rsid w:val="00606273"/>
    <w:rsid w:val="00607890"/>
    <w:rsid w:val="00610270"/>
    <w:rsid w:val="00611D35"/>
    <w:rsid w:val="006124A0"/>
    <w:rsid w:val="0062560E"/>
    <w:rsid w:val="00634A9D"/>
    <w:rsid w:val="00650F13"/>
    <w:rsid w:val="00653EAC"/>
    <w:rsid w:val="006557AA"/>
    <w:rsid w:val="00665208"/>
    <w:rsid w:val="00665C94"/>
    <w:rsid w:val="00667B94"/>
    <w:rsid w:val="00670E82"/>
    <w:rsid w:val="00690162"/>
    <w:rsid w:val="006924BC"/>
    <w:rsid w:val="006A0C56"/>
    <w:rsid w:val="006A24D6"/>
    <w:rsid w:val="006A6635"/>
    <w:rsid w:val="006B620E"/>
    <w:rsid w:val="006C3432"/>
    <w:rsid w:val="006D32E9"/>
    <w:rsid w:val="006D3930"/>
    <w:rsid w:val="006E70F6"/>
    <w:rsid w:val="007017CF"/>
    <w:rsid w:val="007028A0"/>
    <w:rsid w:val="00705212"/>
    <w:rsid w:val="007153E8"/>
    <w:rsid w:val="00715DF1"/>
    <w:rsid w:val="00727AC5"/>
    <w:rsid w:val="00737776"/>
    <w:rsid w:val="0074101D"/>
    <w:rsid w:val="0075135D"/>
    <w:rsid w:val="00752C5D"/>
    <w:rsid w:val="0075656E"/>
    <w:rsid w:val="007617B4"/>
    <w:rsid w:val="00761DC1"/>
    <w:rsid w:val="007640DF"/>
    <w:rsid w:val="00774D53"/>
    <w:rsid w:val="0078694D"/>
    <w:rsid w:val="00792524"/>
    <w:rsid w:val="007B1D8E"/>
    <w:rsid w:val="007B3F08"/>
    <w:rsid w:val="007C2AC1"/>
    <w:rsid w:val="007C4EB1"/>
    <w:rsid w:val="007D1C48"/>
    <w:rsid w:val="007D3765"/>
    <w:rsid w:val="007E5C23"/>
    <w:rsid w:val="007F2E9B"/>
    <w:rsid w:val="007F4718"/>
    <w:rsid w:val="007F5E1E"/>
    <w:rsid w:val="0080262B"/>
    <w:rsid w:val="0080317E"/>
    <w:rsid w:val="008033A1"/>
    <w:rsid w:val="00810312"/>
    <w:rsid w:val="0082551A"/>
    <w:rsid w:val="00831695"/>
    <w:rsid w:val="00834896"/>
    <w:rsid w:val="008678CF"/>
    <w:rsid w:val="00870751"/>
    <w:rsid w:val="008723C3"/>
    <w:rsid w:val="00873A85"/>
    <w:rsid w:val="00874BC3"/>
    <w:rsid w:val="008767CE"/>
    <w:rsid w:val="008927A0"/>
    <w:rsid w:val="0089761A"/>
    <w:rsid w:val="008A7891"/>
    <w:rsid w:val="008B14A6"/>
    <w:rsid w:val="008B1AB4"/>
    <w:rsid w:val="008B4F73"/>
    <w:rsid w:val="008C19C4"/>
    <w:rsid w:val="008C2BE8"/>
    <w:rsid w:val="008C4FF1"/>
    <w:rsid w:val="008D5DE6"/>
    <w:rsid w:val="008E2FDF"/>
    <w:rsid w:val="008F5B96"/>
    <w:rsid w:val="00900106"/>
    <w:rsid w:val="00900795"/>
    <w:rsid w:val="00902C9D"/>
    <w:rsid w:val="00912273"/>
    <w:rsid w:val="0092766E"/>
    <w:rsid w:val="00932B35"/>
    <w:rsid w:val="00933922"/>
    <w:rsid w:val="00935C75"/>
    <w:rsid w:val="00967F07"/>
    <w:rsid w:val="00976701"/>
    <w:rsid w:val="00976971"/>
    <w:rsid w:val="00990E6C"/>
    <w:rsid w:val="009A0517"/>
    <w:rsid w:val="009C3FDD"/>
    <w:rsid w:val="009D06A1"/>
    <w:rsid w:val="009D1D25"/>
    <w:rsid w:val="009D539F"/>
    <w:rsid w:val="009E06CC"/>
    <w:rsid w:val="009E19AA"/>
    <w:rsid w:val="009E4AA6"/>
    <w:rsid w:val="009F598B"/>
    <w:rsid w:val="009F66FE"/>
    <w:rsid w:val="009F7261"/>
    <w:rsid w:val="00A00FDB"/>
    <w:rsid w:val="00A018BA"/>
    <w:rsid w:val="00A01E0B"/>
    <w:rsid w:val="00A029E7"/>
    <w:rsid w:val="00A051FB"/>
    <w:rsid w:val="00A06583"/>
    <w:rsid w:val="00A24DE7"/>
    <w:rsid w:val="00A30C9E"/>
    <w:rsid w:val="00A32F36"/>
    <w:rsid w:val="00A572A0"/>
    <w:rsid w:val="00A6703F"/>
    <w:rsid w:val="00A836BC"/>
    <w:rsid w:val="00A85AC4"/>
    <w:rsid w:val="00A933CB"/>
    <w:rsid w:val="00A94957"/>
    <w:rsid w:val="00A95B1E"/>
    <w:rsid w:val="00A96CC9"/>
    <w:rsid w:val="00A97831"/>
    <w:rsid w:val="00AA2591"/>
    <w:rsid w:val="00AA3690"/>
    <w:rsid w:val="00AB5637"/>
    <w:rsid w:val="00AB659F"/>
    <w:rsid w:val="00AB779B"/>
    <w:rsid w:val="00AC2C23"/>
    <w:rsid w:val="00AC54A6"/>
    <w:rsid w:val="00AC5A30"/>
    <w:rsid w:val="00AC5FC2"/>
    <w:rsid w:val="00AC615B"/>
    <w:rsid w:val="00AD0CE4"/>
    <w:rsid w:val="00AE12F4"/>
    <w:rsid w:val="00AE2E69"/>
    <w:rsid w:val="00AE3A0B"/>
    <w:rsid w:val="00AE6B7A"/>
    <w:rsid w:val="00AF734A"/>
    <w:rsid w:val="00AF7BAB"/>
    <w:rsid w:val="00B010F5"/>
    <w:rsid w:val="00B04A5D"/>
    <w:rsid w:val="00B0556F"/>
    <w:rsid w:val="00B11DFE"/>
    <w:rsid w:val="00B15601"/>
    <w:rsid w:val="00B228FA"/>
    <w:rsid w:val="00B238F4"/>
    <w:rsid w:val="00B352AB"/>
    <w:rsid w:val="00B43C70"/>
    <w:rsid w:val="00B5062D"/>
    <w:rsid w:val="00B53321"/>
    <w:rsid w:val="00B539B4"/>
    <w:rsid w:val="00B544F8"/>
    <w:rsid w:val="00B6448D"/>
    <w:rsid w:val="00B65933"/>
    <w:rsid w:val="00B7090D"/>
    <w:rsid w:val="00B7153C"/>
    <w:rsid w:val="00B76B5D"/>
    <w:rsid w:val="00B80A20"/>
    <w:rsid w:val="00B80B89"/>
    <w:rsid w:val="00B822A3"/>
    <w:rsid w:val="00B82C05"/>
    <w:rsid w:val="00B84B3B"/>
    <w:rsid w:val="00BA3DC2"/>
    <w:rsid w:val="00BB3618"/>
    <w:rsid w:val="00BC4EB7"/>
    <w:rsid w:val="00BC6FBB"/>
    <w:rsid w:val="00BD2909"/>
    <w:rsid w:val="00BD4AED"/>
    <w:rsid w:val="00BE106B"/>
    <w:rsid w:val="00BE1AB8"/>
    <w:rsid w:val="00BE387A"/>
    <w:rsid w:val="00BF214D"/>
    <w:rsid w:val="00C16778"/>
    <w:rsid w:val="00C2040D"/>
    <w:rsid w:val="00C262C9"/>
    <w:rsid w:val="00C361AA"/>
    <w:rsid w:val="00C36D78"/>
    <w:rsid w:val="00C43586"/>
    <w:rsid w:val="00C6212D"/>
    <w:rsid w:val="00C648B8"/>
    <w:rsid w:val="00C67C90"/>
    <w:rsid w:val="00C848CE"/>
    <w:rsid w:val="00C9155D"/>
    <w:rsid w:val="00C9721C"/>
    <w:rsid w:val="00C97248"/>
    <w:rsid w:val="00CA0977"/>
    <w:rsid w:val="00CA5F6B"/>
    <w:rsid w:val="00CD0246"/>
    <w:rsid w:val="00CD37BB"/>
    <w:rsid w:val="00CE0B76"/>
    <w:rsid w:val="00CE2B2F"/>
    <w:rsid w:val="00CE3BAE"/>
    <w:rsid w:val="00CF7569"/>
    <w:rsid w:val="00CF781A"/>
    <w:rsid w:val="00D040F4"/>
    <w:rsid w:val="00D11DEF"/>
    <w:rsid w:val="00D121D5"/>
    <w:rsid w:val="00D17A57"/>
    <w:rsid w:val="00D20525"/>
    <w:rsid w:val="00D22956"/>
    <w:rsid w:val="00D2618D"/>
    <w:rsid w:val="00D271F3"/>
    <w:rsid w:val="00D307D7"/>
    <w:rsid w:val="00D3426D"/>
    <w:rsid w:val="00D36A69"/>
    <w:rsid w:val="00D43D4C"/>
    <w:rsid w:val="00D5059A"/>
    <w:rsid w:val="00D5118F"/>
    <w:rsid w:val="00D515DF"/>
    <w:rsid w:val="00D52692"/>
    <w:rsid w:val="00D529C5"/>
    <w:rsid w:val="00D52C3B"/>
    <w:rsid w:val="00D53225"/>
    <w:rsid w:val="00D65796"/>
    <w:rsid w:val="00D72BC0"/>
    <w:rsid w:val="00D75B21"/>
    <w:rsid w:val="00D826DB"/>
    <w:rsid w:val="00DB291B"/>
    <w:rsid w:val="00DB6E1D"/>
    <w:rsid w:val="00DB6EB9"/>
    <w:rsid w:val="00DB71F9"/>
    <w:rsid w:val="00DC1373"/>
    <w:rsid w:val="00DD461D"/>
    <w:rsid w:val="00DE5C90"/>
    <w:rsid w:val="00DF7E2F"/>
    <w:rsid w:val="00E07C73"/>
    <w:rsid w:val="00E21946"/>
    <w:rsid w:val="00E23E04"/>
    <w:rsid w:val="00E24F85"/>
    <w:rsid w:val="00E30126"/>
    <w:rsid w:val="00E3031D"/>
    <w:rsid w:val="00E34CCA"/>
    <w:rsid w:val="00E54244"/>
    <w:rsid w:val="00E61D18"/>
    <w:rsid w:val="00E63CE0"/>
    <w:rsid w:val="00E67F46"/>
    <w:rsid w:val="00E71803"/>
    <w:rsid w:val="00E72DBE"/>
    <w:rsid w:val="00E742FD"/>
    <w:rsid w:val="00E761AB"/>
    <w:rsid w:val="00E7626C"/>
    <w:rsid w:val="00E93A18"/>
    <w:rsid w:val="00EA0580"/>
    <w:rsid w:val="00EC0455"/>
    <w:rsid w:val="00ED1C62"/>
    <w:rsid w:val="00EE0926"/>
    <w:rsid w:val="00EE7BDC"/>
    <w:rsid w:val="00EF38EC"/>
    <w:rsid w:val="00F00380"/>
    <w:rsid w:val="00F14ACA"/>
    <w:rsid w:val="00F246CA"/>
    <w:rsid w:val="00F32170"/>
    <w:rsid w:val="00F3655E"/>
    <w:rsid w:val="00F411F7"/>
    <w:rsid w:val="00F41953"/>
    <w:rsid w:val="00F44D41"/>
    <w:rsid w:val="00F52F55"/>
    <w:rsid w:val="00F565F3"/>
    <w:rsid w:val="00F56643"/>
    <w:rsid w:val="00F70495"/>
    <w:rsid w:val="00F7786F"/>
    <w:rsid w:val="00F822BF"/>
    <w:rsid w:val="00F83240"/>
    <w:rsid w:val="00F9104A"/>
    <w:rsid w:val="00F91371"/>
    <w:rsid w:val="00F94FB2"/>
    <w:rsid w:val="00FA0A82"/>
    <w:rsid w:val="00FB4766"/>
    <w:rsid w:val="00FC15C7"/>
    <w:rsid w:val="00FC62D1"/>
    <w:rsid w:val="00FD20B5"/>
    <w:rsid w:val="00FD49C7"/>
    <w:rsid w:val="00FD7DBB"/>
    <w:rsid w:val="00FE0A9D"/>
    <w:rsid w:val="00FE2ED4"/>
    <w:rsid w:val="00FE4355"/>
    <w:rsid w:val="00FE4A84"/>
    <w:rsid w:val="00FE5ACF"/>
    <w:rsid w:val="00FE6BE9"/>
    <w:rsid w:val="00FE752C"/>
    <w:rsid w:val="00FE771E"/>
    <w:rsid w:val="00FF00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1762"/>
  <w15:chartTrackingRefBased/>
  <w15:docId w15:val="{0B6759B7-E720-4499-8B89-F6C690D2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AB5637"/>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637"/>
    <w:rPr>
      <w:rFonts w:ascii="Arial" w:eastAsia="Times New Roman" w:hAnsi="Arial" w:cs="Arial"/>
      <w:b/>
      <w:bCs/>
      <w:kern w:val="32"/>
      <w:sz w:val="32"/>
      <w:szCs w:val="32"/>
    </w:rPr>
  </w:style>
  <w:style w:type="paragraph" w:styleId="ListParagraph">
    <w:name w:val="List Paragraph"/>
    <w:basedOn w:val="Normal"/>
    <w:uiPriority w:val="34"/>
    <w:qFormat/>
    <w:rsid w:val="005355B2"/>
    <w:pPr>
      <w:ind w:left="720"/>
      <w:contextualSpacing/>
    </w:pPr>
  </w:style>
  <w:style w:type="paragraph" w:styleId="BalloonText">
    <w:name w:val="Balloon Text"/>
    <w:basedOn w:val="Normal"/>
    <w:link w:val="BalloonTextChar"/>
    <w:uiPriority w:val="99"/>
    <w:semiHidden/>
    <w:unhideWhenUsed/>
    <w:rsid w:val="00F704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495"/>
    <w:rPr>
      <w:rFonts w:ascii="Segoe UI" w:hAnsi="Segoe UI" w:cs="Segoe UI"/>
      <w:sz w:val="18"/>
      <w:szCs w:val="18"/>
    </w:rPr>
  </w:style>
  <w:style w:type="table" w:styleId="TableGrid">
    <w:name w:val="Table Grid"/>
    <w:basedOn w:val="TableNormal"/>
    <w:uiPriority w:val="39"/>
    <w:rsid w:val="00BF2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B14A6"/>
    <w:rPr>
      <w:color w:val="0000FF"/>
      <w:u w:val="single"/>
    </w:rPr>
  </w:style>
  <w:style w:type="paragraph" w:styleId="Header">
    <w:name w:val="header"/>
    <w:basedOn w:val="Normal"/>
    <w:link w:val="HeaderChar"/>
    <w:uiPriority w:val="99"/>
    <w:unhideWhenUsed/>
    <w:rsid w:val="00186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0C2"/>
  </w:style>
  <w:style w:type="paragraph" w:styleId="Footer">
    <w:name w:val="footer"/>
    <w:basedOn w:val="Normal"/>
    <w:link w:val="FooterChar"/>
    <w:uiPriority w:val="99"/>
    <w:unhideWhenUsed/>
    <w:rsid w:val="00186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0C2"/>
  </w:style>
  <w:style w:type="character" w:styleId="UnresolvedMention">
    <w:name w:val="Unresolved Mention"/>
    <w:basedOn w:val="DefaultParagraphFont"/>
    <w:uiPriority w:val="99"/>
    <w:semiHidden/>
    <w:unhideWhenUsed/>
    <w:rsid w:val="00F00380"/>
    <w:rPr>
      <w:color w:val="808080"/>
      <w:shd w:val="clear" w:color="auto" w:fill="E6E6E6"/>
    </w:rPr>
  </w:style>
  <w:style w:type="paragraph" w:styleId="BodyText2">
    <w:name w:val="Body Text 2"/>
    <w:basedOn w:val="Normal"/>
    <w:link w:val="BodyText2Char"/>
    <w:rsid w:val="001D3AD8"/>
    <w:pPr>
      <w:spacing w:after="120" w:line="480" w:lineRule="auto"/>
    </w:pPr>
    <w:rPr>
      <w:rFonts w:ascii="Century Gothic" w:eastAsia="Times New Roman" w:hAnsi="Century Gothic" w:cs="Arial"/>
      <w:sz w:val="20"/>
      <w:szCs w:val="20"/>
    </w:rPr>
  </w:style>
  <w:style w:type="character" w:customStyle="1" w:styleId="BodyText2Char">
    <w:name w:val="Body Text 2 Char"/>
    <w:basedOn w:val="DefaultParagraphFont"/>
    <w:link w:val="BodyText2"/>
    <w:rsid w:val="001D3AD8"/>
    <w:rPr>
      <w:rFonts w:ascii="Century Gothic" w:eastAsia="Times New Roman" w:hAnsi="Century Gothic"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9264">
      <w:bodyDiv w:val="1"/>
      <w:marLeft w:val="0"/>
      <w:marRight w:val="0"/>
      <w:marTop w:val="0"/>
      <w:marBottom w:val="0"/>
      <w:divBdr>
        <w:top w:val="none" w:sz="0" w:space="0" w:color="auto"/>
        <w:left w:val="none" w:sz="0" w:space="0" w:color="auto"/>
        <w:bottom w:val="none" w:sz="0" w:space="0" w:color="auto"/>
        <w:right w:val="none" w:sz="0" w:space="0" w:color="auto"/>
      </w:divBdr>
    </w:div>
    <w:div w:id="1002664359">
      <w:bodyDiv w:val="1"/>
      <w:marLeft w:val="0"/>
      <w:marRight w:val="0"/>
      <w:marTop w:val="0"/>
      <w:marBottom w:val="0"/>
      <w:divBdr>
        <w:top w:val="none" w:sz="0" w:space="0" w:color="auto"/>
        <w:left w:val="none" w:sz="0" w:space="0" w:color="auto"/>
        <w:bottom w:val="none" w:sz="0" w:space="0" w:color="auto"/>
        <w:right w:val="none" w:sz="0" w:space="0" w:color="auto"/>
      </w:divBdr>
    </w:div>
    <w:div w:id="189700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gif"/></Relationships>
</file>

<file path=word/charts/_rels/chart1.xml.rels><?xml version="1.0" encoding="UTF-8" standalone="yes"?>
<Relationships xmlns="http://schemas.openxmlformats.org/package/2006/relationships"><Relationship Id="rId3" Type="http://schemas.openxmlformats.org/officeDocument/2006/relationships/oleObject" Target="file:///\\ETFSA-FS01\etfSA.co.za\SHERRYL\ETFSA\Website\WEB%20-%20News\2019\market%20cap%202008%20to%20Sept2019.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862707582112983"/>
          <c:y val="0.18670218184550896"/>
          <c:w val="0.86395859396080166"/>
          <c:h val="0.61430549177111082"/>
        </c:manualLayout>
      </c:layout>
      <c:bar3DChart>
        <c:barDir val="col"/>
        <c:grouping val="clustered"/>
        <c:varyColors val="0"/>
        <c:ser>
          <c:idx val="0"/>
          <c:order val="0"/>
          <c:tx>
            <c:strRef>
              <c:f>Sheet1!$B$1</c:f>
              <c:strCache>
                <c:ptCount val="1"/>
              </c:strCache>
            </c:strRef>
          </c:tx>
          <c:spPr>
            <a:solidFill>
              <a:srgbClr val="C00000"/>
            </a:solidFill>
            <a:ln>
              <a:solidFill>
                <a:schemeClr val="tx1">
                  <a:lumMod val="75000"/>
                  <a:lumOff val="25000"/>
                </a:schemeClr>
              </a:solidFill>
            </a:ln>
            <a:effectLst/>
            <a:sp3d>
              <a:contourClr>
                <a:schemeClr val="tx1">
                  <a:lumMod val="75000"/>
                  <a:lumOff val="25000"/>
                </a:schemeClr>
              </a:contourClr>
            </a:sp3d>
          </c:spPr>
          <c:invertIfNegative val="0"/>
          <c:dLbls>
            <c:dLbl>
              <c:idx val="6"/>
              <c:layout>
                <c:manualLayout>
                  <c:x val="4.9844236760124613E-3"/>
                  <c:y val="-1.69671261930010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A4E-4F37-9216-9C6E60107905}"/>
                </c:ext>
              </c:extLst>
            </c:dLbl>
            <c:dLbl>
              <c:idx val="7"/>
              <c:layout>
                <c:manualLayout>
                  <c:x val="1.2461059190031062E-2"/>
                  <c:y val="-4.24178154825026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A4E-4F37-9216-9C6E60107905}"/>
                </c:ext>
              </c:extLst>
            </c:dLbl>
            <c:dLbl>
              <c:idx val="8"/>
              <c:layout>
                <c:manualLayout>
                  <c:x val="9.1380045096816403E-17"/>
                  <c:y val="4.24178154825026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A4E-4F37-9216-9C6E60107905}"/>
                </c:ext>
              </c:extLst>
            </c:dLbl>
            <c:dLbl>
              <c:idx val="10"/>
              <c:layout>
                <c:manualLayout>
                  <c:x val="9.9688473520249225E-3"/>
                  <c:y val="1.94412741755554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A4E-4F37-9216-9C6E6010790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formatCode="mmm\-yy">
                  <c:v>43738</c:v>
                </c:pt>
              </c:numCache>
            </c:numRef>
          </c:cat>
          <c:val>
            <c:numRef>
              <c:f>Sheet1!$B$2:$B$13</c:f>
              <c:numCache>
                <c:formatCode>General</c:formatCode>
                <c:ptCount val="12"/>
                <c:pt idx="0">
                  <c:v>16443</c:v>
                </c:pt>
                <c:pt idx="1">
                  <c:v>27534</c:v>
                </c:pt>
                <c:pt idx="2">
                  <c:v>33334</c:v>
                </c:pt>
                <c:pt idx="3">
                  <c:v>40059</c:v>
                </c:pt>
                <c:pt idx="4">
                  <c:v>47770</c:v>
                </c:pt>
                <c:pt idx="5">
                  <c:v>62975</c:v>
                </c:pt>
                <c:pt idx="6">
                  <c:v>79340</c:v>
                </c:pt>
                <c:pt idx="7">
                  <c:v>79054</c:v>
                </c:pt>
                <c:pt idx="8">
                  <c:v>74126</c:v>
                </c:pt>
                <c:pt idx="9">
                  <c:v>85027</c:v>
                </c:pt>
                <c:pt idx="10">
                  <c:v>77786</c:v>
                </c:pt>
                <c:pt idx="11">
                  <c:v>99281</c:v>
                </c:pt>
              </c:numCache>
            </c:numRef>
          </c:val>
          <c:extLst>
            <c:ext xmlns:c16="http://schemas.microsoft.com/office/drawing/2014/chart" uri="{C3380CC4-5D6E-409C-BE32-E72D297353CC}">
              <c16:uniqueId val="{00000004-0A4E-4F37-9216-9C6E60107905}"/>
            </c:ext>
          </c:extLst>
        </c:ser>
        <c:dLbls>
          <c:showLegendKey val="0"/>
          <c:showVal val="0"/>
          <c:showCatName val="0"/>
          <c:showSerName val="0"/>
          <c:showPercent val="0"/>
          <c:showBubbleSize val="0"/>
        </c:dLbls>
        <c:gapWidth val="150"/>
        <c:shape val="box"/>
        <c:axId val="314479968"/>
        <c:axId val="254596752"/>
        <c:axId val="0"/>
      </c:bar3DChart>
      <c:catAx>
        <c:axId val="314479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crossAx val="254596752"/>
        <c:crosses val="autoZero"/>
        <c:auto val="1"/>
        <c:lblAlgn val="ctr"/>
        <c:lblOffset val="100"/>
        <c:noMultiLvlLbl val="0"/>
      </c:catAx>
      <c:valAx>
        <c:axId val="254596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crossAx val="314479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Verdana" panose="020B0604030504040204" pitchFamily="34" charset="0"/>
          <a:ea typeface="Verdana" panose="020B0604030504040204" pitchFamily="34" charset="0"/>
          <a:cs typeface="Verdana" panose="020B060403050404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0.20561</cdr:x>
      <cdr:y>0.00923</cdr:y>
    </cdr:from>
    <cdr:to>
      <cdr:x>0.74953</cdr:x>
      <cdr:y>0.19406</cdr:y>
    </cdr:to>
    <cdr:sp macro="" textlink="">
      <cdr:nvSpPr>
        <cdr:cNvPr id="2" name="TextBox 1">
          <a:extLst xmlns:a="http://schemas.openxmlformats.org/drawingml/2006/main">
            <a:ext uri="{FF2B5EF4-FFF2-40B4-BE49-F238E27FC236}">
              <a16:creationId xmlns:a16="http://schemas.microsoft.com/office/drawing/2014/main" id="{71B3CF54-1390-4A8C-BE09-B1C289F383B0}"/>
            </a:ext>
          </a:extLst>
        </cdr:cNvPr>
        <cdr:cNvSpPr txBox="1"/>
      </cdr:nvSpPr>
      <cdr:spPr>
        <a:xfrm xmlns:a="http://schemas.openxmlformats.org/drawingml/2006/main">
          <a:off x="1047763" y="27635"/>
          <a:ext cx="2771748" cy="55339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lang="en-ZA" sz="1200" b="1">
              <a:effectLst/>
              <a:latin typeface="Verdana" panose="020B0604030504040204" pitchFamily="34" charset="0"/>
              <a:ea typeface="Verdana" panose="020B0604030504040204" pitchFamily="34" charset="0"/>
              <a:cs typeface="Verdana" panose="020B0604030504040204" pitchFamily="34" charset="0"/>
            </a:rPr>
            <a:t>SA ETP Industry</a:t>
          </a:r>
          <a:endParaRPr lang="en-ZA" sz="1200" b="1">
            <a:latin typeface="Verdana" panose="020B0604030504040204" pitchFamily="34" charset="0"/>
            <a:ea typeface="Verdana" panose="020B0604030504040204" pitchFamily="34" charset="0"/>
            <a:cs typeface="Verdana" panose="020B0604030504040204" pitchFamily="34" charset="0"/>
          </a:endParaRPr>
        </a:p>
        <a:p xmlns:a="http://schemas.openxmlformats.org/drawingml/2006/main">
          <a:pPr algn="ctr"/>
          <a:r>
            <a:rPr lang="en-ZA" sz="1200" b="1">
              <a:latin typeface="Verdana" panose="020B0604030504040204" pitchFamily="34" charset="0"/>
              <a:ea typeface="Verdana" panose="020B0604030504040204" pitchFamily="34" charset="0"/>
              <a:cs typeface="Verdana" panose="020B0604030504040204" pitchFamily="34" charset="0"/>
            </a:rPr>
            <a:t>Total Market Capitalisation (Rm)</a:t>
          </a:r>
        </a:p>
      </cdr:txBody>
    </cdr:sp>
  </cdr:relSizeAnchor>
  <cdr:relSizeAnchor xmlns:cdr="http://schemas.openxmlformats.org/drawingml/2006/chartDrawing">
    <cdr:from>
      <cdr:x>0.00125</cdr:x>
      <cdr:y>0.10074</cdr:y>
    </cdr:from>
    <cdr:to>
      <cdr:x>0.18069</cdr:x>
      <cdr:y>0.19618</cdr:y>
    </cdr:to>
    <cdr:sp macro="" textlink="">
      <cdr:nvSpPr>
        <cdr:cNvPr id="3" name="TextBox 2">
          <a:extLst xmlns:a="http://schemas.openxmlformats.org/drawingml/2006/main">
            <a:ext uri="{FF2B5EF4-FFF2-40B4-BE49-F238E27FC236}">
              <a16:creationId xmlns:a16="http://schemas.microsoft.com/office/drawing/2014/main" id="{819D019F-0281-4610-B0C9-6181F7018AA9}"/>
            </a:ext>
          </a:extLst>
        </cdr:cNvPr>
        <cdr:cNvSpPr txBox="1"/>
      </cdr:nvSpPr>
      <cdr:spPr>
        <a:xfrm xmlns:a="http://schemas.openxmlformats.org/drawingml/2006/main">
          <a:off x="6350" y="301626"/>
          <a:ext cx="914400" cy="2857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ZA" sz="1100"/>
            <a:t>(R Million)</a:t>
          </a:r>
        </a:p>
      </cdr:txBody>
    </cdr:sp>
  </cdr:relSizeAnchor>
  <cdr:relSizeAnchor xmlns:cdr="http://schemas.openxmlformats.org/drawingml/2006/chartDrawing">
    <cdr:from>
      <cdr:x>0.49221</cdr:x>
      <cdr:y>0.90668</cdr:y>
    </cdr:from>
    <cdr:to>
      <cdr:x>0.67165</cdr:x>
      <cdr:y>0.99152</cdr:y>
    </cdr:to>
    <cdr:sp macro="" textlink="">
      <cdr:nvSpPr>
        <cdr:cNvPr id="4" name="TextBox 1">
          <a:extLst xmlns:a="http://schemas.openxmlformats.org/drawingml/2006/main">
            <a:ext uri="{FF2B5EF4-FFF2-40B4-BE49-F238E27FC236}">
              <a16:creationId xmlns:a16="http://schemas.microsoft.com/office/drawing/2014/main" id="{652FD978-8923-48DA-8F93-C6FA0298E12F}"/>
            </a:ext>
          </a:extLst>
        </cdr:cNvPr>
        <cdr:cNvSpPr txBox="1"/>
      </cdr:nvSpPr>
      <cdr:spPr>
        <a:xfrm xmlns:a="http://schemas.openxmlformats.org/drawingml/2006/main">
          <a:off x="2508219" y="2714616"/>
          <a:ext cx="914404" cy="25401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1100"/>
            <a:t>(Years)</a:t>
          </a:r>
        </a:p>
      </cdr:txBody>
    </cdr:sp>
  </cdr:relSizeAnchor>
  <cdr:relSizeAnchor xmlns:cdr="http://schemas.openxmlformats.org/drawingml/2006/chartDrawing">
    <cdr:from>
      <cdr:x>0.02243</cdr:x>
      <cdr:y>0.91516</cdr:y>
    </cdr:from>
    <cdr:to>
      <cdr:x>0.20187</cdr:x>
      <cdr:y>1</cdr:y>
    </cdr:to>
    <cdr:sp macro="" textlink="">
      <cdr:nvSpPr>
        <cdr:cNvPr id="5" name="TextBox 1">
          <a:extLst xmlns:a="http://schemas.openxmlformats.org/drawingml/2006/main">
            <a:ext uri="{FF2B5EF4-FFF2-40B4-BE49-F238E27FC236}">
              <a16:creationId xmlns:a16="http://schemas.microsoft.com/office/drawing/2014/main" id="{B1670A36-6D90-4B69-BCAC-58A05B184152}"/>
            </a:ext>
          </a:extLst>
        </cdr:cNvPr>
        <cdr:cNvSpPr txBox="1"/>
      </cdr:nvSpPr>
      <cdr:spPr>
        <a:xfrm xmlns:a="http://schemas.openxmlformats.org/drawingml/2006/main">
          <a:off x="114300" y="2740012"/>
          <a:ext cx="914404" cy="25401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900" i="1"/>
            <a:t>Source:</a:t>
          </a:r>
          <a:r>
            <a:rPr lang="en-ZA" sz="900" i="1" baseline="0"/>
            <a:t> etfSA.co.za/Profile Data</a:t>
          </a:r>
          <a:endParaRPr lang="en-ZA" sz="900" i="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6</Pages>
  <Words>2091</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Sherryl Fortuin</dc:creator>
  <cp:keywords/>
  <dc:description/>
  <cp:lastModifiedBy>Sherryl Fortuin</cp:lastModifiedBy>
  <cp:revision>29</cp:revision>
  <cp:lastPrinted>2019-10-11T11:12:00Z</cp:lastPrinted>
  <dcterms:created xsi:type="dcterms:W3CDTF">2019-10-09T11:35:00Z</dcterms:created>
  <dcterms:modified xsi:type="dcterms:W3CDTF">2019-10-11T11:13:00Z</dcterms:modified>
</cp:coreProperties>
</file>