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11661E15"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30 June</w:t>
      </w:r>
      <w:r w:rsidR="00870751">
        <w:rPr>
          <w:rFonts w:ascii="Verdana" w:hAnsi="Verdana"/>
          <w:sz w:val="24"/>
          <w:szCs w:val="24"/>
        </w:rPr>
        <w:t xml:space="preserve"> 201</w:t>
      </w:r>
      <w:r w:rsidR="007017CF">
        <w:rPr>
          <w:rFonts w:ascii="Verdana" w:hAnsi="Verdana"/>
          <w:sz w:val="24"/>
          <w:szCs w:val="24"/>
        </w:rPr>
        <w:t>9</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77777777" w:rsidR="005D7F9E" w:rsidRDefault="005D7F9E"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44EFDEEE" w:rsidR="00D72BC0" w:rsidRDefault="00F14ACA" w:rsidP="00CD37BB">
      <w:pPr>
        <w:spacing w:after="0" w:line="320" w:lineRule="atLeast"/>
        <w:jc w:val="both"/>
        <w:rPr>
          <w:rFonts w:ascii="Verdana" w:hAnsi="Verdana"/>
          <w:color w:val="000000" w:themeColor="text1"/>
          <w:sz w:val="21"/>
          <w:szCs w:val="21"/>
        </w:rPr>
      </w:pPr>
      <w:r>
        <w:rPr>
          <w:rFonts w:ascii="Verdana" w:hAnsi="Verdana"/>
          <w:color w:val="000000" w:themeColor="text1"/>
          <w:sz w:val="21"/>
          <w:szCs w:val="21"/>
        </w:rPr>
        <w:t>A</w:t>
      </w:r>
      <w:r w:rsidR="005248F6">
        <w:rPr>
          <w:rFonts w:ascii="Verdana" w:hAnsi="Verdana"/>
          <w:color w:val="000000" w:themeColor="text1"/>
          <w:sz w:val="21"/>
          <w:szCs w:val="21"/>
        </w:rPr>
        <w:t>t</w:t>
      </w:r>
      <w:r>
        <w:rPr>
          <w:rFonts w:ascii="Verdana" w:hAnsi="Verdana"/>
          <w:color w:val="000000" w:themeColor="text1"/>
          <w:sz w:val="21"/>
          <w:szCs w:val="21"/>
        </w:rPr>
        <w:t xml:space="preserve"> the end</w:t>
      </w:r>
      <w:r w:rsidR="003C6031">
        <w:rPr>
          <w:rFonts w:ascii="Verdana" w:hAnsi="Verdana"/>
          <w:color w:val="000000" w:themeColor="text1"/>
          <w:sz w:val="21"/>
          <w:szCs w:val="21"/>
        </w:rPr>
        <w:t>-June</w:t>
      </w:r>
      <w:r>
        <w:rPr>
          <w:rFonts w:ascii="Verdana" w:hAnsi="Verdana"/>
          <w:color w:val="000000" w:themeColor="text1"/>
          <w:sz w:val="21"/>
          <w:szCs w:val="21"/>
        </w:rPr>
        <w:t xml:space="preserve"> 201</w:t>
      </w:r>
      <w:r w:rsidR="007017CF">
        <w:rPr>
          <w:rFonts w:ascii="Verdana" w:hAnsi="Verdana"/>
          <w:color w:val="000000" w:themeColor="text1"/>
          <w:sz w:val="21"/>
          <w:szCs w:val="21"/>
        </w:rPr>
        <w:t>9</w:t>
      </w:r>
      <w:r>
        <w:rPr>
          <w:rFonts w:ascii="Verdana" w:hAnsi="Verdana"/>
          <w:color w:val="000000" w:themeColor="text1"/>
          <w:sz w:val="21"/>
          <w:szCs w:val="21"/>
        </w:rPr>
        <w:t xml:space="preserve">, the </w:t>
      </w:r>
      <w:r w:rsidR="005248F6">
        <w:rPr>
          <w:rFonts w:ascii="Verdana" w:hAnsi="Verdana"/>
          <w:color w:val="000000" w:themeColor="text1"/>
          <w:sz w:val="21"/>
          <w:szCs w:val="21"/>
        </w:rPr>
        <w:t xml:space="preserve">total </w:t>
      </w:r>
      <w:r>
        <w:rPr>
          <w:rFonts w:ascii="Verdana" w:hAnsi="Verdana"/>
          <w:color w:val="000000" w:themeColor="text1"/>
          <w:sz w:val="21"/>
          <w:szCs w:val="21"/>
        </w:rPr>
        <w:t xml:space="preserve">market capitalisation of </w:t>
      </w:r>
      <w:r w:rsidR="007028A0">
        <w:rPr>
          <w:rFonts w:ascii="Verdana" w:hAnsi="Verdana"/>
          <w:color w:val="000000" w:themeColor="text1"/>
          <w:sz w:val="21"/>
          <w:szCs w:val="21"/>
        </w:rPr>
        <w:t xml:space="preserve">all </w:t>
      </w:r>
      <w:r w:rsidR="003C6031">
        <w:rPr>
          <w:rFonts w:ascii="Verdana" w:hAnsi="Verdana"/>
          <w:color w:val="000000" w:themeColor="text1"/>
          <w:sz w:val="21"/>
          <w:szCs w:val="21"/>
        </w:rPr>
        <w:t xml:space="preserve">the listed Exchange Traded Products in South Africa </w:t>
      </w:r>
      <w:r w:rsidR="005135D4">
        <w:rPr>
          <w:rFonts w:ascii="Verdana" w:hAnsi="Verdana"/>
          <w:color w:val="000000" w:themeColor="text1"/>
          <w:sz w:val="21"/>
          <w:szCs w:val="21"/>
        </w:rPr>
        <w:t xml:space="preserve">amounted </w:t>
      </w:r>
      <w:r>
        <w:rPr>
          <w:rFonts w:ascii="Verdana" w:hAnsi="Verdana"/>
          <w:color w:val="000000" w:themeColor="text1"/>
          <w:sz w:val="21"/>
          <w:szCs w:val="21"/>
        </w:rPr>
        <w:t>to R</w:t>
      </w:r>
      <w:r w:rsidR="007017CF">
        <w:rPr>
          <w:rFonts w:ascii="Verdana" w:hAnsi="Verdana"/>
          <w:color w:val="000000" w:themeColor="text1"/>
          <w:sz w:val="21"/>
          <w:szCs w:val="21"/>
        </w:rPr>
        <w:t>9</w:t>
      </w:r>
      <w:r w:rsidR="003C6031">
        <w:rPr>
          <w:rFonts w:ascii="Verdana" w:hAnsi="Verdana"/>
          <w:color w:val="000000" w:themeColor="text1"/>
          <w:sz w:val="21"/>
          <w:szCs w:val="21"/>
        </w:rPr>
        <w:t>1</w:t>
      </w:r>
      <w:r>
        <w:rPr>
          <w:rFonts w:ascii="Verdana" w:hAnsi="Verdana"/>
          <w:color w:val="000000" w:themeColor="text1"/>
          <w:sz w:val="21"/>
          <w:szCs w:val="21"/>
        </w:rPr>
        <w:t>,</w:t>
      </w:r>
      <w:r w:rsidR="003C6031">
        <w:rPr>
          <w:rFonts w:ascii="Verdana" w:hAnsi="Verdana"/>
          <w:color w:val="000000" w:themeColor="text1"/>
          <w:sz w:val="21"/>
          <w:szCs w:val="21"/>
        </w:rPr>
        <w:t>3</w:t>
      </w:r>
      <w:r>
        <w:rPr>
          <w:rFonts w:ascii="Verdana" w:hAnsi="Verdana"/>
          <w:color w:val="000000" w:themeColor="text1"/>
          <w:sz w:val="21"/>
          <w:szCs w:val="21"/>
        </w:rPr>
        <w:t xml:space="preserve"> billion.  This </w:t>
      </w:r>
      <w:r w:rsidR="003C6031">
        <w:rPr>
          <w:rFonts w:ascii="Verdana" w:hAnsi="Verdana"/>
          <w:color w:val="000000" w:themeColor="text1"/>
          <w:sz w:val="21"/>
          <w:szCs w:val="21"/>
        </w:rPr>
        <w:t xml:space="preserve">implies a substantial increase </w:t>
      </w:r>
      <w:r w:rsidR="007153E8">
        <w:rPr>
          <w:rFonts w:ascii="Verdana" w:hAnsi="Verdana"/>
          <w:color w:val="000000" w:themeColor="text1"/>
          <w:sz w:val="21"/>
          <w:szCs w:val="21"/>
        </w:rPr>
        <w:t>from</w:t>
      </w:r>
      <w:r w:rsidR="003C6031">
        <w:rPr>
          <w:rFonts w:ascii="Verdana" w:hAnsi="Verdana"/>
          <w:color w:val="000000" w:themeColor="text1"/>
          <w:sz w:val="21"/>
          <w:szCs w:val="21"/>
        </w:rPr>
        <w:t xml:space="preserve"> the total market capitalisation of R77,8 billion at the end of 2018, </w:t>
      </w:r>
      <w:bookmarkStart w:id="0" w:name="_GoBack"/>
      <w:bookmarkEnd w:id="0"/>
      <w:r w:rsidR="003C6031">
        <w:rPr>
          <w:rFonts w:ascii="Verdana" w:hAnsi="Verdana"/>
          <w:color w:val="000000" w:themeColor="text1"/>
          <w:sz w:val="21"/>
          <w:szCs w:val="21"/>
        </w:rPr>
        <w:t>a rise of 17,4%</w:t>
      </w:r>
      <w:r>
        <w:rPr>
          <w:rFonts w:ascii="Verdana" w:hAnsi="Verdana"/>
          <w:color w:val="000000" w:themeColor="text1"/>
          <w:sz w:val="21"/>
          <w:szCs w:val="21"/>
        </w:rPr>
        <w:t xml:space="preserve">. </w:t>
      </w:r>
    </w:p>
    <w:p w14:paraId="07AF6E62" w14:textId="702A6942"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7596"/>
      </w:tblGrid>
      <w:tr w:rsidR="00F411F7" w14:paraId="02D18F07" w14:textId="77777777" w:rsidTr="007153E8">
        <w:tc>
          <w:tcPr>
            <w:tcW w:w="2595" w:type="dxa"/>
            <w:vAlign w:val="center"/>
          </w:tcPr>
          <w:p w14:paraId="1EC26A6C" w14:textId="421F5016" w:rsidR="00D826DB" w:rsidRDefault="00F411F7" w:rsidP="00CD37BB">
            <w:pPr>
              <w:spacing w:line="320" w:lineRule="atLeast"/>
              <w:rPr>
                <w:rFonts w:ascii="Verdana" w:hAnsi="Verdana"/>
                <w:color w:val="000000" w:themeColor="text1"/>
                <w:sz w:val="21"/>
                <w:szCs w:val="21"/>
              </w:rPr>
            </w:pPr>
            <w:r>
              <w:rPr>
                <w:rFonts w:ascii="Verdana" w:hAnsi="Verdana"/>
                <w:color w:val="000000" w:themeColor="text1"/>
                <w:sz w:val="21"/>
                <w:szCs w:val="21"/>
              </w:rPr>
              <w:t xml:space="preserve">This jump in the overall size of the South African ETP industry stems from some market recovery - the FTSE/JSE All Share index rose by 12,8% in the first six months of 2019 – but also reflects R5,1 billion in new capital raised by the industry in the past 6 months. </w:t>
            </w:r>
          </w:p>
        </w:tc>
        <w:tc>
          <w:tcPr>
            <w:tcW w:w="7326" w:type="dxa"/>
            <w:vAlign w:val="center"/>
          </w:tcPr>
          <w:p w14:paraId="237962D7" w14:textId="33FB0DF0" w:rsidR="00D826DB" w:rsidRDefault="007153E8" w:rsidP="00F411F7">
            <w:pPr>
              <w:spacing w:line="340" w:lineRule="atLeast"/>
              <w:jc w:val="right"/>
              <w:rPr>
                <w:rFonts w:ascii="Verdana" w:hAnsi="Verdana"/>
                <w:color w:val="000000" w:themeColor="text1"/>
                <w:sz w:val="21"/>
                <w:szCs w:val="21"/>
              </w:rPr>
            </w:pPr>
            <w:r>
              <w:rPr>
                <w:noProof/>
              </w:rPr>
              <w:drawing>
                <wp:inline distT="0" distB="0" distL="0" distR="0" wp14:anchorId="415284B5" wp14:editId="6F57FA25">
                  <wp:extent cx="4683125" cy="2933700"/>
                  <wp:effectExtent l="0" t="0" r="3175" b="0"/>
                  <wp:docPr id="4" name="Chart 4">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1E714AD5" w14:textId="4FD59B1F" w:rsidR="00083E17" w:rsidRDefault="00083E17" w:rsidP="00CD37BB">
      <w:pPr>
        <w:spacing w:after="0" w:line="320" w:lineRule="atLeast"/>
        <w:jc w:val="both"/>
        <w:rPr>
          <w:rFonts w:ascii="Verdana" w:hAnsi="Verdana"/>
          <w:color w:val="000000" w:themeColor="text1"/>
          <w:sz w:val="21"/>
          <w:szCs w:val="21"/>
        </w:rPr>
      </w:pPr>
    </w:p>
    <w:p w14:paraId="7C99C60C" w14:textId="77777777" w:rsidR="005F72F5" w:rsidRDefault="005F72F5" w:rsidP="00CD37BB">
      <w:pPr>
        <w:spacing w:after="0" w:line="320" w:lineRule="atLeast"/>
        <w:jc w:val="both"/>
        <w:rPr>
          <w:rFonts w:ascii="Verdana" w:hAnsi="Verdana"/>
          <w:color w:val="000000" w:themeColor="text1"/>
          <w:sz w:val="21"/>
          <w:szCs w:val="21"/>
        </w:rPr>
      </w:pPr>
    </w:p>
    <w:p w14:paraId="6B7A6171" w14:textId="31509AA9" w:rsidR="004B0713" w:rsidRPr="003A3D19" w:rsidRDefault="00B5062D" w:rsidP="00CD37BB">
      <w:pPr>
        <w:spacing w:after="0" w:line="320" w:lineRule="atLeast"/>
        <w:jc w:val="both"/>
        <w:rPr>
          <w:rFonts w:ascii="Verdana" w:hAnsi="Verdana"/>
          <w:b/>
          <w:color w:val="C00000"/>
          <w:sz w:val="24"/>
          <w:szCs w:val="24"/>
        </w:rPr>
      </w:pPr>
      <w:r>
        <w:rPr>
          <w:rFonts w:ascii="Verdana" w:hAnsi="Verdana"/>
          <w:b/>
          <w:color w:val="C00000"/>
          <w:sz w:val="24"/>
          <w:szCs w:val="24"/>
        </w:rPr>
        <w:t>New Capital Raised</w:t>
      </w:r>
    </w:p>
    <w:p w14:paraId="7ABECEE6" w14:textId="23A4DF42" w:rsidR="00A94957" w:rsidRDefault="00AF734A" w:rsidP="00CD37BB">
      <w:pPr>
        <w:spacing w:after="0" w:line="320" w:lineRule="atLeast"/>
        <w:rPr>
          <w:rFonts w:ascii="Verdana" w:hAnsi="Verdana"/>
          <w:color w:val="000000"/>
          <w:sz w:val="21"/>
          <w:szCs w:val="21"/>
        </w:rPr>
      </w:pPr>
      <w:r>
        <w:rPr>
          <w:rFonts w:ascii="Verdana" w:hAnsi="Verdana"/>
          <w:color w:val="000000"/>
          <w:sz w:val="21"/>
          <w:szCs w:val="21"/>
        </w:rPr>
        <w:t>The R1</w:t>
      </w:r>
      <w:r w:rsidR="00F411F7">
        <w:rPr>
          <w:rFonts w:ascii="Verdana" w:hAnsi="Verdana"/>
          <w:color w:val="000000"/>
          <w:sz w:val="21"/>
          <w:szCs w:val="21"/>
        </w:rPr>
        <w:t>3</w:t>
      </w:r>
      <w:r>
        <w:rPr>
          <w:rFonts w:ascii="Verdana" w:hAnsi="Verdana"/>
          <w:color w:val="000000"/>
          <w:sz w:val="21"/>
          <w:szCs w:val="21"/>
        </w:rPr>
        <w:t xml:space="preserve">,5 billion </w:t>
      </w:r>
      <w:r w:rsidR="00F411F7">
        <w:rPr>
          <w:rFonts w:ascii="Verdana" w:hAnsi="Verdana"/>
          <w:color w:val="000000"/>
          <w:sz w:val="21"/>
          <w:szCs w:val="21"/>
        </w:rPr>
        <w:t>increase in the market capitalisation of all ETFs and ETNs, listed on the JSE, during the first half of 2019, was largely a function of the general revival in equity markets</w:t>
      </w:r>
      <w:r w:rsidR="00DC1373">
        <w:rPr>
          <w:rFonts w:ascii="Verdana" w:hAnsi="Verdana"/>
          <w:color w:val="000000"/>
          <w:sz w:val="21"/>
          <w:szCs w:val="21"/>
        </w:rPr>
        <w:t xml:space="preserve">. </w:t>
      </w:r>
    </w:p>
    <w:p w14:paraId="7C8293A5" w14:textId="386726D7" w:rsidR="00DC1373" w:rsidRDefault="00DC1373" w:rsidP="00CD37BB">
      <w:pPr>
        <w:spacing w:after="0" w:line="320" w:lineRule="atLeast"/>
        <w:rPr>
          <w:rFonts w:ascii="Verdana" w:hAnsi="Verdana"/>
          <w:color w:val="000000"/>
          <w:sz w:val="21"/>
          <w:szCs w:val="21"/>
        </w:rPr>
      </w:pPr>
    </w:p>
    <w:p w14:paraId="0039D1B2" w14:textId="5BDD8F92" w:rsidR="00B5062D" w:rsidRDefault="00DC1373" w:rsidP="00CD37BB">
      <w:pPr>
        <w:spacing w:after="0" w:line="320" w:lineRule="atLeast"/>
        <w:rPr>
          <w:rFonts w:ascii="Verdana" w:hAnsi="Verdana"/>
          <w:color w:val="000000"/>
          <w:sz w:val="21"/>
          <w:szCs w:val="21"/>
        </w:rPr>
      </w:pPr>
      <w:r>
        <w:rPr>
          <w:rFonts w:ascii="Verdana" w:hAnsi="Verdana"/>
          <w:color w:val="000000"/>
          <w:sz w:val="21"/>
          <w:szCs w:val="21"/>
        </w:rPr>
        <w:t>However, th</w:t>
      </w:r>
      <w:r w:rsidR="000C1ACB">
        <w:rPr>
          <w:rFonts w:ascii="Verdana" w:hAnsi="Verdana"/>
          <w:color w:val="000000"/>
          <w:sz w:val="21"/>
          <w:szCs w:val="21"/>
        </w:rPr>
        <w:t>e</w:t>
      </w:r>
      <w:r>
        <w:rPr>
          <w:rFonts w:ascii="Verdana" w:hAnsi="Verdana"/>
          <w:color w:val="000000"/>
          <w:sz w:val="21"/>
          <w:szCs w:val="21"/>
        </w:rPr>
        <w:t xml:space="preserve">re was </w:t>
      </w:r>
      <w:r w:rsidR="005F72F5">
        <w:rPr>
          <w:rFonts w:ascii="Verdana" w:hAnsi="Verdana"/>
          <w:color w:val="000000"/>
          <w:sz w:val="21"/>
          <w:szCs w:val="21"/>
        </w:rPr>
        <w:t xml:space="preserve">also </w:t>
      </w:r>
      <w:r>
        <w:rPr>
          <w:rFonts w:ascii="Verdana" w:hAnsi="Verdana"/>
          <w:color w:val="000000"/>
          <w:sz w:val="21"/>
          <w:szCs w:val="21"/>
        </w:rPr>
        <w:t xml:space="preserve">a </w:t>
      </w:r>
      <w:r w:rsidR="005F72F5">
        <w:rPr>
          <w:rFonts w:ascii="Verdana" w:hAnsi="Verdana"/>
          <w:color w:val="000000"/>
          <w:sz w:val="21"/>
          <w:szCs w:val="21"/>
        </w:rPr>
        <w:t xml:space="preserve">sum </w:t>
      </w:r>
      <w:r>
        <w:rPr>
          <w:rFonts w:ascii="Verdana" w:hAnsi="Verdana"/>
          <w:color w:val="000000"/>
          <w:sz w:val="21"/>
          <w:szCs w:val="21"/>
        </w:rPr>
        <w:t>of R5</w:t>
      </w:r>
      <w:r w:rsidR="00F411F7">
        <w:rPr>
          <w:rFonts w:ascii="Verdana" w:hAnsi="Verdana"/>
          <w:color w:val="000000"/>
          <w:sz w:val="21"/>
          <w:szCs w:val="21"/>
        </w:rPr>
        <w:t>,1</w:t>
      </w:r>
      <w:r>
        <w:rPr>
          <w:rFonts w:ascii="Verdana" w:hAnsi="Verdana"/>
          <w:color w:val="000000"/>
          <w:sz w:val="21"/>
          <w:szCs w:val="21"/>
        </w:rPr>
        <w:t xml:space="preserve"> </w:t>
      </w:r>
      <w:r w:rsidR="00F411F7">
        <w:rPr>
          <w:rFonts w:ascii="Verdana" w:hAnsi="Verdana"/>
          <w:color w:val="000000"/>
          <w:sz w:val="21"/>
          <w:szCs w:val="21"/>
        </w:rPr>
        <w:t>b</w:t>
      </w:r>
      <w:r>
        <w:rPr>
          <w:rFonts w:ascii="Verdana" w:hAnsi="Verdana"/>
          <w:color w:val="000000"/>
          <w:sz w:val="21"/>
          <w:szCs w:val="21"/>
        </w:rPr>
        <w:t xml:space="preserve">illion </w:t>
      </w:r>
      <w:r w:rsidR="00F411F7">
        <w:rPr>
          <w:rFonts w:ascii="Verdana" w:hAnsi="Verdana"/>
          <w:color w:val="000000"/>
          <w:sz w:val="21"/>
          <w:szCs w:val="21"/>
        </w:rPr>
        <w:t xml:space="preserve">capital </w:t>
      </w:r>
      <w:r w:rsidR="005F72F5">
        <w:rPr>
          <w:rFonts w:ascii="Verdana" w:hAnsi="Verdana"/>
          <w:color w:val="000000"/>
          <w:sz w:val="21"/>
          <w:szCs w:val="21"/>
        </w:rPr>
        <w:t xml:space="preserve">raised </w:t>
      </w:r>
      <w:r w:rsidR="00F411F7">
        <w:rPr>
          <w:rFonts w:ascii="Verdana" w:hAnsi="Verdana"/>
          <w:color w:val="000000"/>
          <w:sz w:val="21"/>
          <w:szCs w:val="21"/>
        </w:rPr>
        <w:t xml:space="preserve">by </w:t>
      </w:r>
      <w:r w:rsidR="00DB6EB9">
        <w:rPr>
          <w:rFonts w:ascii="Verdana" w:hAnsi="Verdana"/>
          <w:color w:val="000000"/>
          <w:sz w:val="21"/>
          <w:szCs w:val="21"/>
        </w:rPr>
        <w:t xml:space="preserve">the issue of new ETP securities during the period.  ETFs and ETNs are open-ended instruments  and the primary issuers of such products can list or redeem securities at any stage to </w:t>
      </w:r>
      <w:r w:rsidR="007153E8">
        <w:rPr>
          <w:rFonts w:ascii="Verdana" w:hAnsi="Verdana"/>
          <w:color w:val="000000"/>
          <w:sz w:val="21"/>
          <w:szCs w:val="21"/>
        </w:rPr>
        <w:t xml:space="preserve">meet </w:t>
      </w:r>
      <w:r w:rsidR="00DB6EB9">
        <w:rPr>
          <w:rFonts w:ascii="Verdana" w:hAnsi="Verdana"/>
          <w:color w:val="000000"/>
          <w:sz w:val="21"/>
          <w:szCs w:val="21"/>
        </w:rPr>
        <w:t>market demand.</w:t>
      </w:r>
      <w:r w:rsidR="00D040F4">
        <w:rPr>
          <w:rFonts w:ascii="Verdana" w:hAnsi="Verdana"/>
          <w:color w:val="000000"/>
          <w:sz w:val="21"/>
          <w:szCs w:val="21"/>
        </w:rPr>
        <w:t xml:space="preserve"> </w:t>
      </w:r>
    </w:p>
    <w:p w14:paraId="19076BE8" w14:textId="4CC3678A" w:rsidR="00DB6EB9" w:rsidRDefault="00DB6EB9" w:rsidP="00CD37BB">
      <w:pPr>
        <w:spacing w:after="0" w:line="320" w:lineRule="atLeast"/>
        <w:rPr>
          <w:rFonts w:ascii="Verdana" w:hAnsi="Verdana"/>
          <w:color w:val="000000"/>
          <w:sz w:val="21"/>
          <w:szCs w:val="21"/>
        </w:rPr>
      </w:pPr>
    </w:p>
    <w:p w14:paraId="09BD3BDF" w14:textId="7E78259A" w:rsidR="00CD37BB" w:rsidRDefault="00DB6EB9" w:rsidP="007153E8">
      <w:pPr>
        <w:spacing w:after="0" w:line="320" w:lineRule="atLeast"/>
        <w:rPr>
          <w:rFonts w:ascii="Verdana" w:hAnsi="Verdana"/>
          <w:color w:val="000000"/>
          <w:sz w:val="21"/>
          <w:szCs w:val="21"/>
        </w:rPr>
      </w:pPr>
      <w:r>
        <w:rPr>
          <w:rFonts w:ascii="Verdana" w:hAnsi="Verdana"/>
          <w:color w:val="000000"/>
          <w:sz w:val="21"/>
          <w:szCs w:val="21"/>
        </w:rPr>
        <w:t xml:space="preserve">The main issuer of new ETF securities in the past 6 months was </w:t>
      </w:r>
      <w:r w:rsidR="003C278D">
        <w:rPr>
          <w:rFonts w:ascii="Verdana" w:hAnsi="Verdana"/>
          <w:color w:val="000000"/>
          <w:sz w:val="21"/>
          <w:szCs w:val="21"/>
        </w:rPr>
        <w:t xml:space="preserve">Absa </w:t>
      </w:r>
      <w:r w:rsidR="00137500">
        <w:rPr>
          <w:rFonts w:ascii="Verdana" w:hAnsi="Verdana"/>
          <w:color w:val="000000"/>
          <w:sz w:val="21"/>
          <w:szCs w:val="21"/>
        </w:rPr>
        <w:t xml:space="preserve">NewGold </w:t>
      </w:r>
      <w:r w:rsidR="00932B35">
        <w:rPr>
          <w:rFonts w:ascii="Verdana" w:hAnsi="Verdana"/>
          <w:color w:val="000000"/>
          <w:sz w:val="21"/>
          <w:szCs w:val="21"/>
        </w:rPr>
        <w:t>with</w:t>
      </w:r>
      <w:r w:rsidR="00137500">
        <w:rPr>
          <w:rFonts w:ascii="Verdana" w:hAnsi="Verdana"/>
          <w:color w:val="000000"/>
          <w:sz w:val="21"/>
          <w:szCs w:val="21"/>
        </w:rPr>
        <w:t xml:space="preserve"> the New Platinum ETF, which tracks the rand price of physical platinum bullion.  R4,1 billion additional NewPlatinum ETFs were issued in this period, apparently reflecting a belief in the </w:t>
      </w:r>
      <w:r w:rsidR="007153E8">
        <w:rPr>
          <w:rFonts w:ascii="Verdana" w:hAnsi="Verdana"/>
          <w:color w:val="000000"/>
          <w:sz w:val="21"/>
          <w:szCs w:val="21"/>
        </w:rPr>
        <w:t>local</w:t>
      </w:r>
      <w:r w:rsidR="00137500">
        <w:rPr>
          <w:rFonts w:ascii="Verdana" w:hAnsi="Verdana"/>
          <w:color w:val="000000"/>
          <w:sz w:val="21"/>
          <w:szCs w:val="21"/>
        </w:rPr>
        <w:t xml:space="preserve"> markets that there might be some catch up  in the platinum price with other PGM metals, like Palladium and Rhodium.  However, this has not eventuated and, whil</w:t>
      </w:r>
      <w:r w:rsidR="007153E8">
        <w:rPr>
          <w:rFonts w:ascii="Verdana" w:hAnsi="Verdana"/>
          <w:color w:val="000000"/>
          <w:sz w:val="21"/>
          <w:szCs w:val="21"/>
        </w:rPr>
        <w:t>st</w:t>
      </w:r>
      <w:r w:rsidR="00137500">
        <w:rPr>
          <w:rFonts w:ascii="Verdana" w:hAnsi="Verdana"/>
          <w:color w:val="000000"/>
          <w:sz w:val="21"/>
          <w:szCs w:val="21"/>
        </w:rPr>
        <w:t xml:space="preserve"> the Palladium and Rhodium ETFs, available on the JSE, continue to move up to record highs, platinum ETF prices have stagnated.  It would appear that the scarcity of the other PGMs, relative to </w:t>
      </w:r>
      <w:r w:rsidR="00932B35">
        <w:rPr>
          <w:rFonts w:ascii="Verdana" w:hAnsi="Verdana"/>
          <w:color w:val="000000"/>
          <w:sz w:val="21"/>
          <w:szCs w:val="21"/>
        </w:rPr>
        <w:t>platinum,</w:t>
      </w:r>
      <w:r w:rsidR="00137500">
        <w:rPr>
          <w:rFonts w:ascii="Verdana" w:hAnsi="Verdana"/>
          <w:color w:val="000000"/>
          <w:sz w:val="21"/>
          <w:szCs w:val="21"/>
        </w:rPr>
        <w:t xml:space="preserve"> which is still in oversupply, </w:t>
      </w:r>
      <w:r w:rsidR="007153E8">
        <w:rPr>
          <w:rFonts w:ascii="Verdana" w:hAnsi="Verdana"/>
          <w:color w:val="000000"/>
          <w:sz w:val="21"/>
          <w:szCs w:val="21"/>
        </w:rPr>
        <w:t>might be</w:t>
      </w:r>
      <w:r w:rsidR="00137500">
        <w:rPr>
          <w:rFonts w:ascii="Verdana" w:hAnsi="Verdana"/>
          <w:color w:val="000000"/>
          <w:sz w:val="21"/>
          <w:szCs w:val="21"/>
        </w:rPr>
        <w:t xml:space="preserve"> the key fundamental determinant of the prices of such precious metals. </w:t>
      </w:r>
      <w:r w:rsidR="00CD37BB">
        <w:rPr>
          <w:rFonts w:ascii="Verdana" w:hAnsi="Verdana"/>
          <w:color w:val="000000"/>
          <w:sz w:val="21"/>
          <w:szCs w:val="21"/>
        </w:rPr>
        <w:br w:type="page"/>
      </w:r>
    </w:p>
    <w:p w14:paraId="2365AA1E" w14:textId="77777777" w:rsidR="00137500" w:rsidRDefault="00137500" w:rsidP="00CD37BB">
      <w:pPr>
        <w:spacing w:after="0" w:line="320" w:lineRule="atLeast"/>
        <w:rPr>
          <w:rFonts w:ascii="Verdana" w:hAnsi="Verdana"/>
          <w:color w:val="000000"/>
          <w:sz w:val="21"/>
          <w:szCs w:val="21"/>
        </w:rPr>
      </w:pPr>
    </w:p>
    <w:p w14:paraId="3245E848" w14:textId="7EBEA839" w:rsidR="00137500" w:rsidRDefault="00137500" w:rsidP="00AB779B">
      <w:pPr>
        <w:spacing w:after="0" w:line="340" w:lineRule="atLeast"/>
        <w:rPr>
          <w:rFonts w:ascii="Verdana" w:hAnsi="Verdana"/>
          <w:color w:val="000000"/>
          <w:sz w:val="21"/>
          <w:szCs w:val="21"/>
        </w:rPr>
      </w:pPr>
      <w:r>
        <w:rPr>
          <w:rFonts w:ascii="Verdana" w:hAnsi="Verdana"/>
          <w:color w:val="000000"/>
          <w:sz w:val="21"/>
          <w:szCs w:val="21"/>
        </w:rPr>
        <w:t>Satrix Managers, now with 15 ETFs in issue, continue</w:t>
      </w:r>
      <w:r w:rsidR="009E06CC">
        <w:rPr>
          <w:rFonts w:ascii="Verdana" w:hAnsi="Verdana"/>
          <w:color w:val="000000"/>
          <w:sz w:val="21"/>
          <w:szCs w:val="21"/>
        </w:rPr>
        <w:t>d</w:t>
      </w:r>
      <w:r>
        <w:rPr>
          <w:rFonts w:ascii="Verdana" w:hAnsi="Verdana"/>
          <w:color w:val="000000"/>
          <w:sz w:val="21"/>
          <w:szCs w:val="21"/>
        </w:rPr>
        <w:t xml:space="preserve"> to bring in new capital in the 6 months to June 2019.  A total R1 671,3 million new ETFs were issued by Satrix over this period, mostly in the offshore ETFs they now offer, notably the Satrix S&amp;P 500 ETF and the Satrix World ETF.  Despite the good recovery in SA equity indices to date in 2019, this has not </w:t>
      </w:r>
      <w:r w:rsidR="00AB779B">
        <w:rPr>
          <w:rFonts w:ascii="Verdana" w:hAnsi="Verdana"/>
          <w:color w:val="000000"/>
          <w:sz w:val="21"/>
          <w:szCs w:val="21"/>
        </w:rPr>
        <w:t xml:space="preserve">translated into strong demand for the South Africa equity-listed ETFs, issued by Satrix. </w:t>
      </w:r>
    </w:p>
    <w:p w14:paraId="0D2FCB7A" w14:textId="7D9DB89F" w:rsidR="00AB779B" w:rsidRDefault="00AB779B" w:rsidP="00AB779B">
      <w:pPr>
        <w:spacing w:after="0" w:line="340" w:lineRule="atLeast"/>
        <w:rPr>
          <w:rFonts w:ascii="Verdana" w:hAnsi="Verdana"/>
          <w:color w:val="000000"/>
          <w:sz w:val="21"/>
          <w:szCs w:val="21"/>
        </w:rPr>
      </w:pPr>
    </w:p>
    <w:p w14:paraId="26C09989" w14:textId="0CD757EF" w:rsidR="00AB779B" w:rsidRDefault="00AB779B" w:rsidP="00AB779B">
      <w:pPr>
        <w:spacing w:after="0" w:line="340" w:lineRule="atLeast"/>
        <w:rPr>
          <w:rFonts w:ascii="Verdana" w:hAnsi="Verdana"/>
          <w:color w:val="000000"/>
          <w:sz w:val="21"/>
          <w:szCs w:val="21"/>
        </w:rPr>
      </w:pPr>
      <w:r>
        <w:rPr>
          <w:rFonts w:ascii="Verdana" w:hAnsi="Verdana"/>
          <w:color w:val="000000"/>
          <w:sz w:val="21"/>
          <w:szCs w:val="21"/>
        </w:rPr>
        <w:t xml:space="preserve">Sygnia Itrix, which had led the way in new listings of ETFs </w:t>
      </w:r>
      <w:r w:rsidR="009E06CC">
        <w:rPr>
          <w:rFonts w:ascii="Verdana" w:hAnsi="Verdana"/>
          <w:color w:val="000000"/>
          <w:sz w:val="21"/>
          <w:szCs w:val="21"/>
        </w:rPr>
        <w:t xml:space="preserve">in </w:t>
      </w:r>
      <w:r>
        <w:rPr>
          <w:rFonts w:ascii="Verdana" w:hAnsi="Verdana"/>
          <w:color w:val="000000"/>
          <w:sz w:val="21"/>
          <w:szCs w:val="21"/>
        </w:rPr>
        <w:t xml:space="preserve">2018m has suffered a net redemption of R523 million in the ETFs it has in issue on the JSE during the past 6 months.  It would appear that some profit taking in certain global ETFs, issued by Sygnia Itrix, has occurred.  </w:t>
      </w:r>
    </w:p>
    <w:p w14:paraId="2E564C8C" w14:textId="1863313E" w:rsidR="00D040F4" w:rsidRDefault="00D040F4" w:rsidP="00AB779B">
      <w:pPr>
        <w:spacing w:after="0" w:line="340" w:lineRule="atLeast"/>
        <w:rPr>
          <w:rFonts w:ascii="Verdana" w:hAnsi="Verdana"/>
          <w:color w:val="000000"/>
          <w:sz w:val="21"/>
          <w:szCs w:val="21"/>
        </w:rPr>
      </w:pPr>
    </w:p>
    <w:p w14:paraId="3064E454" w14:textId="77777777" w:rsidR="00A029E7" w:rsidRDefault="00A029E7" w:rsidP="00083E17">
      <w:pPr>
        <w:spacing w:after="0" w:line="360" w:lineRule="atLeast"/>
        <w:rPr>
          <w:rFonts w:ascii="Verdana" w:hAnsi="Verdana"/>
          <w:color w:val="000000"/>
          <w:sz w:val="21"/>
          <w:szCs w:val="21"/>
        </w:rPr>
      </w:pPr>
    </w:p>
    <w:p w14:paraId="691AD8A7" w14:textId="6D5AE0CB" w:rsidR="00A029E7" w:rsidRPr="003A3D19" w:rsidRDefault="00A029E7" w:rsidP="00A029E7">
      <w:pPr>
        <w:spacing w:after="0" w:line="240" w:lineRule="auto"/>
        <w:jc w:val="both"/>
        <w:rPr>
          <w:rFonts w:ascii="Verdana" w:hAnsi="Verdana"/>
          <w:b/>
          <w:color w:val="C00000"/>
          <w:sz w:val="24"/>
          <w:szCs w:val="24"/>
        </w:rPr>
      </w:pPr>
      <w:r>
        <w:rPr>
          <w:rFonts w:ascii="Verdana" w:hAnsi="Verdana"/>
          <w:b/>
          <w:color w:val="C00000"/>
          <w:sz w:val="24"/>
          <w:szCs w:val="24"/>
        </w:rPr>
        <w:t>The South African ETP Industry as at 3</w:t>
      </w:r>
      <w:r w:rsidR="00AB779B">
        <w:rPr>
          <w:rFonts w:ascii="Verdana" w:hAnsi="Verdana"/>
          <w:b/>
          <w:color w:val="C00000"/>
          <w:sz w:val="24"/>
          <w:szCs w:val="24"/>
        </w:rPr>
        <w:t>0</w:t>
      </w:r>
      <w:r>
        <w:rPr>
          <w:rFonts w:ascii="Verdana" w:hAnsi="Verdana"/>
          <w:b/>
          <w:color w:val="C00000"/>
          <w:sz w:val="24"/>
          <w:szCs w:val="24"/>
        </w:rPr>
        <w:t xml:space="preserve"> </w:t>
      </w:r>
      <w:r w:rsidR="00AB779B">
        <w:rPr>
          <w:rFonts w:ascii="Verdana" w:hAnsi="Verdana"/>
          <w:b/>
          <w:color w:val="C00000"/>
          <w:sz w:val="24"/>
          <w:szCs w:val="24"/>
        </w:rPr>
        <w:t>June</w:t>
      </w:r>
      <w:r>
        <w:rPr>
          <w:rFonts w:ascii="Verdana" w:hAnsi="Verdana"/>
          <w:b/>
          <w:color w:val="C00000"/>
          <w:sz w:val="24"/>
          <w:szCs w:val="24"/>
        </w:rPr>
        <w:t xml:space="preserve"> 2019</w:t>
      </w:r>
    </w:p>
    <w:p w14:paraId="06F110B6" w14:textId="2ACB520E" w:rsidR="00A029E7" w:rsidRDefault="00A029E7" w:rsidP="00A029E7">
      <w:pPr>
        <w:spacing w:after="0" w:line="360" w:lineRule="atLeast"/>
        <w:rPr>
          <w:rFonts w:ascii="Verdana" w:hAnsi="Verdana"/>
          <w:color w:val="000000"/>
          <w:sz w:val="21"/>
          <w:szCs w:val="21"/>
        </w:rPr>
      </w:pPr>
      <w:r>
        <w:rPr>
          <w:rFonts w:ascii="Verdana" w:hAnsi="Verdana"/>
          <w:color w:val="000000"/>
          <w:sz w:val="21"/>
          <w:szCs w:val="21"/>
        </w:rPr>
        <w:t>Table A</w:t>
      </w:r>
      <w:r w:rsidR="00AB779B">
        <w:rPr>
          <w:rFonts w:ascii="Verdana" w:hAnsi="Verdana"/>
          <w:color w:val="000000"/>
          <w:sz w:val="21"/>
          <w:szCs w:val="21"/>
        </w:rPr>
        <w:t xml:space="preserve"> provides a snapshot of the local ETP industry at mid-year 2019.  Twelve companies issue ETPs on the JSE, providing a total number of 105 products (78 ETFs and 27 ETNs).  </w:t>
      </w:r>
    </w:p>
    <w:p w14:paraId="5517B25C" w14:textId="09225402" w:rsidR="00AB779B" w:rsidRDefault="00AB779B" w:rsidP="00A029E7">
      <w:pPr>
        <w:spacing w:after="0" w:line="360" w:lineRule="atLeast"/>
        <w:rPr>
          <w:rFonts w:ascii="Verdana" w:hAnsi="Verdana"/>
          <w:color w:val="000000"/>
          <w:sz w:val="21"/>
          <w:szCs w:val="21"/>
        </w:rPr>
      </w:pPr>
    </w:p>
    <w:p w14:paraId="04FD8960" w14:textId="2CA83BC3" w:rsidR="00AB779B" w:rsidRDefault="00AB779B" w:rsidP="00A029E7">
      <w:pPr>
        <w:spacing w:after="0" w:line="360" w:lineRule="atLeast"/>
        <w:rPr>
          <w:rFonts w:ascii="Verdana" w:hAnsi="Verdana"/>
          <w:color w:val="000000"/>
          <w:sz w:val="21"/>
          <w:szCs w:val="21"/>
        </w:rPr>
      </w:pPr>
      <w:r>
        <w:rPr>
          <w:rFonts w:ascii="Verdana" w:hAnsi="Verdana"/>
          <w:color w:val="000000"/>
          <w:sz w:val="21"/>
          <w:szCs w:val="21"/>
        </w:rPr>
        <w:t xml:space="preserve">Exchange Traded Funds (ETFs) account for a total market </w:t>
      </w:r>
      <w:r w:rsidR="00932B35">
        <w:rPr>
          <w:rFonts w:ascii="Verdana" w:hAnsi="Verdana"/>
          <w:color w:val="000000"/>
          <w:sz w:val="21"/>
          <w:szCs w:val="21"/>
        </w:rPr>
        <w:t>capitalisation</w:t>
      </w:r>
      <w:r>
        <w:rPr>
          <w:rFonts w:ascii="Verdana" w:hAnsi="Verdana"/>
          <w:color w:val="000000"/>
          <w:sz w:val="21"/>
          <w:szCs w:val="21"/>
        </w:rPr>
        <w:t xml:space="preserve"> of R81 billion, with Exchange Traded Notes (ETNs) having a total market capitalisation of R10,3 billion.  </w:t>
      </w:r>
    </w:p>
    <w:p w14:paraId="4F68EEE4" w14:textId="07A1902D" w:rsidR="00AB779B" w:rsidRDefault="00AB779B" w:rsidP="00A029E7">
      <w:pPr>
        <w:spacing w:after="0" w:line="360" w:lineRule="atLeast"/>
        <w:rPr>
          <w:rFonts w:ascii="Verdana" w:hAnsi="Verdana"/>
          <w:color w:val="000000"/>
          <w:sz w:val="21"/>
          <w:szCs w:val="21"/>
        </w:rPr>
      </w:pPr>
    </w:p>
    <w:p w14:paraId="5C24BEAD" w14:textId="378C567D" w:rsidR="00AB779B" w:rsidRDefault="00AB779B" w:rsidP="00A029E7">
      <w:pPr>
        <w:spacing w:after="0" w:line="360" w:lineRule="atLeast"/>
        <w:rPr>
          <w:rFonts w:ascii="Verdana" w:hAnsi="Verdana"/>
          <w:color w:val="000000"/>
          <w:sz w:val="21"/>
          <w:szCs w:val="21"/>
        </w:rPr>
      </w:pPr>
      <w:r>
        <w:rPr>
          <w:rFonts w:ascii="Verdana" w:hAnsi="Verdana"/>
          <w:color w:val="000000"/>
          <w:sz w:val="21"/>
          <w:szCs w:val="21"/>
        </w:rPr>
        <w:t>Since 2008, the South African ETP industry has grown from R16,4 billion to R91,3 billion in mid-2019, a compo</w:t>
      </w:r>
      <w:r w:rsidR="009E06CC">
        <w:rPr>
          <w:rFonts w:ascii="Verdana" w:hAnsi="Verdana"/>
          <w:color w:val="000000"/>
          <w:sz w:val="21"/>
          <w:szCs w:val="21"/>
        </w:rPr>
        <w:t>unded</w:t>
      </w:r>
      <w:r>
        <w:rPr>
          <w:rFonts w:ascii="Verdana" w:hAnsi="Verdana"/>
          <w:color w:val="000000"/>
          <w:sz w:val="21"/>
          <w:szCs w:val="21"/>
        </w:rPr>
        <w:t xml:space="preserve"> annual growth r</w:t>
      </w:r>
      <w:r w:rsidR="00CD37BB">
        <w:rPr>
          <w:rFonts w:ascii="Verdana" w:hAnsi="Verdana"/>
          <w:color w:val="000000"/>
          <w:sz w:val="21"/>
          <w:szCs w:val="21"/>
        </w:rPr>
        <w:t>a</w:t>
      </w:r>
      <w:r>
        <w:rPr>
          <w:rFonts w:ascii="Verdana" w:hAnsi="Verdana"/>
          <w:color w:val="000000"/>
          <w:sz w:val="21"/>
          <w:szCs w:val="21"/>
        </w:rPr>
        <w:t xml:space="preserve">te of over 40% per annum.  </w:t>
      </w:r>
    </w:p>
    <w:p w14:paraId="30E9E24B" w14:textId="179B25B3" w:rsidR="00A029E7" w:rsidRDefault="00A029E7" w:rsidP="00A029E7">
      <w:pPr>
        <w:spacing w:after="0" w:line="360" w:lineRule="atLeast"/>
        <w:rPr>
          <w:rFonts w:ascii="Verdana" w:hAnsi="Verdana"/>
          <w:color w:val="000000"/>
          <w:sz w:val="21"/>
          <w:szCs w:val="21"/>
        </w:rPr>
      </w:pPr>
    </w:p>
    <w:p w14:paraId="574B99A3" w14:textId="6D224D37"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Table A</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A029E7" w:rsidRPr="00AB6CBE" w14:paraId="6C58D851" w14:textId="77777777" w:rsidTr="00275FDA">
        <w:tc>
          <w:tcPr>
            <w:tcW w:w="9214" w:type="dxa"/>
            <w:gridSpan w:val="8"/>
            <w:shd w:val="clear" w:color="auto" w:fill="C00000"/>
            <w:vAlign w:val="center"/>
          </w:tcPr>
          <w:p w14:paraId="3570725C"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35DFF8CE" w14:textId="261AC62A"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FE2ED4">
              <w:rPr>
                <w:rFonts w:ascii="Verdana" w:hAnsi="Verdana"/>
                <w:b/>
                <w:color w:val="FFFFFF"/>
                <w:sz w:val="18"/>
                <w:szCs w:val="18"/>
              </w:rPr>
              <w:t>30 June</w:t>
            </w:r>
            <w:r w:rsidRPr="003B4F95">
              <w:rPr>
                <w:rFonts w:ascii="Verdana" w:hAnsi="Verdana"/>
                <w:b/>
                <w:color w:val="FFFFFF"/>
                <w:sz w:val="18"/>
                <w:szCs w:val="18"/>
              </w:rPr>
              <w:t xml:space="preserve"> 201</w:t>
            </w:r>
            <w:r>
              <w:rPr>
                <w:rFonts w:ascii="Verdana" w:hAnsi="Verdana"/>
                <w:b/>
                <w:color w:val="FFFFFF"/>
                <w:sz w:val="18"/>
                <w:szCs w:val="18"/>
              </w:rPr>
              <w:t>9</w:t>
            </w:r>
            <w:r w:rsidRPr="003B4F95">
              <w:rPr>
                <w:rFonts w:ascii="Verdana" w:hAnsi="Verdana"/>
                <w:b/>
                <w:color w:val="FFFFFF"/>
                <w:sz w:val="18"/>
                <w:szCs w:val="18"/>
              </w:rPr>
              <w:t>)</w:t>
            </w:r>
          </w:p>
        </w:tc>
      </w:tr>
      <w:tr w:rsidR="00A029E7" w:rsidRPr="00AB6CBE" w14:paraId="16BE5CAE" w14:textId="77777777" w:rsidTr="00275FDA">
        <w:trPr>
          <w:trHeight w:val="311"/>
        </w:trPr>
        <w:tc>
          <w:tcPr>
            <w:tcW w:w="567" w:type="dxa"/>
            <w:vMerge w:val="restart"/>
            <w:shd w:val="clear" w:color="auto" w:fill="4C4C4C"/>
            <w:vAlign w:val="center"/>
          </w:tcPr>
          <w:p w14:paraId="276F8155"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val="restart"/>
            <w:shd w:val="clear" w:color="auto" w:fill="4C4C4C"/>
            <w:vAlign w:val="center"/>
          </w:tcPr>
          <w:p w14:paraId="7BC14E8D" w14:textId="49AE90E9" w:rsidR="00A029E7" w:rsidRPr="003B4F95" w:rsidRDefault="00A029E7" w:rsidP="00A029E7">
            <w:pPr>
              <w:spacing w:before="20" w:after="2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41EF6BA9"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190216BA"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002E995E" w14:textId="77777777" w:rsidR="00A029E7" w:rsidRPr="003B4F95" w:rsidRDefault="00A029E7" w:rsidP="00275FDA">
            <w:pPr>
              <w:spacing w:before="20" w:after="6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A029E7" w:rsidRPr="00AB6CBE" w14:paraId="2AB06EA7" w14:textId="77777777" w:rsidTr="00275FDA">
        <w:trPr>
          <w:trHeight w:val="311"/>
        </w:trPr>
        <w:tc>
          <w:tcPr>
            <w:tcW w:w="567" w:type="dxa"/>
            <w:vMerge/>
            <w:shd w:val="clear" w:color="auto" w:fill="4C4C4C"/>
            <w:vAlign w:val="center"/>
          </w:tcPr>
          <w:p w14:paraId="1FF6352A" w14:textId="77777777" w:rsidR="00A029E7" w:rsidRPr="003B4F95" w:rsidRDefault="00A029E7" w:rsidP="00A029E7">
            <w:pPr>
              <w:spacing w:before="20" w:after="20" w:line="280" w:lineRule="atLeast"/>
              <w:rPr>
                <w:rFonts w:ascii="Verdana" w:hAnsi="Verdana"/>
                <w:b/>
                <w:color w:val="FFFFFF"/>
                <w:sz w:val="18"/>
                <w:szCs w:val="18"/>
              </w:rPr>
            </w:pPr>
          </w:p>
        </w:tc>
        <w:tc>
          <w:tcPr>
            <w:tcW w:w="1984" w:type="dxa"/>
            <w:gridSpan w:val="2"/>
            <w:vMerge/>
            <w:shd w:val="clear" w:color="auto" w:fill="4C4C4C"/>
          </w:tcPr>
          <w:p w14:paraId="436245B6" w14:textId="49FB5311" w:rsidR="00A029E7" w:rsidRPr="003B4F95" w:rsidRDefault="00A029E7" w:rsidP="00A029E7">
            <w:pPr>
              <w:spacing w:before="20" w:after="20" w:line="280" w:lineRule="atLeast"/>
              <w:rPr>
                <w:rFonts w:ascii="Verdana" w:hAnsi="Verdana"/>
                <w:b/>
                <w:color w:val="FFFFFF"/>
                <w:sz w:val="18"/>
                <w:szCs w:val="18"/>
              </w:rPr>
            </w:pPr>
          </w:p>
        </w:tc>
        <w:tc>
          <w:tcPr>
            <w:tcW w:w="993" w:type="dxa"/>
            <w:shd w:val="clear" w:color="auto" w:fill="4C4C4C"/>
            <w:vAlign w:val="center"/>
          </w:tcPr>
          <w:p w14:paraId="2C191EAD" w14:textId="77777777" w:rsidR="00A029E7" w:rsidRPr="003B4F95" w:rsidRDefault="00A029E7" w:rsidP="00A029E7">
            <w:pPr>
              <w:spacing w:before="20" w:after="2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5ABA983B" w14:textId="77777777" w:rsidR="00A029E7" w:rsidRPr="003B4F95" w:rsidRDefault="00A029E7" w:rsidP="00A029E7">
            <w:pPr>
              <w:spacing w:before="20" w:after="2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436EF0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121D26EA" w14:textId="77777777" w:rsidR="00A029E7" w:rsidRPr="003B4F95" w:rsidRDefault="00A029E7" w:rsidP="00A029E7">
            <w:pPr>
              <w:spacing w:before="20" w:after="2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036A93B0" w14:textId="77777777" w:rsidR="00A029E7" w:rsidRPr="003B4F95" w:rsidRDefault="00A029E7" w:rsidP="00275FDA">
            <w:pPr>
              <w:spacing w:before="60" w:after="60" w:line="300" w:lineRule="atLeast"/>
              <w:jc w:val="right"/>
              <w:rPr>
                <w:rFonts w:ascii="Verdana" w:hAnsi="Verdana"/>
                <w:b/>
                <w:color w:val="FFFFFF"/>
                <w:sz w:val="18"/>
                <w:szCs w:val="18"/>
              </w:rPr>
            </w:pPr>
          </w:p>
        </w:tc>
      </w:tr>
      <w:tr w:rsidR="00A029E7" w:rsidRPr="00AB6CBE" w14:paraId="223242D5" w14:textId="77777777" w:rsidTr="00275FDA">
        <w:tc>
          <w:tcPr>
            <w:tcW w:w="567" w:type="dxa"/>
            <w:shd w:val="clear" w:color="auto" w:fill="auto"/>
          </w:tcPr>
          <w:p w14:paraId="4D91BA7C"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6AABFB44"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62D33FD6" w14:textId="459DF660"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21</w:t>
            </w:r>
          </w:p>
        </w:tc>
        <w:tc>
          <w:tcPr>
            <w:tcW w:w="992" w:type="dxa"/>
            <w:shd w:val="clear" w:color="auto" w:fill="auto"/>
            <w:vAlign w:val="center"/>
          </w:tcPr>
          <w:p w14:paraId="5D44D04E"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3F818D4" w14:textId="1024FBAB"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2</w:t>
            </w:r>
            <w:r w:rsidR="003F6A02">
              <w:rPr>
                <w:rFonts w:ascii="Verdana" w:hAnsi="Verdana"/>
                <w:color w:val="000000"/>
                <w:sz w:val="18"/>
                <w:szCs w:val="18"/>
              </w:rPr>
              <w:t>6</w:t>
            </w:r>
            <w:r>
              <w:rPr>
                <w:rFonts w:ascii="Verdana" w:hAnsi="Verdana"/>
                <w:color w:val="000000"/>
                <w:sz w:val="18"/>
                <w:szCs w:val="18"/>
              </w:rPr>
              <w:t> </w:t>
            </w:r>
            <w:r w:rsidR="00FE2ED4">
              <w:rPr>
                <w:rFonts w:ascii="Verdana" w:hAnsi="Verdana"/>
                <w:color w:val="000000"/>
                <w:sz w:val="18"/>
                <w:szCs w:val="18"/>
              </w:rPr>
              <w:t>450</w:t>
            </w:r>
            <w:r>
              <w:rPr>
                <w:rFonts w:ascii="Verdana" w:hAnsi="Verdana"/>
                <w:color w:val="000000"/>
                <w:sz w:val="18"/>
                <w:szCs w:val="18"/>
              </w:rPr>
              <w:t>,</w:t>
            </w:r>
            <w:r w:rsidR="003F6A02">
              <w:rPr>
                <w:rFonts w:ascii="Verdana" w:hAnsi="Verdana"/>
                <w:color w:val="000000"/>
                <w:sz w:val="18"/>
                <w:szCs w:val="18"/>
              </w:rPr>
              <w:t>0</w:t>
            </w:r>
          </w:p>
        </w:tc>
        <w:tc>
          <w:tcPr>
            <w:tcW w:w="1418" w:type="dxa"/>
            <w:vAlign w:val="center"/>
          </w:tcPr>
          <w:p w14:paraId="4FDD4459" w14:textId="55FEDBE3" w:rsidR="00A029E7" w:rsidRPr="003B4F95" w:rsidRDefault="003F6A02" w:rsidP="00A029E7">
            <w:pPr>
              <w:spacing w:before="40" w:after="40" w:line="280" w:lineRule="atLeast"/>
              <w:jc w:val="right"/>
              <w:rPr>
                <w:rFonts w:ascii="Verdana" w:hAnsi="Verdana"/>
                <w:color w:val="000000"/>
                <w:sz w:val="18"/>
                <w:szCs w:val="18"/>
              </w:rPr>
            </w:pPr>
            <w:r>
              <w:rPr>
                <w:rFonts w:ascii="Verdana" w:hAnsi="Verdana"/>
                <w:color w:val="000000"/>
                <w:sz w:val="18"/>
                <w:szCs w:val="18"/>
              </w:rPr>
              <w:t>4</w:t>
            </w:r>
            <w:r w:rsidR="00FE2ED4">
              <w:rPr>
                <w:rFonts w:ascii="Verdana" w:hAnsi="Verdana"/>
                <w:color w:val="000000"/>
                <w:sz w:val="18"/>
                <w:szCs w:val="18"/>
              </w:rPr>
              <w:t>70</w:t>
            </w:r>
            <w:r w:rsidR="00A029E7">
              <w:rPr>
                <w:rFonts w:ascii="Verdana" w:hAnsi="Verdana"/>
                <w:color w:val="000000"/>
                <w:sz w:val="18"/>
                <w:szCs w:val="18"/>
              </w:rPr>
              <w:t>,</w:t>
            </w:r>
            <w:r w:rsidR="00FE2ED4">
              <w:rPr>
                <w:rFonts w:ascii="Verdana" w:hAnsi="Verdana"/>
                <w:color w:val="000000"/>
                <w:sz w:val="18"/>
                <w:szCs w:val="18"/>
              </w:rPr>
              <w:t>3</w:t>
            </w:r>
          </w:p>
        </w:tc>
        <w:tc>
          <w:tcPr>
            <w:tcW w:w="1843" w:type="dxa"/>
            <w:vAlign w:val="center"/>
          </w:tcPr>
          <w:p w14:paraId="7693E12C" w14:textId="0BE5FBCA"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2</w:t>
            </w:r>
            <w:r w:rsidR="00FE2ED4">
              <w:rPr>
                <w:rFonts w:ascii="Verdana" w:hAnsi="Verdana"/>
                <w:color w:val="000000"/>
                <w:sz w:val="18"/>
                <w:szCs w:val="18"/>
              </w:rPr>
              <w:t>6</w:t>
            </w:r>
            <w:r>
              <w:rPr>
                <w:rFonts w:ascii="Verdana" w:hAnsi="Verdana"/>
                <w:color w:val="000000"/>
                <w:sz w:val="18"/>
                <w:szCs w:val="18"/>
              </w:rPr>
              <w:t> </w:t>
            </w:r>
            <w:r w:rsidR="00FE2ED4">
              <w:rPr>
                <w:rFonts w:ascii="Verdana" w:hAnsi="Verdana"/>
                <w:color w:val="000000"/>
                <w:sz w:val="18"/>
                <w:szCs w:val="18"/>
              </w:rPr>
              <w:t>920</w:t>
            </w:r>
            <w:r>
              <w:rPr>
                <w:rFonts w:ascii="Verdana" w:hAnsi="Verdana"/>
                <w:color w:val="000000"/>
                <w:sz w:val="18"/>
                <w:szCs w:val="18"/>
              </w:rPr>
              <w:t>,</w:t>
            </w:r>
            <w:r w:rsidR="00FE2ED4">
              <w:rPr>
                <w:rFonts w:ascii="Verdana" w:hAnsi="Verdana"/>
                <w:color w:val="000000"/>
                <w:sz w:val="18"/>
                <w:szCs w:val="18"/>
              </w:rPr>
              <w:t>3</w:t>
            </w:r>
          </w:p>
        </w:tc>
      </w:tr>
      <w:tr w:rsidR="00A029E7" w:rsidRPr="00AB6CBE" w14:paraId="31DF6B36" w14:textId="77777777" w:rsidTr="00275FDA">
        <w:tc>
          <w:tcPr>
            <w:tcW w:w="567" w:type="dxa"/>
            <w:shd w:val="clear" w:color="auto" w:fill="auto"/>
          </w:tcPr>
          <w:p w14:paraId="7D3AA3F1"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2</w:t>
            </w:r>
            <w:r w:rsidRPr="003B4F95">
              <w:rPr>
                <w:rFonts w:ascii="Verdana" w:hAnsi="Verdana"/>
                <w:color w:val="000000"/>
                <w:sz w:val="18"/>
                <w:szCs w:val="18"/>
              </w:rPr>
              <w:t>.</w:t>
            </w:r>
          </w:p>
        </w:tc>
        <w:tc>
          <w:tcPr>
            <w:tcW w:w="1984" w:type="dxa"/>
            <w:gridSpan w:val="2"/>
            <w:shd w:val="clear" w:color="auto" w:fill="auto"/>
          </w:tcPr>
          <w:p w14:paraId="4DB04817"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7ECA77CA"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38626DA1"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3148D09" w14:textId="6B460C2E"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1</w:t>
            </w:r>
            <w:r w:rsidR="003F6A02">
              <w:rPr>
                <w:rFonts w:ascii="Verdana" w:hAnsi="Verdana"/>
                <w:color w:val="000000"/>
                <w:sz w:val="18"/>
                <w:szCs w:val="18"/>
              </w:rPr>
              <w:t>9</w:t>
            </w:r>
            <w:r>
              <w:rPr>
                <w:rFonts w:ascii="Verdana" w:hAnsi="Verdana"/>
                <w:color w:val="000000"/>
                <w:sz w:val="18"/>
                <w:szCs w:val="18"/>
              </w:rPr>
              <w:t> </w:t>
            </w:r>
            <w:r w:rsidR="00FE2ED4">
              <w:rPr>
                <w:rFonts w:ascii="Verdana" w:hAnsi="Verdana"/>
                <w:color w:val="000000"/>
                <w:sz w:val="18"/>
                <w:szCs w:val="18"/>
              </w:rPr>
              <w:t>263</w:t>
            </w:r>
            <w:r>
              <w:rPr>
                <w:rFonts w:ascii="Verdana" w:hAnsi="Verdana"/>
                <w:color w:val="000000"/>
                <w:sz w:val="18"/>
                <w:szCs w:val="18"/>
              </w:rPr>
              <w:t>,</w:t>
            </w:r>
            <w:r w:rsidR="00FE2ED4">
              <w:rPr>
                <w:rFonts w:ascii="Verdana" w:hAnsi="Verdana"/>
                <w:color w:val="000000"/>
                <w:sz w:val="18"/>
                <w:szCs w:val="18"/>
              </w:rPr>
              <w:t>8</w:t>
            </w:r>
          </w:p>
        </w:tc>
        <w:tc>
          <w:tcPr>
            <w:tcW w:w="1418" w:type="dxa"/>
            <w:vAlign w:val="center"/>
          </w:tcPr>
          <w:p w14:paraId="36735A0D" w14:textId="77777777"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2527F04" w14:textId="20672EA8"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1</w:t>
            </w:r>
            <w:r w:rsidR="003F6A02">
              <w:rPr>
                <w:rFonts w:ascii="Verdana" w:hAnsi="Verdana"/>
                <w:color w:val="000000"/>
                <w:sz w:val="18"/>
                <w:szCs w:val="18"/>
              </w:rPr>
              <w:t>9</w:t>
            </w:r>
            <w:r>
              <w:rPr>
                <w:rFonts w:ascii="Verdana" w:hAnsi="Verdana"/>
                <w:color w:val="000000"/>
                <w:sz w:val="18"/>
                <w:szCs w:val="18"/>
              </w:rPr>
              <w:t> </w:t>
            </w:r>
            <w:r w:rsidR="00FE2ED4">
              <w:rPr>
                <w:rFonts w:ascii="Verdana" w:hAnsi="Verdana"/>
                <w:color w:val="000000"/>
                <w:sz w:val="18"/>
                <w:szCs w:val="18"/>
              </w:rPr>
              <w:t>263</w:t>
            </w:r>
            <w:r>
              <w:rPr>
                <w:rFonts w:ascii="Verdana" w:hAnsi="Verdana"/>
                <w:color w:val="000000"/>
                <w:sz w:val="18"/>
                <w:szCs w:val="18"/>
              </w:rPr>
              <w:t>,</w:t>
            </w:r>
            <w:r w:rsidR="00FE2ED4">
              <w:rPr>
                <w:rFonts w:ascii="Verdana" w:hAnsi="Verdana"/>
                <w:color w:val="000000"/>
                <w:sz w:val="18"/>
                <w:szCs w:val="18"/>
              </w:rPr>
              <w:t>8</w:t>
            </w:r>
          </w:p>
        </w:tc>
      </w:tr>
      <w:tr w:rsidR="00A029E7" w:rsidRPr="00AB6CBE" w14:paraId="2C112B77" w14:textId="77777777" w:rsidTr="00275FDA">
        <w:tc>
          <w:tcPr>
            <w:tcW w:w="567" w:type="dxa"/>
            <w:shd w:val="clear" w:color="auto" w:fill="auto"/>
          </w:tcPr>
          <w:p w14:paraId="6320B748"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3</w:t>
            </w:r>
            <w:r w:rsidRPr="003B4F95">
              <w:rPr>
                <w:rFonts w:ascii="Verdana" w:hAnsi="Verdana"/>
                <w:color w:val="000000"/>
                <w:sz w:val="18"/>
                <w:szCs w:val="18"/>
              </w:rPr>
              <w:t>.</w:t>
            </w:r>
          </w:p>
        </w:tc>
        <w:tc>
          <w:tcPr>
            <w:tcW w:w="1984" w:type="dxa"/>
            <w:gridSpan w:val="2"/>
            <w:shd w:val="clear" w:color="auto" w:fill="auto"/>
          </w:tcPr>
          <w:p w14:paraId="79242CA1"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7BD116C5"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15</w:t>
            </w:r>
          </w:p>
        </w:tc>
        <w:tc>
          <w:tcPr>
            <w:tcW w:w="992" w:type="dxa"/>
            <w:shd w:val="clear" w:color="auto" w:fill="auto"/>
            <w:vAlign w:val="center"/>
          </w:tcPr>
          <w:p w14:paraId="1F636E31"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87138F" w14:textId="497A6093"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1</w:t>
            </w:r>
            <w:r w:rsidR="00FE2ED4">
              <w:rPr>
                <w:rFonts w:ascii="Verdana" w:hAnsi="Verdana"/>
                <w:color w:val="000000"/>
                <w:sz w:val="18"/>
                <w:szCs w:val="18"/>
              </w:rPr>
              <w:t>9</w:t>
            </w:r>
            <w:r>
              <w:rPr>
                <w:rFonts w:ascii="Verdana" w:hAnsi="Verdana"/>
                <w:color w:val="000000"/>
                <w:sz w:val="18"/>
                <w:szCs w:val="18"/>
              </w:rPr>
              <w:t> </w:t>
            </w:r>
            <w:r w:rsidR="00FE2ED4">
              <w:rPr>
                <w:rFonts w:ascii="Verdana" w:hAnsi="Verdana"/>
                <w:color w:val="000000"/>
                <w:sz w:val="18"/>
                <w:szCs w:val="18"/>
              </w:rPr>
              <w:t>02</w:t>
            </w:r>
            <w:r w:rsidR="003F6A02">
              <w:rPr>
                <w:rFonts w:ascii="Verdana" w:hAnsi="Verdana"/>
                <w:color w:val="000000"/>
                <w:sz w:val="18"/>
                <w:szCs w:val="18"/>
              </w:rPr>
              <w:t>8</w:t>
            </w:r>
            <w:r>
              <w:rPr>
                <w:rFonts w:ascii="Verdana" w:hAnsi="Verdana"/>
                <w:color w:val="000000"/>
                <w:sz w:val="18"/>
                <w:szCs w:val="18"/>
              </w:rPr>
              <w:t>,</w:t>
            </w:r>
            <w:r w:rsidR="00FE2ED4">
              <w:rPr>
                <w:rFonts w:ascii="Verdana" w:hAnsi="Verdana"/>
                <w:color w:val="000000"/>
                <w:sz w:val="18"/>
                <w:szCs w:val="18"/>
              </w:rPr>
              <w:t>8</w:t>
            </w:r>
          </w:p>
        </w:tc>
        <w:tc>
          <w:tcPr>
            <w:tcW w:w="1418" w:type="dxa"/>
            <w:vAlign w:val="center"/>
          </w:tcPr>
          <w:p w14:paraId="0D0632EA" w14:textId="77777777"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41DBE5F1" w14:textId="51B1F9A1"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1</w:t>
            </w:r>
            <w:r w:rsidR="00FE2ED4">
              <w:rPr>
                <w:rFonts w:ascii="Verdana" w:hAnsi="Verdana"/>
                <w:color w:val="000000"/>
                <w:sz w:val="18"/>
                <w:szCs w:val="18"/>
              </w:rPr>
              <w:t>9</w:t>
            </w:r>
            <w:r>
              <w:rPr>
                <w:rFonts w:ascii="Verdana" w:hAnsi="Verdana"/>
                <w:color w:val="000000"/>
                <w:sz w:val="18"/>
                <w:szCs w:val="18"/>
              </w:rPr>
              <w:t> </w:t>
            </w:r>
            <w:r w:rsidR="00FE2ED4">
              <w:rPr>
                <w:rFonts w:ascii="Verdana" w:hAnsi="Verdana"/>
                <w:color w:val="000000"/>
                <w:sz w:val="18"/>
                <w:szCs w:val="18"/>
              </w:rPr>
              <w:t>028</w:t>
            </w:r>
            <w:r>
              <w:rPr>
                <w:rFonts w:ascii="Verdana" w:hAnsi="Verdana"/>
                <w:color w:val="000000"/>
                <w:sz w:val="18"/>
                <w:szCs w:val="18"/>
              </w:rPr>
              <w:t>,</w:t>
            </w:r>
            <w:r w:rsidR="00FE2ED4">
              <w:rPr>
                <w:rFonts w:ascii="Verdana" w:hAnsi="Verdana"/>
                <w:color w:val="000000"/>
                <w:sz w:val="18"/>
                <w:szCs w:val="18"/>
              </w:rPr>
              <w:t>8</w:t>
            </w:r>
          </w:p>
        </w:tc>
      </w:tr>
      <w:tr w:rsidR="00A029E7" w:rsidRPr="000435BE" w14:paraId="2C8E5907" w14:textId="77777777" w:rsidTr="00275FDA">
        <w:tc>
          <w:tcPr>
            <w:tcW w:w="567" w:type="dxa"/>
            <w:shd w:val="clear" w:color="auto" w:fill="auto"/>
          </w:tcPr>
          <w:p w14:paraId="29BD30B3"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A020CE8"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Standard Bank</w:t>
            </w:r>
          </w:p>
        </w:tc>
        <w:tc>
          <w:tcPr>
            <w:tcW w:w="993" w:type="dxa"/>
            <w:shd w:val="clear" w:color="auto" w:fill="auto"/>
            <w:vAlign w:val="center"/>
          </w:tcPr>
          <w:p w14:paraId="1BB5FDDF"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4</w:t>
            </w:r>
          </w:p>
        </w:tc>
        <w:tc>
          <w:tcPr>
            <w:tcW w:w="992" w:type="dxa"/>
            <w:shd w:val="clear" w:color="auto" w:fill="auto"/>
            <w:vAlign w:val="center"/>
          </w:tcPr>
          <w:p w14:paraId="2FD90278"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10</w:t>
            </w:r>
          </w:p>
        </w:tc>
        <w:tc>
          <w:tcPr>
            <w:tcW w:w="1417" w:type="dxa"/>
            <w:vAlign w:val="center"/>
          </w:tcPr>
          <w:p w14:paraId="334080BF" w14:textId="53064356"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5</w:t>
            </w:r>
            <w:r w:rsidR="003F6A02">
              <w:rPr>
                <w:rFonts w:ascii="Verdana" w:hAnsi="Verdana"/>
                <w:color w:val="000000"/>
                <w:sz w:val="18"/>
                <w:szCs w:val="18"/>
              </w:rPr>
              <w:t xml:space="preserve"> </w:t>
            </w:r>
            <w:r w:rsidR="00FE2ED4">
              <w:rPr>
                <w:rFonts w:ascii="Verdana" w:hAnsi="Verdana"/>
                <w:color w:val="000000"/>
                <w:sz w:val="18"/>
                <w:szCs w:val="18"/>
              </w:rPr>
              <w:t>236</w:t>
            </w:r>
            <w:r>
              <w:rPr>
                <w:rFonts w:ascii="Verdana" w:hAnsi="Verdana"/>
                <w:color w:val="000000"/>
                <w:sz w:val="18"/>
                <w:szCs w:val="18"/>
              </w:rPr>
              <w:t>,</w:t>
            </w:r>
            <w:r w:rsidR="00FE2ED4">
              <w:rPr>
                <w:rFonts w:ascii="Verdana" w:hAnsi="Verdana"/>
                <w:color w:val="000000"/>
                <w:sz w:val="18"/>
                <w:szCs w:val="18"/>
              </w:rPr>
              <w:t>1</w:t>
            </w:r>
          </w:p>
        </w:tc>
        <w:tc>
          <w:tcPr>
            <w:tcW w:w="1418" w:type="dxa"/>
            <w:vAlign w:val="center"/>
          </w:tcPr>
          <w:p w14:paraId="4C980058" w14:textId="0DB9DF25"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1 7</w:t>
            </w:r>
            <w:r w:rsidR="003F6A02">
              <w:rPr>
                <w:rFonts w:ascii="Verdana" w:hAnsi="Verdana"/>
                <w:color w:val="000000"/>
                <w:sz w:val="18"/>
                <w:szCs w:val="18"/>
              </w:rPr>
              <w:t>8</w:t>
            </w:r>
            <w:r w:rsidR="00FE2ED4">
              <w:rPr>
                <w:rFonts w:ascii="Verdana" w:hAnsi="Verdana"/>
                <w:color w:val="000000"/>
                <w:sz w:val="18"/>
                <w:szCs w:val="18"/>
              </w:rPr>
              <w:t>7</w:t>
            </w:r>
            <w:r>
              <w:rPr>
                <w:rFonts w:ascii="Verdana" w:hAnsi="Verdana"/>
                <w:color w:val="000000"/>
                <w:sz w:val="18"/>
                <w:szCs w:val="18"/>
              </w:rPr>
              <w:t>,</w:t>
            </w:r>
            <w:r w:rsidR="00FE2ED4">
              <w:rPr>
                <w:rFonts w:ascii="Verdana" w:hAnsi="Verdana"/>
                <w:color w:val="000000"/>
                <w:sz w:val="18"/>
                <w:szCs w:val="18"/>
              </w:rPr>
              <w:t>9</w:t>
            </w:r>
          </w:p>
        </w:tc>
        <w:tc>
          <w:tcPr>
            <w:tcW w:w="1843" w:type="dxa"/>
            <w:vAlign w:val="center"/>
          </w:tcPr>
          <w:p w14:paraId="7E520B74" w14:textId="3889A3F4" w:rsidR="00A029E7" w:rsidRPr="003B4F95" w:rsidRDefault="003F6A02" w:rsidP="00A029E7">
            <w:pPr>
              <w:spacing w:before="40" w:after="40" w:line="280" w:lineRule="atLeast"/>
              <w:jc w:val="right"/>
              <w:rPr>
                <w:rFonts w:ascii="Verdana" w:hAnsi="Verdana"/>
                <w:color w:val="000000"/>
                <w:sz w:val="18"/>
                <w:szCs w:val="18"/>
              </w:rPr>
            </w:pPr>
            <w:r>
              <w:rPr>
                <w:rFonts w:ascii="Verdana" w:hAnsi="Verdana"/>
                <w:color w:val="000000"/>
                <w:sz w:val="18"/>
                <w:szCs w:val="18"/>
              </w:rPr>
              <w:t>7</w:t>
            </w:r>
            <w:r w:rsidR="00A029E7">
              <w:rPr>
                <w:rFonts w:ascii="Verdana" w:hAnsi="Verdana"/>
                <w:color w:val="000000"/>
                <w:sz w:val="18"/>
                <w:szCs w:val="18"/>
              </w:rPr>
              <w:t> </w:t>
            </w:r>
            <w:r w:rsidR="00FE2ED4">
              <w:rPr>
                <w:rFonts w:ascii="Verdana" w:hAnsi="Verdana"/>
                <w:color w:val="000000"/>
                <w:sz w:val="18"/>
                <w:szCs w:val="18"/>
              </w:rPr>
              <w:t>024</w:t>
            </w:r>
            <w:r w:rsidR="00A029E7">
              <w:rPr>
                <w:rFonts w:ascii="Verdana" w:hAnsi="Verdana"/>
                <w:color w:val="000000"/>
                <w:sz w:val="18"/>
                <w:szCs w:val="18"/>
              </w:rPr>
              <w:t>,</w:t>
            </w:r>
            <w:r w:rsidR="00FE2ED4">
              <w:rPr>
                <w:rFonts w:ascii="Verdana" w:hAnsi="Verdana"/>
                <w:color w:val="000000"/>
                <w:sz w:val="18"/>
                <w:szCs w:val="18"/>
              </w:rPr>
              <w:t>0</w:t>
            </w:r>
          </w:p>
        </w:tc>
      </w:tr>
      <w:tr w:rsidR="00A029E7" w:rsidRPr="000435BE" w14:paraId="1E2F3294" w14:textId="77777777" w:rsidTr="00275FDA">
        <w:tc>
          <w:tcPr>
            <w:tcW w:w="567" w:type="dxa"/>
            <w:shd w:val="clear" w:color="auto" w:fill="auto"/>
          </w:tcPr>
          <w:p w14:paraId="6BFA2CFE"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5.</w:t>
            </w:r>
          </w:p>
        </w:tc>
        <w:tc>
          <w:tcPr>
            <w:tcW w:w="1984" w:type="dxa"/>
            <w:gridSpan w:val="2"/>
            <w:shd w:val="clear" w:color="auto" w:fill="auto"/>
          </w:tcPr>
          <w:p w14:paraId="779D091A" w14:textId="77777777" w:rsidR="00A029E7" w:rsidRPr="003B4F95"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Deutsche Bank</w:t>
            </w:r>
          </w:p>
        </w:tc>
        <w:tc>
          <w:tcPr>
            <w:tcW w:w="993" w:type="dxa"/>
            <w:shd w:val="clear" w:color="auto" w:fill="auto"/>
            <w:vAlign w:val="center"/>
          </w:tcPr>
          <w:p w14:paraId="5E731BF6"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048D67"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1417" w:type="dxa"/>
            <w:vAlign w:val="center"/>
          </w:tcPr>
          <w:p w14:paraId="26B16483" w14:textId="77777777"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E69C2FD" w14:textId="2B2F3E6B" w:rsidR="00A029E7" w:rsidRPr="003B4F95" w:rsidRDefault="003F6A02" w:rsidP="00A029E7">
            <w:pPr>
              <w:spacing w:before="40" w:after="40" w:line="280" w:lineRule="atLeast"/>
              <w:jc w:val="right"/>
              <w:rPr>
                <w:rFonts w:ascii="Verdana" w:hAnsi="Verdana"/>
                <w:color w:val="000000"/>
                <w:sz w:val="18"/>
                <w:szCs w:val="18"/>
              </w:rPr>
            </w:pPr>
            <w:r>
              <w:rPr>
                <w:rFonts w:ascii="Verdana" w:hAnsi="Verdana"/>
                <w:color w:val="000000"/>
                <w:sz w:val="18"/>
                <w:szCs w:val="18"/>
              </w:rPr>
              <w:t>5</w:t>
            </w:r>
            <w:r w:rsidR="00A029E7">
              <w:rPr>
                <w:rFonts w:ascii="Verdana" w:hAnsi="Verdana"/>
                <w:color w:val="000000"/>
                <w:sz w:val="18"/>
                <w:szCs w:val="18"/>
              </w:rPr>
              <w:t> </w:t>
            </w:r>
            <w:r w:rsidR="00FE2ED4">
              <w:rPr>
                <w:rFonts w:ascii="Verdana" w:hAnsi="Verdana"/>
                <w:color w:val="000000"/>
                <w:sz w:val="18"/>
                <w:szCs w:val="18"/>
              </w:rPr>
              <w:t>193</w:t>
            </w:r>
            <w:r w:rsidR="00A029E7">
              <w:rPr>
                <w:rFonts w:ascii="Verdana" w:hAnsi="Verdana"/>
                <w:color w:val="000000"/>
                <w:sz w:val="18"/>
                <w:szCs w:val="18"/>
              </w:rPr>
              <w:t>,</w:t>
            </w:r>
            <w:r>
              <w:rPr>
                <w:rFonts w:ascii="Verdana" w:hAnsi="Verdana"/>
                <w:color w:val="000000"/>
                <w:sz w:val="18"/>
                <w:szCs w:val="18"/>
              </w:rPr>
              <w:t>0</w:t>
            </w:r>
          </w:p>
        </w:tc>
        <w:tc>
          <w:tcPr>
            <w:tcW w:w="1843" w:type="dxa"/>
            <w:vAlign w:val="center"/>
          </w:tcPr>
          <w:p w14:paraId="3A6A619A" w14:textId="1A91D65A" w:rsidR="00A029E7" w:rsidRPr="003B4F95" w:rsidRDefault="003F6A02" w:rsidP="00A029E7">
            <w:pPr>
              <w:spacing w:before="40" w:after="40" w:line="280" w:lineRule="atLeast"/>
              <w:jc w:val="right"/>
              <w:rPr>
                <w:rFonts w:ascii="Verdana" w:hAnsi="Verdana"/>
                <w:color w:val="000000"/>
                <w:sz w:val="18"/>
                <w:szCs w:val="18"/>
              </w:rPr>
            </w:pPr>
            <w:r>
              <w:rPr>
                <w:rFonts w:ascii="Verdana" w:hAnsi="Verdana"/>
                <w:color w:val="000000"/>
                <w:sz w:val="18"/>
                <w:szCs w:val="18"/>
              </w:rPr>
              <w:t>5 </w:t>
            </w:r>
            <w:r w:rsidR="00FE2ED4">
              <w:rPr>
                <w:rFonts w:ascii="Verdana" w:hAnsi="Verdana"/>
                <w:color w:val="000000"/>
                <w:sz w:val="18"/>
                <w:szCs w:val="18"/>
              </w:rPr>
              <w:t>193</w:t>
            </w:r>
            <w:r>
              <w:rPr>
                <w:rFonts w:ascii="Verdana" w:hAnsi="Verdana"/>
                <w:color w:val="000000"/>
                <w:sz w:val="18"/>
                <w:szCs w:val="18"/>
              </w:rPr>
              <w:t>,0</w:t>
            </w:r>
          </w:p>
        </w:tc>
      </w:tr>
      <w:tr w:rsidR="00A029E7" w:rsidRPr="000435BE" w14:paraId="4B0E4E93" w14:textId="77777777" w:rsidTr="00275FDA">
        <w:tc>
          <w:tcPr>
            <w:tcW w:w="567" w:type="dxa"/>
            <w:shd w:val="clear" w:color="auto" w:fill="auto"/>
          </w:tcPr>
          <w:p w14:paraId="13B4253F" w14:textId="77777777" w:rsidR="00A029E7"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6</w:t>
            </w:r>
            <w:r w:rsidRPr="003B4F95">
              <w:rPr>
                <w:rFonts w:ascii="Verdana" w:hAnsi="Verdana"/>
                <w:color w:val="000000"/>
                <w:sz w:val="18"/>
                <w:szCs w:val="18"/>
              </w:rPr>
              <w:t>.</w:t>
            </w:r>
          </w:p>
        </w:tc>
        <w:tc>
          <w:tcPr>
            <w:tcW w:w="1984" w:type="dxa"/>
            <w:gridSpan w:val="2"/>
            <w:shd w:val="clear" w:color="auto" w:fill="auto"/>
          </w:tcPr>
          <w:p w14:paraId="01058E53"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4D31AE9D" w14:textId="2A164485"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06049A2D" w14:textId="77777777" w:rsidR="00A029E7" w:rsidRPr="003B4F95"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99B66D1" w14:textId="6B10863D" w:rsidR="00A029E7" w:rsidRPr="003B4F95" w:rsidRDefault="00FE2ED4" w:rsidP="00A029E7">
            <w:pPr>
              <w:spacing w:before="40" w:after="40" w:line="280" w:lineRule="atLeast"/>
              <w:jc w:val="right"/>
              <w:rPr>
                <w:rFonts w:ascii="Verdana" w:hAnsi="Verdana"/>
                <w:color w:val="000000"/>
                <w:sz w:val="18"/>
                <w:szCs w:val="18"/>
              </w:rPr>
            </w:pPr>
            <w:r>
              <w:rPr>
                <w:rFonts w:ascii="Verdana" w:hAnsi="Verdana"/>
                <w:color w:val="000000"/>
                <w:sz w:val="18"/>
                <w:szCs w:val="18"/>
              </w:rPr>
              <w:t>4</w:t>
            </w:r>
            <w:r w:rsidR="00A029E7">
              <w:rPr>
                <w:rFonts w:ascii="Verdana" w:hAnsi="Verdana"/>
                <w:color w:val="000000"/>
                <w:sz w:val="18"/>
                <w:szCs w:val="18"/>
              </w:rPr>
              <w:t> </w:t>
            </w:r>
            <w:r>
              <w:rPr>
                <w:rFonts w:ascii="Verdana" w:hAnsi="Verdana"/>
                <w:color w:val="000000"/>
                <w:sz w:val="18"/>
                <w:szCs w:val="18"/>
              </w:rPr>
              <w:t>216</w:t>
            </w:r>
            <w:r w:rsidR="00A029E7">
              <w:rPr>
                <w:rFonts w:ascii="Verdana" w:hAnsi="Verdana"/>
                <w:color w:val="000000"/>
                <w:sz w:val="18"/>
                <w:szCs w:val="18"/>
              </w:rPr>
              <w:t>,</w:t>
            </w:r>
            <w:r>
              <w:rPr>
                <w:rFonts w:ascii="Verdana" w:hAnsi="Verdana"/>
                <w:color w:val="000000"/>
                <w:sz w:val="18"/>
                <w:szCs w:val="18"/>
              </w:rPr>
              <w:t>0</w:t>
            </w:r>
          </w:p>
        </w:tc>
        <w:tc>
          <w:tcPr>
            <w:tcW w:w="1418" w:type="dxa"/>
            <w:vAlign w:val="center"/>
          </w:tcPr>
          <w:p w14:paraId="59C46226" w14:textId="77777777" w:rsidR="00A029E7" w:rsidRPr="003B4F95"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DF64051" w14:textId="4CF7E441" w:rsidR="00A029E7" w:rsidRPr="003B4F95" w:rsidRDefault="00FE2ED4" w:rsidP="00A029E7">
            <w:pPr>
              <w:spacing w:before="40" w:after="40" w:line="280" w:lineRule="atLeast"/>
              <w:jc w:val="right"/>
              <w:rPr>
                <w:rFonts w:ascii="Verdana" w:hAnsi="Verdana"/>
                <w:color w:val="000000"/>
                <w:sz w:val="18"/>
                <w:szCs w:val="18"/>
              </w:rPr>
            </w:pPr>
            <w:r>
              <w:rPr>
                <w:rFonts w:ascii="Verdana" w:hAnsi="Verdana"/>
                <w:color w:val="000000"/>
                <w:sz w:val="18"/>
                <w:szCs w:val="18"/>
              </w:rPr>
              <w:t>4</w:t>
            </w:r>
            <w:r w:rsidR="00A029E7">
              <w:rPr>
                <w:rFonts w:ascii="Verdana" w:hAnsi="Verdana"/>
                <w:color w:val="000000"/>
                <w:sz w:val="18"/>
                <w:szCs w:val="18"/>
              </w:rPr>
              <w:t> </w:t>
            </w:r>
            <w:r w:rsidR="003F6A02">
              <w:rPr>
                <w:rFonts w:ascii="Verdana" w:hAnsi="Verdana"/>
                <w:color w:val="000000"/>
                <w:sz w:val="18"/>
                <w:szCs w:val="18"/>
              </w:rPr>
              <w:t>2</w:t>
            </w:r>
            <w:r>
              <w:rPr>
                <w:rFonts w:ascii="Verdana" w:hAnsi="Verdana"/>
                <w:color w:val="000000"/>
                <w:sz w:val="18"/>
                <w:szCs w:val="18"/>
              </w:rPr>
              <w:t>16</w:t>
            </w:r>
            <w:r w:rsidR="00A029E7">
              <w:rPr>
                <w:rFonts w:ascii="Verdana" w:hAnsi="Verdana"/>
                <w:color w:val="000000"/>
                <w:sz w:val="18"/>
                <w:szCs w:val="18"/>
              </w:rPr>
              <w:t>,</w:t>
            </w:r>
            <w:r>
              <w:rPr>
                <w:rFonts w:ascii="Verdana" w:hAnsi="Verdana"/>
                <w:color w:val="000000"/>
                <w:sz w:val="18"/>
                <w:szCs w:val="18"/>
              </w:rPr>
              <w:t>0</w:t>
            </w:r>
          </w:p>
        </w:tc>
      </w:tr>
      <w:tr w:rsidR="00A029E7" w:rsidRPr="000435BE" w14:paraId="2A28077D" w14:textId="77777777" w:rsidTr="00275FDA">
        <w:tc>
          <w:tcPr>
            <w:tcW w:w="567" w:type="dxa"/>
            <w:shd w:val="clear" w:color="auto" w:fill="auto"/>
          </w:tcPr>
          <w:p w14:paraId="7EE92D7F" w14:textId="77777777" w:rsidR="00A029E7" w:rsidRDefault="00A029E7" w:rsidP="00A029E7">
            <w:pPr>
              <w:spacing w:before="40" w:after="40" w:line="28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52836802" w14:textId="77777777" w:rsidR="00A029E7" w:rsidRPr="003B4F95" w:rsidRDefault="00A029E7" w:rsidP="00A029E7">
            <w:pPr>
              <w:spacing w:before="4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1639ECC5" w14:textId="77777777" w:rsidR="00A029E7"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473D0574" w14:textId="77777777" w:rsidR="00A029E7" w:rsidRDefault="00A029E7" w:rsidP="00A029E7">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06FC59" w14:textId="10CC7325" w:rsidR="00A029E7" w:rsidRDefault="00FE2ED4" w:rsidP="00A029E7">
            <w:pPr>
              <w:spacing w:before="40" w:after="40" w:line="280" w:lineRule="atLeast"/>
              <w:jc w:val="right"/>
              <w:rPr>
                <w:rFonts w:ascii="Verdana" w:hAnsi="Verdana"/>
                <w:color w:val="000000"/>
                <w:sz w:val="18"/>
                <w:szCs w:val="18"/>
              </w:rPr>
            </w:pPr>
            <w:r>
              <w:rPr>
                <w:rFonts w:ascii="Verdana" w:hAnsi="Verdana"/>
                <w:color w:val="000000"/>
                <w:sz w:val="18"/>
                <w:szCs w:val="18"/>
              </w:rPr>
              <w:t>2</w:t>
            </w:r>
            <w:r w:rsidR="00A029E7">
              <w:rPr>
                <w:rFonts w:ascii="Verdana" w:hAnsi="Verdana"/>
                <w:color w:val="000000"/>
                <w:sz w:val="18"/>
                <w:szCs w:val="18"/>
              </w:rPr>
              <w:t> </w:t>
            </w:r>
            <w:r>
              <w:rPr>
                <w:rFonts w:ascii="Verdana" w:hAnsi="Verdana"/>
                <w:color w:val="000000"/>
                <w:sz w:val="18"/>
                <w:szCs w:val="18"/>
              </w:rPr>
              <w:t>990</w:t>
            </w:r>
            <w:r w:rsidR="00A029E7">
              <w:rPr>
                <w:rFonts w:ascii="Verdana" w:hAnsi="Verdana"/>
                <w:color w:val="000000"/>
                <w:sz w:val="18"/>
                <w:szCs w:val="18"/>
              </w:rPr>
              <w:t>,</w:t>
            </w:r>
            <w:r>
              <w:rPr>
                <w:rFonts w:ascii="Verdana" w:hAnsi="Verdana"/>
                <w:color w:val="000000"/>
                <w:sz w:val="18"/>
                <w:szCs w:val="18"/>
              </w:rPr>
              <w:t>6</w:t>
            </w:r>
          </w:p>
        </w:tc>
        <w:tc>
          <w:tcPr>
            <w:tcW w:w="1418" w:type="dxa"/>
            <w:vAlign w:val="center"/>
          </w:tcPr>
          <w:p w14:paraId="260BA791" w14:textId="77777777" w:rsidR="00A029E7" w:rsidRDefault="00A029E7" w:rsidP="00A029E7">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8283939" w14:textId="02019440" w:rsidR="00A029E7" w:rsidRDefault="00FE2ED4" w:rsidP="00A029E7">
            <w:pPr>
              <w:spacing w:before="40" w:after="40" w:line="280" w:lineRule="atLeast"/>
              <w:jc w:val="right"/>
              <w:rPr>
                <w:rFonts w:ascii="Verdana" w:hAnsi="Verdana"/>
                <w:color w:val="000000"/>
                <w:sz w:val="18"/>
                <w:szCs w:val="18"/>
              </w:rPr>
            </w:pPr>
            <w:r>
              <w:rPr>
                <w:rFonts w:ascii="Verdana" w:hAnsi="Verdana"/>
                <w:color w:val="000000"/>
                <w:sz w:val="18"/>
                <w:szCs w:val="18"/>
              </w:rPr>
              <w:t>2</w:t>
            </w:r>
            <w:r w:rsidR="00A029E7">
              <w:rPr>
                <w:rFonts w:ascii="Verdana" w:hAnsi="Verdana"/>
                <w:color w:val="000000"/>
                <w:sz w:val="18"/>
                <w:szCs w:val="18"/>
              </w:rPr>
              <w:t> </w:t>
            </w:r>
            <w:r>
              <w:rPr>
                <w:rFonts w:ascii="Verdana" w:hAnsi="Verdana"/>
                <w:color w:val="000000"/>
                <w:sz w:val="18"/>
                <w:szCs w:val="18"/>
              </w:rPr>
              <w:t>990</w:t>
            </w:r>
            <w:r w:rsidR="00A029E7">
              <w:rPr>
                <w:rFonts w:ascii="Verdana" w:hAnsi="Verdana"/>
                <w:color w:val="000000"/>
                <w:sz w:val="18"/>
                <w:szCs w:val="18"/>
              </w:rPr>
              <w:t>,</w:t>
            </w:r>
            <w:r>
              <w:rPr>
                <w:rFonts w:ascii="Verdana" w:hAnsi="Verdana"/>
                <w:color w:val="000000"/>
                <w:sz w:val="18"/>
                <w:szCs w:val="18"/>
              </w:rPr>
              <w:t>6</w:t>
            </w:r>
          </w:p>
        </w:tc>
      </w:tr>
      <w:tr w:rsidR="00FE2ED4" w:rsidRPr="000435BE" w14:paraId="4C411E73" w14:textId="77777777" w:rsidTr="00275FDA">
        <w:tc>
          <w:tcPr>
            <w:tcW w:w="567" w:type="dxa"/>
            <w:shd w:val="clear" w:color="auto" w:fill="auto"/>
          </w:tcPr>
          <w:p w14:paraId="5CB420B3" w14:textId="77777777" w:rsidR="00FE2ED4" w:rsidRPr="003B4F95"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05574826" w14:textId="77777777" w:rsidR="00FE2ED4" w:rsidRPr="003B4F95" w:rsidRDefault="00FE2ED4" w:rsidP="00FE2ED4">
            <w:pPr>
              <w:spacing w:before="4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lib</w:t>
            </w:r>
          </w:p>
        </w:tc>
        <w:tc>
          <w:tcPr>
            <w:tcW w:w="993" w:type="dxa"/>
            <w:shd w:val="clear" w:color="auto" w:fill="auto"/>
            <w:vAlign w:val="center"/>
          </w:tcPr>
          <w:p w14:paraId="00779A79" w14:textId="2CB19190"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076DBE12"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18216F2A" w14:textId="5BB29D76"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2 956,7</w:t>
            </w:r>
          </w:p>
        </w:tc>
        <w:tc>
          <w:tcPr>
            <w:tcW w:w="1418" w:type="dxa"/>
            <w:vAlign w:val="center"/>
          </w:tcPr>
          <w:p w14:paraId="55B26D32" w14:textId="77777777"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913EB92" w14:textId="2416D048"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2 956,7</w:t>
            </w:r>
          </w:p>
        </w:tc>
      </w:tr>
      <w:tr w:rsidR="00FE2ED4" w:rsidRPr="000435BE" w14:paraId="5C40944C" w14:textId="77777777" w:rsidTr="00275FDA">
        <w:tc>
          <w:tcPr>
            <w:tcW w:w="567" w:type="dxa"/>
            <w:shd w:val="clear" w:color="auto" w:fill="auto"/>
          </w:tcPr>
          <w:p w14:paraId="7939F685" w14:textId="77777777" w:rsidR="00FE2ED4"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3FB336DD" w14:textId="77777777" w:rsidR="00FE2ED4" w:rsidRPr="003B4F95" w:rsidRDefault="00FE2ED4" w:rsidP="00FE2ED4">
            <w:pPr>
              <w:spacing w:before="4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594CA183" w14:textId="77777777" w:rsidR="00FE2ED4"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BDD07A3"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197AEB62" w14:textId="77777777"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A4C920" w14:textId="703AC340"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1 923,1</w:t>
            </w:r>
          </w:p>
        </w:tc>
        <w:tc>
          <w:tcPr>
            <w:tcW w:w="1843" w:type="dxa"/>
            <w:vAlign w:val="center"/>
          </w:tcPr>
          <w:p w14:paraId="1BC47EC9" w14:textId="19CAAC84" w:rsidR="00FE2ED4"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1 923,1</w:t>
            </w:r>
          </w:p>
        </w:tc>
      </w:tr>
      <w:tr w:rsidR="00FE2ED4" w:rsidRPr="000435BE" w14:paraId="22FAB2F8" w14:textId="77777777" w:rsidTr="00275FDA">
        <w:tc>
          <w:tcPr>
            <w:tcW w:w="567" w:type="dxa"/>
            <w:shd w:val="clear" w:color="auto" w:fill="auto"/>
          </w:tcPr>
          <w:p w14:paraId="53FFE31A" w14:textId="1020A9FE" w:rsidR="00FE2ED4"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10.</w:t>
            </w:r>
          </w:p>
        </w:tc>
        <w:tc>
          <w:tcPr>
            <w:tcW w:w="1984" w:type="dxa"/>
            <w:gridSpan w:val="2"/>
            <w:shd w:val="clear" w:color="auto" w:fill="auto"/>
          </w:tcPr>
          <w:p w14:paraId="1AB83CE1" w14:textId="0383801F" w:rsidR="00FE2ED4" w:rsidRPr="003B4F95"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290454D0" w14:textId="66D6CCBF" w:rsidR="00FE2ED4"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6367792" w14:textId="4FBD33AE" w:rsidR="00FE2ED4"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7</w:t>
            </w:r>
          </w:p>
        </w:tc>
        <w:tc>
          <w:tcPr>
            <w:tcW w:w="1417" w:type="dxa"/>
            <w:vAlign w:val="center"/>
          </w:tcPr>
          <w:p w14:paraId="1295E4DF" w14:textId="2C8913C4" w:rsidR="00FE2ED4"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7A07C5" w14:textId="50E77DE7" w:rsidR="00FE2ED4"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963,0</w:t>
            </w:r>
          </w:p>
        </w:tc>
        <w:tc>
          <w:tcPr>
            <w:tcW w:w="1843" w:type="dxa"/>
            <w:vAlign w:val="center"/>
          </w:tcPr>
          <w:p w14:paraId="3388D25B" w14:textId="7CC4CE94" w:rsidR="00FE2ED4"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963,0</w:t>
            </w:r>
          </w:p>
        </w:tc>
      </w:tr>
      <w:tr w:rsidR="00FE2ED4" w:rsidRPr="000435BE" w14:paraId="042A8F9F" w14:textId="77777777" w:rsidTr="00275FDA">
        <w:tc>
          <w:tcPr>
            <w:tcW w:w="567" w:type="dxa"/>
            <w:shd w:val="clear" w:color="auto" w:fill="auto"/>
          </w:tcPr>
          <w:p w14:paraId="3486190D" w14:textId="64ADEBA2" w:rsidR="00FE2ED4" w:rsidRPr="003B4F95"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11</w:t>
            </w:r>
            <w:r w:rsidRPr="003B4F95">
              <w:rPr>
                <w:rFonts w:ascii="Verdana" w:hAnsi="Verdana"/>
                <w:color w:val="000000"/>
                <w:sz w:val="18"/>
                <w:szCs w:val="18"/>
              </w:rPr>
              <w:t>.</w:t>
            </w:r>
          </w:p>
        </w:tc>
        <w:tc>
          <w:tcPr>
            <w:tcW w:w="1984" w:type="dxa"/>
            <w:gridSpan w:val="2"/>
            <w:shd w:val="clear" w:color="auto" w:fill="auto"/>
          </w:tcPr>
          <w:p w14:paraId="177BE1B7" w14:textId="77777777" w:rsidR="00FE2ED4" w:rsidRPr="003B4F95" w:rsidRDefault="00FE2ED4" w:rsidP="00FE2ED4">
            <w:pPr>
              <w:spacing w:before="4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(RMB)</w:t>
            </w:r>
          </w:p>
        </w:tc>
        <w:tc>
          <w:tcPr>
            <w:tcW w:w="993" w:type="dxa"/>
            <w:shd w:val="clear" w:color="auto" w:fill="auto"/>
            <w:vAlign w:val="center"/>
          </w:tcPr>
          <w:p w14:paraId="068EE2BB"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329CCAB8"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419C3D1" w14:textId="27F4F363"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828,5</w:t>
            </w:r>
          </w:p>
        </w:tc>
        <w:tc>
          <w:tcPr>
            <w:tcW w:w="1418" w:type="dxa"/>
            <w:vAlign w:val="center"/>
          </w:tcPr>
          <w:p w14:paraId="2B7A1400" w14:textId="77777777"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55E0D22" w14:textId="3A11E685"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828,5</w:t>
            </w:r>
          </w:p>
        </w:tc>
      </w:tr>
      <w:tr w:rsidR="00FE2ED4" w:rsidRPr="000435BE" w14:paraId="36A64B2A" w14:textId="77777777" w:rsidTr="00275FDA">
        <w:tc>
          <w:tcPr>
            <w:tcW w:w="567" w:type="dxa"/>
            <w:shd w:val="clear" w:color="auto" w:fill="auto"/>
          </w:tcPr>
          <w:p w14:paraId="2492D4CF" w14:textId="77777777" w:rsidR="00FE2ED4" w:rsidRPr="003B4F95" w:rsidRDefault="00FE2ED4" w:rsidP="00FE2ED4">
            <w:pPr>
              <w:spacing w:before="40" w:after="40" w:line="280" w:lineRule="atLeast"/>
              <w:rPr>
                <w:rFonts w:ascii="Verdana" w:hAnsi="Verdana"/>
                <w:color w:val="000000"/>
                <w:sz w:val="18"/>
                <w:szCs w:val="18"/>
              </w:rPr>
            </w:pPr>
            <w:r>
              <w:rPr>
                <w:rFonts w:ascii="Verdana" w:hAnsi="Verdana"/>
                <w:color w:val="000000"/>
                <w:sz w:val="18"/>
                <w:szCs w:val="18"/>
              </w:rPr>
              <w:t>12</w:t>
            </w:r>
            <w:r w:rsidRPr="003B4F95">
              <w:rPr>
                <w:rFonts w:ascii="Verdana" w:hAnsi="Verdana"/>
                <w:color w:val="000000"/>
                <w:sz w:val="18"/>
                <w:szCs w:val="18"/>
              </w:rPr>
              <w:t>.</w:t>
            </w:r>
          </w:p>
        </w:tc>
        <w:tc>
          <w:tcPr>
            <w:tcW w:w="1984" w:type="dxa"/>
            <w:gridSpan w:val="2"/>
            <w:shd w:val="clear" w:color="auto" w:fill="auto"/>
          </w:tcPr>
          <w:p w14:paraId="2FFABF99" w14:textId="77777777" w:rsidR="00FE2ED4" w:rsidRPr="003B4F95" w:rsidRDefault="00FE2ED4" w:rsidP="00FE2ED4">
            <w:pPr>
              <w:spacing w:before="4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4195257A"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11CB8B72" w14:textId="77777777" w:rsidR="00FE2ED4" w:rsidRPr="003B4F95" w:rsidRDefault="00FE2ED4" w:rsidP="00FE2ED4">
            <w:pPr>
              <w:spacing w:before="4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8B14AE3" w14:textId="07C9A584"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22,6</w:t>
            </w:r>
          </w:p>
        </w:tc>
        <w:tc>
          <w:tcPr>
            <w:tcW w:w="1418" w:type="dxa"/>
            <w:vAlign w:val="center"/>
          </w:tcPr>
          <w:p w14:paraId="5492C253" w14:textId="77777777"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0</w:t>
            </w:r>
          </w:p>
        </w:tc>
        <w:tc>
          <w:tcPr>
            <w:tcW w:w="1843" w:type="dxa"/>
            <w:vAlign w:val="center"/>
          </w:tcPr>
          <w:p w14:paraId="1D35DE85" w14:textId="38A75AD2" w:rsidR="00FE2ED4" w:rsidRPr="003B4F95" w:rsidRDefault="00FE2ED4" w:rsidP="00FE2ED4">
            <w:pPr>
              <w:spacing w:before="40" w:after="40" w:line="280" w:lineRule="atLeast"/>
              <w:jc w:val="right"/>
              <w:rPr>
                <w:rFonts w:ascii="Verdana" w:hAnsi="Verdana"/>
                <w:color w:val="000000"/>
                <w:sz w:val="18"/>
                <w:szCs w:val="18"/>
              </w:rPr>
            </w:pPr>
            <w:r>
              <w:rPr>
                <w:rFonts w:ascii="Verdana" w:hAnsi="Verdana"/>
                <w:color w:val="000000"/>
                <w:sz w:val="18"/>
                <w:szCs w:val="18"/>
              </w:rPr>
              <w:t>22,6</w:t>
            </w:r>
          </w:p>
        </w:tc>
      </w:tr>
      <w:tr w:rsidR="00FE2ED4" w:rsidRPr="000435BE" w14:paraId="43496BCD" w14:textId="77777777" w:rsidTr="00275FDA">
        <w:tc>
          <w:tcPr>
            <w:tcW w:w="2551" w:type="dxa"/>
            <w:gridSpan w:val="3"/>
            <w:shd w:val="clear" w:color="auto" w:fill="auto"/>
          </w:tcPr>
          <w:p w14:paraId="249E629A" w14:textId="77777777" w:rsidR="00FE2ED4" w:rsidRPr="003B4F95" w:rsidRDefault="00FE2ED4" w:rsidP="00FE2ED4">
            <w:pPr>
              <w:spacing w:before="4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396757" w14:textId="716BF852" w:rsidR="00FE2ED4" w:rsidRPr="003B4F95" w:rsidRDefault="00FE2ED4" w:rsidP="00FE2ED4">
            <w:pPr>
              <w:spacing w:before="40" w:after="40" w:line="280" w:lineRule="atLeast"/>
              <w:jc w:val="center"/>
              <w:rPr>
                <w:rFonts w:ascii="Verdana" w:hAnsi="Verdana"/>
                <w:b/>
                <w:color w:val="000000"/>
                <w:sz w:val="18"/>
                <w:szCs w:val="18"/>
              </w:rPr>
            </w:pPr>
            <w:r>
              <w:rPr>
                <w:rFonts w:ascii="Verdana" w:hAnsi="Verdana"/>
                <w:b/>
                <w:color w:val="000000"/>
                <w:sz w:val="18"/>
                <w:szCs w:val="18"/>
              </w:rPr>
              <w:t>78</w:t>
            </w:r>
          </w:p>
        </w:tc>
        <w:tc>
          <w:tcPr>
            <w:tcW w:w="992" w:type="dxa"/>
            <w:shd w:val="clear" w:color="auto" w:fill="auto"/>
            <w:vAlign w:val="center"/>
          </w:tcPr>
          <w:p w14:paraId="143E53B1" w14:textId="1801F7F9" w:rsidR="00FE2ED4" w:rsidRPr="003B4F95" w:rsidRDefault="00FE2ED4" w:rsidP="00FE2ED4">
            <w:pPr>
              <w:spacing w:before="40" w:after="40" w:line="280" w:lineRule="atLeast"/>
              <w:jc w:val="center"/>
              <w:rPr>
                <w:rFonts w:ascii="Verdana" w:hAnsi="Verdana"/>
                <w:b/>
                <w:color w:val="000000"/>
                <w:sz w:val="18"/>
                <w:szCs w:val="18"/>
              </w:rPr>
            </w:pPr>
            <w:r>
              <w:rPr>
                <w:rFonts w:ascii="Verdana" w:hAnsi="Verdana"/>
                <w:b/>
                <w:color w:val="000000"/>
                <w:sz w:val="18"/>
                <w:szCs w:val="18"/>
              </w:rPr>
              <w:t>27</w:t>
            </w:r>
          </w:p>
        </w:tc>
        <w:tc>
          <w:tcPr>
            <w:tcW w:w="1417" w:type="dxa"/>
            <w:vAlign w:val="center"/>
          </w:tcPr>
          <w:p w14:paraId="361D741C" w14:textId="6CCE75CE" w:rsidR="00FE2ED4" w:rsidRPr="003B4F95" w:rsidRDefault="00FE2ED4" w:rsidP="00FE2ED4">
            <w:pPr>
              <w:spacing w:before="40" w:after="40" w:line="280" w:lineRule="atLeast"/>
              <w:jc w:val="right"/>
              <w:rPr>
                <w:rFonts w:ascii="Verdana" w:hAnsi="Verdana"/>
                <w:b/>
                <w:color w:val="000000"/>
                <w:sz w:val="18"/>
                <w:szCs w:val="18"/>
              </w:rPr>
            </w:pPr>
            <w:r>
              <w:rPr>
                <w:rFonts w:ascii="Verdana" w:hAnsi="Verdana"/>
                <w:b/>
                <w:color w:val="000000"/>
                <w:sz w:val="18"/>
                <w:szCs w:val="18"/>
              </w:rPr>
              <w:t>80 993,1</w:t>
            </w:r>
          </w:p>
        </w:tc>
        <w:tc>
          <w:tcPr>
            <w:tcW w:w="1418" w:type="dxa"/>
            <w:vAlign w:val="center"/>
          </w:tcPr>
          <w:p w14:paraId="22FC229A" w14:textId="61C0D873" w:rsidR="00FE2ED4" w:rsidRPr="003B4F95" w:rsidRDefault="00FE2ED4" w:rsidP="00FE2ED4">
            <w:pPr>
              <w:spacing w:before="40" w:after="40" w:line="280" w:lineRule="atLeast"/>
              <w:jc w:val="right"/>
              <w:rPr>
                <w:rFonts w:ascii="Verdana" w:hAnsi="Verdana"/>
                <w:b/>
                <w:color w:val="000000"/>
                <w:sz w:val="18"/>
                <w:szCs w:val="18"/>
              </w:rPr>
            </w:pPr>
            <w:r>
              <w:rPr>
                <w:rFonts w:ascii="Verdana" w:hAnsi="Verdana"/>
                <w:b/>
                <w:color w:val="000000"/>
                <w:sz w:val="18"/>
                <w:szCs w:val="18"/>
              </w:rPr>
              <w:t>10 337,3</w:t>
            </w:r>
          </w:p>
        </w:tc>
        <w:tc>
          <w:tcPr>
            <w:tcW w:w="1843" w:type="dxa"/>
            <w:vAlign w:val="center"/>
          </w:tcPr>
          <w:p w14:paraId="3DC82BE9" w14:textId="1194306B" w:rsidR="00FE2ED4" w:rsidRPr="003B4F95" w:rsidRDefault="00FE2ED4" w:rsidP="00FE2ED4">
            <w:pPr>
              <w:spacing w:before="40" w:after="40" w:line="280" w:lineRule="atLeast"/>
              <w:jc w:val="right"/>
              <w:rPr>
                <w:rFonts w:ascii="Verdana" w:hAnsi="Verdana"/>
                <w:b/>
                <w:color w:val="000000"/>
                <w:sz w:val="18"/>
                <w:szCs w:val="18"/>
              </w:rPr>
            </w:pPr>
            <w:r>
              <w:rPr>
                <w:rFonts w:ascii="Verdana" w:hAnsi="Verdana"/>
                <w:b/>
                <w:color w:val="000000"/>
                <w:sz w:val="18"/>
                <w:szCs w:val="18"/>
              </w:rPr>
              <w:t>91 330,4</w:t>
            </w:r>
          </w:p>
        </w:tc>
      </w:tr>
      <w:tr w:rsidR="00FE2ED4" w:rsidRPr="00AB6CBE" w14:paraId="399FD388" w14:textId="77777777" w:rsidTr="00275FDA">
        <w:trPr>
          <w:trHeight w:val="217"/>
        </w:trPr>
        <w:tc>
          <w:tcPr>
            <w:tcW w:w="850" w:type="dxa"/>
            <w:gridSpan w:val="2"/>
            <w:tcBorders>
              <w:right w:val="nil"/>
            </w:tcBorders>
            <w:shd w:val="clear" w:color="auto" w:fill="auto"/>
            <w:vAlign w:val="center"/>
          </w:tcPr>
          <w:p w14:paraId="72B96F5C" w14:textId="77777777" w:rsidR="00FE2ED4" w:rsidRPr="000435BE" w:rsidRDefault="00FE2ED4" w:rsidP="00FE2ED4">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4EF21F19" w14:textId="7DA9D3B8" w:rsidR="00FE2ED4" w:rsidRPr="000435BE" w:rsidRDefault="00FE2ED4" w:rsidP="00FE2ED4">
            <w:pPr>
              <w:spacing w:after="40" w:line="280" w:lineRule="atLeast"/>
              <w:rPr>
                <w:rFonts w:ascii="Verdana" w:hAnsi="Verdana"/>
                <w:i/>
                <w:color w:val="000000"/>
                <w:sz w:val="14"/>
                <w:szCs w:val="14"/>
              </w:rPr>
            </w:pPr>
            <w:r w:rsidRPr="000435BE">
              <w:rPr>
                <w:rFonts w:ascii="Verdana" w:hAnsi="Verdana"/>
                <w:i/>
                <w:color w:val="000000"/>
                <w:sz w:val="14"/>
                <w:szCs w:val="14"/>
              </w:rPr>
              <w:t>etfSA.co.za / JSE / Profile Data (</w:t>
            </w:r>
            <w:r>
              <w:rPr>
                <w:rFonts w:ascii="Verdana" w:hAnsi="Verdana"/>
                <w:i/>
                <w:color w:val="000000"/>
                <w:sz w:val="14"/>
                <w:szCs w:val="14"/>
              </w:rPr>
              <w:t>30</w:t>
            </w:r>
            <w:r w:rsidRPr="000435BE">
              <w:rPr>
                <w:rFonts w:ascii="Verdana" w:hAnsi="Verdana"/>
                <w:i/>
                <w:color w:val="000000"/>
                <w:sz w:val="14"/>
                <w:szCs w:val="14"/>
              </w:rPr>
              <w:t>/</w:t>
            </w:r>
            <w:r>
              <w:rPr>
                <w:rFonts w:ascii="Verdana" w:hAnsi="Verdana"/>
                <w:i/>
                <w:color w:val="000000"/>
                <w:sz w:val="14"/>
                <w:szCs w:val="14"/>
              </w:rPr>
              <w:t>6</w:t>
            </w:r>
            <w:r w:rsidRPr="000435BE">
              <w:rPr>
                <w:rFonts w:ascii="Verdana" w:hAnsi="Verdana"/>
                <w:i/>
                <w:color w:val="000000"/>
                <w:sz w:val="14"/>
                <w:szCs w:val="14"/>
              </w:rPr>
              <w:t>/201</w:t>
            </w:r>
            <w:r>
              <w:rPr>
                <w:rFonts w:ascii="Verdana" w:hAnsi="Verdana"/>
                <w:i/>
                <w:color w:val="000000"/>
                <w:sz w:val="14"/>
                <w:szCs w:val="14"/>
              </w:rPr>
              <w:t>9</w:t>
            </w:r>
            <w:r w:rsidRPr="000435BE">
              <w:rPr>
                <w:rFonts w:ascii="Verdana" w:hAnsi="Verdana"/>
                <w:i/>
                <w:color w:val="000000"/>
                <w:sz w:val="14"/>
                <w:szCs w:val="14"/>
              </w:rPr>
              <w:t xml:space="preserve">). </w:t>
            </w:r>
          </w:p>
        </w:tc>
      </w:tr>
    </w:tbl>
    <w:p w14:paraId="746F7C7A" w14:textId="2F1757FF" w:rsidR="004C60DA" w:rsidRDefault="004C60DA">
      <w:pPr>
        <w:rPr>
          <w:rFonts w:ascii="Verdana" w:hAnsi="Verdana"/>
          <w:color w:val="000000"/>
          <w:sz w:val="21"/>
          <w:szCs w:val="21"/>
        </w:rPr>
      </w:pPr>
      <w:r>
        <w:rPr>
          <w:rFonts w:ascii="Verdana" w:hAnsi="Verdana"/>
          <w:color w:val="000000"/>
          <w:sz w:val="21"/>
          <w:szCs w:val="21"/>
        </w:rPr>
        <w:br w:type="page"/>
      </w:r>
    </w:p>
    <w:p w14:paraId="2A5FACA1" w14:textId="77777777" w:rsidR="00D36A69" w:rsidRDefault="00D36A69" w:rsidP="00B82C05">
      <w:pPr>
        <w:spacing w:after="0" w:line="340" w:lineRule="atLeast"/>
        <w:jc w:val="both"/>
        <w:rPr>
          <w:rFonts w:ascii="Verdana" w:hAnsi="Verdana"/>
          <w:b/>
          <w:sz w:val="21"/>
          <w:szCs w:val="21"/>
        </w:rPr>
      </w:pPr>
    </w:p>
    <w:p w14:paraId="09BC7363" w14:textId="49950DE8" w:rsidR="001255EF" w:rsidRDefault="0074101D" w:rsidP="009E06CC">
      <w:pPr>
        <w:spacing w:after="0" w:line="360" w:lineRule="atLeast"/>
        <w:jc w:val="both"/>
        <w:rPr>
          <w:rFonts w:ascii="Verdana" w:hAnsi="Verdana"/>
          <w:sz w:val="21"/>
          <w:szCs w:val="21"/>
        </w:rPr>
      </w:pPr>
      <w:r>
        <w:rPr>
          <w:rFonts w:ascii="Verdana" w:hAnsi="Verdana"/>
          <w:b/>
          <w:sz w:val="21"/>
          <w:szCs w:val="21"/>
        </w:rPr>
        <w:t>Absa Capital</w:t>
      </w:r>
      <w:r>
        <w:rPr>
          <w:rFonts w:ascii="Verdana" w:hAnsi="Verdana"/>
          <w:sz w:val="21"/>
          <w:szCs w:val="21"/>
        </w:rPr>
        <w:t xml:space="preserve"> – </w:t>
      </w:r>
      <w:r w:rsidR="0080262B">
        <w:rPr>
          <w:rFonts w:ascii="Verdana" w:hAnsi="Verdana"/>
          <w:sz w:val="21"/>
          <w:szCs w:val="21"/>
        </w:rPr>
        <w:t xml:space="preserve">with R27 billion assets under management in listed ETFs and ETNs and </w:t>
      </w:r>
      <w:r w:rsidR="009E06CC">
        <w:rPr>
          <w:rFonts w:ascii="Verdana" w:hAnsi="Verdana"/>
          <w:sz w:val="21"/>
          <w:szCs w:val="21"/>
        </w:rPr>
        <w:t xml:space="preserve">with </w:t>
      </w:r>
      <w:r w:rsidR="0080262B">
        <w:rPr>
          <w:rFonts w:ascii="Verdana" w:hAnsi="Verdana"/>
          <w:sz w:val="21"/>
          <w:szCs w:val="21"/>
        </w:rPr>
        <w:t xml:space="preserve">26 products in issue, Absa has consolidated its position over the past months as the largest issuer of ETPs in South Africa.  </w:t>
      </w:r>
    </w:p>
    <w:p w14:paraId="13F4D582" w14:textId="32AF96AC" w:rsidR="0080262B" w:rsidRDefault="0080262B" w:rsidP="009E06CC">
      <w:pPr>
        <w:spacing w:after="0" w:line="360" w:lineRule="atLeast"/>
        <w:jc w:val="both"/>
        <w:rPr>
          <w:rFonts w:ascii="Verdana" w:hAnsi="Verdana"/>
          <w:sz w:val="21"/>
          <w:szCs w:val="21"/>
        </w:rPr>
      </w:pPr>
    </w:p>
    <w:p w14:paraId="1534120A" w14:textId="0FCB343E" w:rsidR="0080262B" w:rsidRDefault="0080262B" w:rsidP="009E06CC">
      <w:pPr>
        <w:spacing w:after="0" w:line="360" w:lineRule="atLeast"/>
        <w:jc w:val="both"/>
        <w:rPr>
          <w:rFonts w:ascii="Verdana" w:hAnsi="Verdana"/>
          <w:sz w:val="21"/>
          <w:szCs w:val="21"/>
        </w:rPr>
      </w:pPr>
      <w:r>
        <w:rPr>
          <w:rFonts w:ascii="Verdana" w:hAnsi="Verdana"/>
          <w:sz w:val="21"/>
          <w:szCs w:val="21"/>
        </w:rPr>
        <w:t xml:space="preserve">Absa Capital has recently listed </w:t>
      </w:r>
      <w:r w:rsidR="009E06CC">
        <w:rPr>
          <w:rFonts w:ascii="Verdana" w:hAnsi="Verdana"/>
          <w:sz w:val="21"/>
          <w:szCs w:val="21"/>
        </w:rPr>
        <w:t>three</w:t>
      </w:r>
      <w:r>
        <w:rPr>
          <w:rFonts w:ascii="Verdana" w:hAnsi="Verdana"/>
          <w:sz w:val="21"/>
          <w:szCs w:val="21"/>
        </w:rPr>
        <w:t xml:space="preserve"> new smart beta ETFs, the managed volatility products, where the </w:t>
      </w:r>
      <w:r w:rsidR="00AC2C23">
        <w:rPr>
          <w:rFonts w:ascii="Verdana" w:hAnsi="Verdana"/>
          <w:sz w:val="21"/>
          <w:szCs w:val="21"/>
        </w:rPr>
        <w:t xml:space="preserve">switching between cash and equities is triggered by targeted levels of drawdown and momentum.  </w:t>
      </w:r>
      <w:r w:rsidR="009E06CC">
        <w:rPr>
          <w:rFonts w:ascii="Verdana" w:hAnsi="Verdana"/>
          <w:sz w:val="21"/>
          <w:szCs w:val="21"/>
        </w:rPr>
        <w:t>The various</w:t>
      </w:r>
      <w:r w:rsidR="00AC2C23">
        <w:rPr>
          <w:rFonts w:ascii="Verdana" w:hAnsi="Verdana"/>
          <w:sz w:val="21"/>
          <w:szCs w:val="21"/>
        </w:rPr>
        <w:t xml:space="preserve"> levels of volatility</w:t>
      </w:r>
      <w:r w:rsidR="009E06CC">
        <w:rPr>
          <w:rFonts w:ascii="Verdana" w:hAnsi="Verdana"/>
          <w:sz w:val="21"/>
          <w:szCs w:val="21"/>
        </w:rPr>
        <w:t>,</w:t>
      </w:r>
      <w:r w:rsidR="00AC2C23">
        <w:rPr>
          <w:rFonts w:ascii="Verdana" w:hAnsi="Verdana"/>
          <w:sz w:val="21"/>
          <w:szCs w:val="21"/>
        </w:rPr>
        <w:t xml:space="preserve"> which cause such switches between </w:t>
      </w:r>
      <w:r w:rsidR="00932B35">
        <w:rPr>
          <w:rFonts w:ascii="Verdana" w:hAnsi="Verdana"/>
          <w:sz w:val="21"/>
          <w:szCs w:val="21"/>
        </w:rPr>
        <w:t>equity</w:t>
      </w:r>
      <w:r w:rsidR="00AC2C23">
        <w:rPr>
          <w:rFonts w:ascii="Verdana" w:hAnsi="Verdana"/>
          <w:sz w:val="21"/>
          <w:szCs w:val="21"/>
        </w:rPr>
        <w:t xml:space="preserve"> and cash, </w:t>
      </w:r>
      <w:r w:rsidR="009E06CC">
        <w:rPr>
          <w:rFonts w:ascii="Verdana" w:hAnsi="Verdana"/>
          <w:sz w:val="21"/>
          <w:szCs w:val="21"/>
        </w:rPr>
        <w:t>differentiate</w:t>
      </w:r>
      <w:r w:rsidR="00AC2C23">
        <w:rPr>
          <w:rFonts w:ascii="Verdana" w:hAnsi="Verdana"/>
          <w:sz w:val="21"/>
          <w:szCs w:val="21"/>
        </w:rPr>
        <w:t xml:space="preserve"> for the high growth, defensive and moderate strategies offered by the 3 </w:t>
      </w:r>
      <w:r w:rsidR="009E06CC">
        <w:rPr>
          <w:rFonts w:ascii="Verdana" w:hAnsi="Verdana"/>
          <w:sz w:val="21"/>
          <w:szCs w:val="21"/>
        </w:rPr>
        <w:t>Absa</w:t>
      </w:r>
      <w:r w:rsidR="00AC2C23">
        <w:rPr>
          <w:rFonts w:ascii="Verdana" w:hAnsi="Verdana"/>
          <w:sz w:val="21"/>
          <w:szCs w:val="21"/>
        </w:rPr>
        <w:t xml:space="preserve"> managed volatility ETFs that have been issued on the JSE.  </w:t>
      </w:r>
    </w:p>
    <w:p w14:paraId="3B0A8D7E" w14:textId="1EE2F178" w:rsidR="00AC2C23" w:rsidRDefault="00AC2C23" w:rsidP="009E06CC">
      <w:pPr>
        <w:spacing w:after="0" w:line="360" w:lineRule="atLeast"/>
        <w:jc w:val="both"/>
        <w:rPr>
          <w:rFonts w:ascii="Verdana" w:hAnsi="Verdana"/>
          <w:sz w:val="21"/>
          <w:szCs w:val="21"/>
        </w:rPr>
      </w:pPr>
    </w:p>
    <w:p w14:paraId="03564225" w14:textId="233EE7AB" w:rsidR="00AC2C23" w:rsidRDefault="00AC2C23" w:rsidP="009E06CC">
      <w:pPr>
        <w:spacing w:after="0" w:line="360" w:lineRule="atLeast"/>
        <w:jc w:val="both"/>
        <w:rPr>
          <w:rFonts w:ascii="Verdana" w:hAnsi="Verdana"/>
          <w:sz w:val="21"/>
          <w:szCs w:val="21"/>
        </w:rPr>
      </w:pPr>
      <w:r>
        <w:rPr>
          <w:rFonts w:ascii="Verdana" w:hAnsi="Verdana"/>
          <w:sz w:val="21"/>
          <w:szCs w:val="21"/>
        </w:rPr>
        <w:t xml:space="preserve">This use of </w:t>
      </w:r>
      <w:r w:rsidR="009E06CC">
        <w:rPr>
          <w:rFonts w:ascii="Verdana" w:hAnsi="Verdana"/>
          <w:sz w:val="21"/>
          <w:szCs w:val="21"/>
        </w:rPr>
        <w:t xml:space="preserve">a </w:t>
      </w:r>
      <w:r>
        <w:rPr>
          <w:rFonts w:ascii="Verdana" w:hAnsi="Verdana"/>
          <w:sz w:val="21"/>
          <w:szCs w:val="21"/>
        </w:rPr>
        <w:t>cont</w:t>
      </w:r>
      <w:r w:rsidR="009E06CC">
        <w:rPr>
          <w:rFonts w:ascii="Verdana" w:hAnsi="Verdana"/>
          <w:sz w:val="21"/>
          <w:szCs w:val="21"/>
        </w:rPr>
        <w:t>rol</w:t>
      </w:r>
      <w:r>
        <w:rPr>
          <w:rFonts w:ascii="Verdana" w:hAnsi="Verdana"/>
          <w:sz w:val="21"/>
          <w:szCs w:val="21"/>
        </w:rPr>
        <w:t xml:space="preserve"> mechanism </w:t>
      </w:r>
      <w:r w:rsidR="00932B35">
        <w:rPr>
          <w:rFonts w:ascii="Verdana" w:hAnsi="Verdana"/>
          <w:sz w:val="21"/>
          <w:szCs w:val="21"/>
        </w:rPr>
        <w:t>to</w:t>
      </w:r>
      <w:r>
        <w:rPr>
          <w:rFonts w:ascii="Verdana" w:hAnsi="Verdana"/>
          <w:sz w:val="21"/>
          <w:szCs w:val="21"/>
        </w:rPr>
        <w:t xml:space="preserve"> cause active changes in the portfolio, together with the actively managed ETFS issued by Union Bank of </w:t>
      </w:r>
      <w:r w:rsidR="00932B35">
        <w:rPr>
          <w:rFonts w:ascii="Verdana" w:hAnsi="Verdana"/>
          <w:sz w:val="21"/>
          <w:szCs w:val="21"/>
        </w:rPr>
        <w:t>Switzerland</w:t>
      </w:r>
      <w:r>
        <w:rPr>
          <w:rFonts w:ascii="Verdana" w:hAnsi="Verdana"/>
          <w:sz w:val="21"/>
          <w:szCs w:val="21"/>
        </w:rPr>
        <w:t xml:space="preserve"> (UBS), on behalf of certain asset managers, </w:t>
      </w:r>
      <w:r w:rsidR="009E06CC">
        <w:rPr>
          <w:rFonts w:ascii="Verdana" w:hAnsi="Verdana"/>
          <w:sz w:val="21"/>
          <w:szCs w:val="21"/>
        </w:rPr>
        <w:t xml:space="preserve">could </w:t>
      </w:r>
      <w:r>
        <w:rPr>
          <w:rFonts w:ascii="Verdana" w:hAnsi="Verdana"/>
          <w:sz w:val="21"/>
          <w:szCs w:val="21"/>
        </w:rPr>
        <w:t xml:space="preserve">signal a movement towards more actively managed passive strategies, which is a </w:t>
      </w:r>
      <w:r w:rsidR="009E06CC">
        <w:rPr>
          <w:rFonts w:ascii="Verdana" w:hAnsi="Verdana"/>
          <w:sz w:val="21"/>
          <w:szCs w:val="21"/>
        </w:rPr>
        <w:t xml:space="preserve">critical </w:t>
      </w:r>
      <w:r>
        <w:rPr>
          <w:rFonts w:ascii="Verdana" w:hAnsi="Verdana"/>
          <w:sz w:val="21"/>
          <w:szCs w:val="21"/>
        </w:rPr>
        <w:t xml:space="preserve">step in the development of the index tracking industry in South Africa.  </w:t>
      </w:r>
    </w:p>
    <w:p w14:paraId="2CD63EB6" w14:textId="77777777" w:rsidR="0074101D" w:rsidRDefault="0074101D" w:rsidP="009E06CC">
      <w:pPr>
        <w:spacing w:after="0" w:line="360" w:lineRule="atLeast"/>
        <w:jc w:val="both"/>
        <w:rPr>
          <w:rFonts w:ascii="Verdana" w:hAnsi="Verdana"/>
          <w:b/>
          <w:sz w:val="21"/>
          <w:szCs w:val="21"/>
        </w:rPr>
      </w:pPr>
    </w:p>
    <w:p w14:paraId="0A24A4FC" w14:textId="74560A81" w:rsidR="002536F5" w:rsidRDefault="00AC5FC2" w:rsidP="009E06CC">
      <w:pPr>
        <w:spacing w:after="0" w:line="360" w:lineRule="atLeast"/>
        <w:jc w:val="both"/>
        <w:rPr>
          <w:rFonts w:ascii="Verdana" w:hAnsi="Verdana"/>
          <w:sz w:val="21"/>
          <w:szCs w:val="21"/>
        </w:rPr>
      </w:pPr>
      <w:r>
        <w:rPr>
          <w:rFonts w:ascii="Verdana" w:hAnsi="Verdana"/>
          <w:b/>
          <w:sz w:val="21"/>
          <w:szCs w:val="21"/>
        </w:rPr>
        <w:t>Sygnia Itrix</w:t>
      </w:r>
      <w:r w:rsidR="00A97831" w:rsidRPr="00F56643">
        <w:rPr>
          <w:rFonts w:ascii="Verdana" w:hAnsi="Verdana"/>
          <w:sz w:val="21"/>
          <w:szCs w:val="21"/>
        </w:rPr>
        <w:t xml:space="preserve"> </w:t>
      </w:r>
      <w:r w:rsidR="009F66FE">
        <w:rPr>
          <w:rFonts w:ascii="Verdana" w:hAnsi="Verdana"/>
          <w:sz w:val="21"/>
          <w:szCs w:val="21"/>
        </w:rPr>
        <w:t>–</w:t>
      </w:r>
      <w:r w:rsidR="002A6914">
        <w:rPr>
          <w:rFonts w:ascii="Verdana" w:hAnsi="Verdana"/>
          <w:sz w:val="21"/>
          <w:szCs w:val="21"/>
        </w:rPr>
        <w:t xml:space="preserve"> </w:t>
      </w:r>
      <w:r w:rsidR="00D65796">
        <w:rPr>
          <w:rFonts w:ascii="Verdana" w:hAnsi="Verdana"/>
          <w:sz w:val="21"/>
          <w:szCs w:val="21"/>
        </w:rPr>
        <w:t xml:space="preserve">still remains in second place in terms of size for ETPs issued in South Africa, with R19,3 billion in total market capitalisation.  However, there has been a net redemption in certain of the offshore ETFs provided by Sygnia Itrix in the past two quarters.  </w:t>
      </w:r>
    </w:p>
    <w:p w14:paraId="23DDF040" w14:textId="1456849F" w:rsidR="00D65796" w:rsidRDefault="00D65796" w:rsidP="009E06CC">
      <w:pPr>
        <w:spacing w:after="0" w:line="360" w:lineRule="atLeast"/>
        <w:jc w:val="both"/>
        <w:rPr>
          <w:rFonts w:ascii="Verdana" w:hAnsi="Verdana"/>
          <w:sz w:val="21"/>
          <w:szCs w:val="21"/>
        </w:rPr>
      </w:pPr>
    </w:p>
    <w:p w14:paraId="562A722C" w14:textId="00B3CE1E" w:rsidR="00D65796" w:rsidRDefault="00D65796" w:rsidP="009E06CC">
      <w:pPr>
        <w:spacing w:after="0" w:line="360" w:lineRule="atLeast"/>
        <w:jc w:val="both"/>
        <w:rPr>
          <w:rFonts w:ascii="Verdana" w:hAnsi="Verdana"/>
          <w:sz w:val="21"/>
          <w:szCs w:val="21"/>
        </w:rPr>
      </w:pPr>
      <w:r>
        <w:rPr>
          <w:rFonts w:ascii="Verdana" w:hAnsi="Verdana"/>
          <w:b/>
          <w:bCs/>
          <w:sz w:val="21"/>
          <w:szCs w:val="21"/>
        </w:rPr>
        <w:t>Satrix Managers</w:t>
      </w:r>
      <w:r>
        <w:rPr>
          <w:rFonts w:ascii="Verdana" w:hAnsi="Verdana"/>
          <w:sz w:val="21"/>
          <w:szCs w:val="21"/>
        </w:rPr>
        <w:t xml:space="preserve"> – with R19,0 billion market </w:t>
      </w:r>
      <w:r w:rsidR="00932B35">
        <w:rPr>
          <w:rFonts w:ascii="Verdana" w:hAnsi="Verdana"/>
          <w:sz w:val="21"/>
          <w:szCs w:val="21"/>
        </w:rPr>
        <w:t>capitalisation</w:t>
      </w:r>
      <w:r>
        <w:rPr>
          <w:rFonts w:ascii="Verdana" w:hAnsi="Verdana"/>
          <w:sz w:val="21"/>
          <w:szCs w:val="21"/>
        </w:rPr>
        <w:t xml:space="preserve"> for the 15 ETFs it now offers on the JSE, Satrix has closed the gap on Sygnia Itrix in the past 6 months.  </w:t>
      </w:r>
      <w:r w:rsidR="003C278D">
        <w:rPr>
          <w:rFonts w:ascii="Verdana" w:hAnsi="Verdana"/>
          <w:sz w:val="21"/>
          <w:szCs w:val="21"/>
        </w:rPr>
        <w:t>A</w:t>
      </w:r>
      <w:r>
        <w:rPr>
          <w:rFonts w:ascii="Verdana" w:hAnsi="Verdana"/>
          <w:sz w:val="21"/>
          <w:szCs w:val="21"/>
        </w:rPr>
        <w:t xml:space="preserve"> number of local ETF issuers now list products covering global markets and indices, including Satrix, CoreShares, </w:t>
      </w:r>
      <w:r w:rsidR="00932B35">
        <w:rPr>
          <w:rFonts w:ascii="Verdana" w:hAnsi="Verdana"/>
          <w:sz w:val="21"/>
          <w:szCs w:val="21"/>
        </w:rPr>
        <w:t>Stanlib</w:t>
      </w:r>
      <w:r>
        <w:rPr>
          <w:rFonts w:ascii="Verdana" w:hAnsi="Verdana"/>
          <w:sz w:val="21"/>
          <w:szCs w:val="21"/>
        </w:rPr>
        <w:t xml:space="preserve"> and Ashburton, </w:t>
      </w:r>
      <w:r w:rsidR="003C278D">
        <w:rPr>
          <w:rFonts w:ascii="Verdana" w:hAnsi="Verdana"/>
          <w:sz w:val="21"/>
          <w:szCs w:val="21"/>
        </w:rPr>
        <w:t xml:space="preserve">so </w:t>
      </w:r>
      <w:r>
        <w:rPr>
          <w:rFonts w:ascii="Verdana" w:hAnsi="Verdana"/>
          <w:sz w:val="21"/>
          <w:szCs w:val="21"/>
        </w:rPr>
        <w:t xml:space="preserve">Sygnia </w:t>
      </w:r>
      <w:r w:rsidR="00932B35">
        <w:rPr>
          <w:rFonts w:ascii="Verdana" w:hAnsi="Verdana"/>
          <w:sz w:val="21"/>
          <w:szCs w:val="21"/>
        </w:rPr>
        <w:t>Itrix</w:t>
      </w:r>
      <w:r>
        <w:rPr>
          <w:rFonts w:ascii="Verdana" w:hAnsi="Verdana"/>
          <w:sz w:val="21"/>
          <w:szCs w:val="21"/>
        </w:rPr>
        <w:t xml:space="preserve"> </w:t>
      </w:r>
      <w:r w:rsidR="009E06CC">
        <w:rPr>
          <w:rFonts w:ascii="Verdana" w:hAnsi="Verdana"/>
          <w:sz w:val="21"/>
          <w:szCs w:val="21"/>
        </w:rPr>
        <w:t xml:space="preserve">is now </w:t>
      </w:r>
      <w:r>
        <w:rPr>
          <w:rFonts w:ascii="Verdana" w:hAnsi="Verdana"/>
          <w:sz w:val="21"/>
          <w:szCs w:val="21"/>
        </w:rPr>
        <w:t xml:space="preserve">facing </w:t>
      </w:r>
      <w:r w:rsidR="003C278D">
        <w:rPr>
          <w:rFonts w:ascii="Verdana" w:hAnsi="Verdana"/>
          <w:sz w:val="21"/>
          <w:szCs w:val="21"/>
        </w:rPr>
        <w:t xml:space="preserve">greater </w:t>
      </w:r>
      <w:r>
        <w:rPr>
          <w:rFonts w:ascii="Verdana" w:hAnsi="Verdana"/>
          <w:sz w:val="21"/>
          <w:szCs w:val="21"/>
        </w:rPr>
        <w:t xml:space="preserve">competition in providing such products.  Not only comparative </w:t>
      </w:r>
      <w:r w:rsidR="003C278D">
        <w:rPr>
          <w:rFonts w:ascii="Verdana" w:hAnsi="Verdana"/>
          <w:sz w:val="21"/>
          <w:szCs w:val="21"/>
        </w:rPr>
        <w:t>T</w:t>
      </w:r>
      <w:r>
        <w:rPr>
          <w:rFonts w:ascii="Verdana" w:hAnsi="Verdana"/>
          <w:sz w:val="21"/>
          <w:szCs w:val="21"/>
        </w:rPr>
        <w:t xml:space="preserve">otal </w:t>
      </w:r>
      <w:r w:rsidR="003C278D">
        <w:rPr>
          <w:rFonts w:ascii="Verdana" w:hAnsi="Verdana"/>
          <w:sz w:val="21"/>
          <w:szCs w:val="21"/>
        </w:rPr>
        <w:t>E</w:t>
      </w:r>
      <w:r>
        <w:rPr>
          <w:rFonts w:ascii="Verdana" w:hAnsi="Verdana"/>
          <w:sz w:val="21"/>
          <w:szCs w:val="21"/>
        </w:rPr>
        <w:t>x</w:t>
      </w:r>
      <w:r w:rsidR="009E06CC">
        <w:rPr>
          <w:rFonts w:ascii="Verdana" w:hAnsi="Verdana"/>
          <w:sz w:val="21"/>
          <w:szCs w:val="21"/>
        </w:rPr>
        <w:t>pense</w:t>
      </w:r>
      <w:r>
        <w:rPr>
          <w:rFonts w:ascii="Verdana" w:hAnsi="Verdana"/>
          <w:sz w:val="21"/>
          <w:szCs w:val="21"/>
        </w:rPr>
        <w:t xml:space="preserve"> </w:t>
      </w:r>
      <w:r w:rsidR="003C278D">
        <w:rPr>
          <w:rFonts w:ascii="Verdana" w:hAnsi="Verdana"/>
          <w:sz w:val="21"/>
          <w:szCs w:val="21"/>
        </w:rPr>
        <w:t>R</w:t>
      </w:r>
      <w:r>
        <w:rPr>
          <w:rFonts w:ascii="Verdana" w:hAnsi="Verdana"/>
          <w:sz w:val="21"/>
          <w:szCs w:val="21"/>
        </w:rPr>
        <w:t>atios (TERs)</w:t>
      </w:r>
      <w:r w:rsidR="009E06CC">
        <w:rPr>
          <w:rFonts w:ascii="Verdana" w:hAnsi="Verdana"/>
          <w:sz w:val="21"/>
          <w:szCs w:val="21"/>
        </w:rPr>
        <w:t>;</w:t>
      </w:r>
      <w:r>
        <w:rPr>
          <w:rFonts w:ascii="Verdana" w:hAnsi="Verdana"/>
          <w:sz w:val="21"/>
          <w:szCs w:val="21"/>
        </w:rPr>
        <w:t xml:space="preserve"> but also the method of asset management (use of feeder funds or self-management  of the underlying index constituents)</w:t>
      </w:r>
      <w:r w:rsidR="009E06CC">
        <w:rPr>
          <w:rFonts w:ascii="Verdana" w:hAnsi="Verdana"/>
          <w:sz w:val="21"/>
          <w:szCs w:val="21"/>
        </w:rPr>
        <w:t>; location</w:t>
      </w:r>
      <w:r>
        <w:rPr>
          <w:rFonts w:ascii="Verdana" w:hAnsi="Verdana"/>
          <w:sz w:val="21"/>
          <w:szCs w:val="21"/>
        </w:rPr>
        <w:t xml:space="preserve"> of tax jurisdiction, which can determine different dividend withholding tax rates</w:t>
      </w:r>
      <w:r w:rsidR="009E06CC">
        <w:rPr>
          <w:rFonts w:ascii="Verdana" w:hAnsi="Verdana"/>
          <w:sz w:val="21"/>
          <w:szCs w:val="21"/>
        </w:rPr>
        <w:t>;</w:t>
      </w:r>
      <w:r>
        <w:rPr>
          <w:rFonts w:ascii="Verdana" w:hAnsi="Verdana"/>
          <w:sz w:val="21"/>
          <w:szCs w:val="21"/>
        </w:rPr>
        <w:t xml:space="preserve"> </w:t>
      </w:r>
      <w:r w:rsidR="009E06CC">
        <w:rPr>
          <w:rFonts w:ascii="Verdana" w:hAnsi="Verdana"/>
          <w:sz w:val="21"/>
          <w:szCs w:val="21"/>
        </w:rPr>
        <w:t>a</w:t>
      </w:r>
      <w:r>
        <w:rPr>
          <w:rFonts w:ascii="Verdana" w:hAnsi="Verdana"/>
          <w:sz w:val="21"/>
          <w:szCs w:val="21"/>
        </w:rPr>
        <w:t>rea of reg</w:t>
      </w:r>
      <w:r w:rsidR="009E06CC">
        <w:rPr>
          <w:rFonts w:ascii="Verdana" w:hAnsi="Verdana"/>
          <w:sz w:val="21"/>
          <w:szCs w:val="21"/>
        </w:rPr>
        <w:t>ulation</w:t>
      </w:r>
      <w:r>
        <w:rPr>
          <w:rFonts w:ascii="Verdana" w:hAnsi="Verdana"/>
          <w:sz w:val="21"/>
          <w:szCs w:val="21"/>
        </w:rPr>
        <w:t xml:space="preserve">, etc., can all impact on the “tracking error” of such global products.  </w:t>
      </w:r>
    </w:p>
    <w:p w14:paraId="15AC6B51" w14:textId="129DC6C3" w:rsidR="00D65796" w:rsidRDefault="00D65796" w:rsidP="009E06CC">
      <w:pPr>
        <w:spacing w:after="0" w:line="360" w:lineRule="atLeast"/>
        <w:jc w:val="both"/>
        <w:rPr>
          <w:rFonts w:ascii="Verdana" w:hAnsi="Verdana"/>
          <w:sz w:val="21"/>
          <w:szCs w:val="21"/>
        </w:rPr>
      </w:pPr>
    </w:p>
    <w:p w14:paraId="49DEF37E" w14:textId="08BFC5AB" w:rsidR="00D65796" w:rsidRPr="00D65796" w:rsidRDefault="00D65796" w:rsidP="009E06CC">
      <w:pPr>
        <w:spacing w:after="0" w:line="360" w:lineRule="atLeast"/>
        <w:jc w:val="both"/>
        <w:rPr>
          <w:rFonts w:ascii="Verdana" w:hAnsi="Verdana"/>
          <w:sz w:val="21"/>
          <w:szCs w:val="21"/>
        </w:rPr>
      </w:pPr>
      <w:r>
        <w:rPr>
          <w:rFonts w:ascii="Verdana" w:hAnsi="Verdana"/>
          <w:sz w:val="21"/>
          <w:szCs w:val="21"/>
        </w:rPr>
        <w:t>The local market appears to be becoming more sophisticated in its analysis of the structures of the various ETFs available to the investment public, which has already, and will probably continue, to promote competitiveness</w:t>
      </w:r>
      <w:r w:rsidR="009E06CC">
        <w:rPr>
          <w:rFonts w:ascii="Verdana" w:hAnsi="Verdana"/>
          <w:sz w:val="21"/>
          <w:szCs w:val="21"/>
        </w:rPr>
        <w:t xml:space="preserve"> in the ETF marketplace</w:t>
      </w:r>
      <w:r>
        <w:rPr>
          <w:rFonts w:ascii="Verdana" w:hAnsi="Verdana"/>
          <w:sz w:val="21"/>
          <w:szCs w:val="21"/>
        </w:rPr>
        <w:t xml:space="preserve">.  </w:t>
      </w:r>
    </w:p>
    <w:p w14:paraId="35DD0507" w14:textId="5D24DEC2" w:rsidR="002536F5" w:rsidRDefault="002536F5" w:rsidP="009E06CC">
      <w:pPr>
        <w:spacing w:after="0" w:line="360" w:lineRule="atLeast"/>
        <w:jc w:val="both"/>
        <w:rPr>
          <w:rFonts w:ascii="Verdana" w:hAnsi="Verdana"/>
          <w:sz w:val="21"/>
          <w:szCs w:val="21"/>
        </w:rPr>
      </w:pPr>
    </w:p>
    <w:p w14:paraId="1F30DC9C" w14:textId="79717A3A" w:rsidR="00B80A20" w:rsidRDefault="00B80A20" w:rsidP="009E06CC">
      <w:pPr>
        <w:spacing w:after="0" w:line="360" w:lineRule="atLeast"/>
        <w:jc w:val="both"/>
        <w:rPr>
          <w:rFonts w:ascii="Verdana" w:hAnsi="Verdana"/>
          <w:sz w:val="21"/>
          <w:szCs w:val="21"/>
        </w:rPr>
      </w:pPr>
      <w:r>
        <w:rPr>
          <w:rFonts w:ascii="Verdana" w:hAnsi="Verdana"/>
          <w:b/>
          <w:sz w:val="21"/>
          <w:szCs w:val="21"/>
        </w:rPr>
        <w:t>CoreShares</w:t>
      </w:r>
      <w:r>
        <w:rPr>
          <w:rFonts w:ascii="Verdana" w:hAnsi="Verdana"/>
          <w:sz w:val="21"/>
          <w:szCs w:val="21"/>
        </w:rPr>
        <w:t xml:space="preserve"> – </w:t>
      </w:r>
      <w:r w:rsidR="005C6EDE">
        <w:rPr>
          <w:rFonts w:ascii="Verdana" w:hAnsi="Verdana"/>
          <w:sz w:val="21"/>
          <w:szCs w:val="21"/>
        </w:rPr>
        <w:t xml:space="preserve">continues to attract new capital to its family of ETFs, raising over R500 million in new capital in the first six months of 2019.  </w:t>
      </w:r>
    </w:p>
    <w:p w14:paraId="20BA858C" w14:textId="2EA21F8E" w:rsidR="00B80A20" w:rsidRDefault="00B80A20" w:rsidP="009E06CC">
      <w:pPr>
        <w:spacing w:after="0" w:line="360" w:lineRule="atLeast"/>
        <w:jc w:val="both"/>
        <w:rPr>
          <w:rFonts w:ascii="Verdana" w:hAnsi="Verdana"/>
          <w:sz w:val="21"/>
          <w:szCs w:val="21"/>
        </w:rPr>
      </w:pPr>
    </w:p>
    <w:p w14:paraId="1CA1604E" w14:textId="6DD24BFF" w:rsidR="00B80A20" w:rsidRDefault="005C6EDE" w:rsidP="009E06CC">
      <w:pPr>
        <w:spacing w:after="0" w:line="360" w:lineRule="atLeast"/>
        <w:jc w:val="both"/>
        <w:rPr>
          <w:rFonts w:ascii="Verdana" w:hAnsi="Verdana"/>
          <w:sz w:val="21"/>
          <w:szCs w:val="21"/>
        </w:rPr>
      </w:pPr>
      <w:r>
        <w:rPr>
          <w:rFonts w:ascii="Verdana" w:hAnsi="Verdana"/>
          <w:sz w:val="21"/>
          <w:szCs w:val="21"/>
        </w:rPr>
        <w:t>A stand-out product is the CoreShares Top 50 ETF, which tracks the S&amp;P index of South Africa</w:t>
      </w:r>
      <w:r w:rsidR="009E06CC">
        <w:rPr>
          <w:rFonts w:ascii="Verdana" w:hAnsi="Verdana"/>
          <w:sz w:val="21"/>
          <w:szCs w:val="21"/>
        </w:rPr>
        <w:t>n Top 50</w:t>
      </w:r>
      <w:r>
        <w:rPr>
          <w:rFonts w:ascii="Verdana" w:hAnsi="Verdana"/>
          <w:sz w:val="21"/>
          <w:szCs w:val="21"/>
        </w:rPr>
        <w:t xml:space="preserve"> equities, but with the maximum exposure to any one stock capped at around 10% of the index.  This reduces the con</w:t>
      </w:r>
      <w:r w:rsidR="009E06CC">
        <w:rPr>
          <w:rFonts w:ascii="Verdana" w:hAnsi="Verdana"/>
          <w:sz w:val="21"/>
          <w:szCs w:val="21"/>
        </w:rPr>
        <w:t>centration</w:t>
      </w:r>
      <w:r>
        <w:rPr>
          <w:rFonts w:ascii="Verdana" w:hAnsi="Verdana"/>
          <w:sz w:val="21"/>
          <w:szCs w:val="21"/>
        </w:rPr>
        <w:t xml:space="preserve"> of large market cap</w:t>
      </w:r>
      <w:r w:rsidR="009E06CC">
        <w:rPr>
          <w:rFonts w:ascii="Verdana" w:hAnsi="Verdana"/>
          <w:sz w:val="21"/>
          <w:szCs w:val="21"/>
        </w:rPr>
        <w:t>.</w:t>
      </w:r>
      <w:r>
        <w:rPr>
          <w:rFonts w:ascii="Verdana" w:hAnsi="Verdana"/>
          <w:sz w:val="21"/>
          <w:szCs w:val="21"/>
        </w:rPr>
        <w:t xml:space="preserve"> stocks, like BHP Billiton, Naspers, Anglo American and Richemont, in the </w:t>
      </w:r>
      <w:r w:rsidR="009E06CC">
        <w:rPr>
          <w:rFonts w:ascii="Verdana" w:hAnsi="Verdana"/>
          <w:sz w:val="21"/>
          <w:szCs w:val="21"/>
        </w:rPr>
        <w:t>T</w:t>
      </w:r>
      <w:r>
        <w:rPr>
          <w:rFonts w:ascii="Verdana" w:hAnsi="Verdana"/>
          <w:sz w:val="21"/>
          <w:szCs w:val="21"/>
        </w:rPr>
        <w:t xml:space="preserve">op 50 index.  The impact is lower volatility and this capped approach has found favour with certain investors.  </w:t>
      </w:r>
    </w:p>
    <w:p w14:paraId="6CED2231" w14:textId="60459B60" w:rsidR="00B82C05" w:rsidRDefault="00B82C05">
      <w:pPr>
        <w:rPr>
          <w:rFonts w:ascii="Verdana" w:hAnsi="Verdana"/>
          <w:sz w:val="21"/>
          <w:szCs w:val="21"/>
        </w:rPr>
      </w:pPr>
      <w:r>
        <w:rPr>
          <w:rFonts w:ascii="Verdana" w:hAnsi="Verdana"/>
          <w:sz w:val="21"/>
          <w:szCs w:val="21"/>
        </w:rPr>
        <w:br w:type="page"/>
      </w:r>
    </w:p>
    <w:p w14:paraId="6966892A" w14:textId="1DA9018D" w:rsidR="00B82C05" w:rsidRDefault="00B82C05" w:rsidP="00B82C05">
      <w:pPr>
        <w:spacing w:after="0" w:line="340" w:lineRule="atLeast"/>
        <w:jc w:val="both"/>
        <w:rPr>
          <w:rFonts w:ascii="Verdana" w:hAnsi="Verdana"/>
          <w:sz w:val="21"/>
          <w:szCs w:val="21"/>
        </w:rPr>
      </w:pPr>
    </w:p>
    <w:p w14:paraId="084665B5" w14:textId="6CEE9205" w:rsidR="00B82C05" w:rsidRDefault="00B82C05" w:rsidP="00752C5D">
      <w:pPr>
        <w:spacing w:after="0" w:line="360" w:lineRule="atLeast"/>
        <w:jc w:val="both"/>
        <w:rPr>
          <w:rFonts w:ascii="Verdana" w:hAnsi="Verdana"/>
          <w:sz w:val="21"/>
          <w:szCs w:val="21"/>
        </w:rPr>
      </w:pPr>
      <w:r>
        <w:rPr>
          <w:rFonts w:ascii="Verdana" w:hAnsi="Verdana"/>
          <w:sz w:val="21"/>
          <w:szCs w:val="21"/>
        </w:rPr>
        <w:t xml:space="preserve">The CoreShares Top 50 has been by far the most successful </w:t>
      </w:r>
      <w:r w:rsidR="00752C5D">
        <w:rPr>
          <w:rFonts w:ascii="Verdana" w:hAnsi="Verdana"/>
          <w:sz w:val="21"/>
          <w:szCs w:val="21"/>
        </w:rPr>
        <w:t>South African</w:t>
      </w:r>
      <w:r>
        <w:rPr>
          <w:rFonts w:ascii="Verdana" w:hAnsi="Verdana"/>
          <w:sz w:val="21"/>
          <w:szCs w:val="21"/>
        </w:rPr>
        <w:t xml:space="preserve"> equity-li</w:t>
      </w:r>
      <w:r w:rsidR="00752C5D">
        <w:rPr>
          <w:rFonts w:ascii="Verdana" w:hAnsi="Verdana"/>
          <w:sz w:val="21"/>
          <w:szCs w:val="21"/>
        </w:rPr>
        <w:t>nk</w:t>
      </w:r>
      <w:r>
        <w:rPr>
          <w:rFonts w:ascii="Verdana" w:hAnsi="Verdana"/>
          <w:sz w:val="21"/>
          <w:szCs w:val="21"/>
        </w:rPr>
        <w:t xml:space="preserve">ed ETF in raising new capital on the JSE over the past 6 months. </w:t>
      </w:r>
    </w:p>
    <w:p w14:paraId="3A44F5C4" w14:textId="029545CF" w:rsidR="00B82C05" w:rsidRDefault="00B82C05" w:rsidP="00752C5D">
      <w:pPr>
        <w:spacing w:after="0" w:line="360" w:lineRule="atLeast"/>
        <w:jc w:val="both"/>
        <w:rPr>
          <w:rFonts w:ascii="Verdana" w:hAnsi="Verdana"/>
          <w:sz w:val="21"/>
          <w:szCs w:val="21"/>
        </w:rPr>
      </w:pPr>
    </w:p>
    <w:p w14:paraId="33A3D55D" w14:textId="0CF717E3" w:rsidR="00B82C05" w:rsidRDefault="00B82C05" w:rsidP="00752C5D">
      <w:pPr>
        <w:spacing w:after="0" w:line="360" w:lineRule="atLeast"/>
        <w:jc w:val="both"/>
        <w:rPr>
          <w:rFonts w:ascii="Verdana" w:hAnsi="Verdana"/>
          <w:sz w:val="21"/>
          <w:szCs w:val="21"/>
        </w:rPr>
      </w:pPr>
      <w:r>
        <w:rPr>
          <w:rFonts w:ascii="Verdana" w:hAnsi="Verdana"/>
          <w:sz w:val="21"/>
          <w:szCs w:val="21"/>
        </w:rPr>
        <w:t xml:space="preserve">CoreShares will shortly be replacing its Equally Weighted Top 40 ETF with a multi-factor indexed ETF, </w:t>
      </w:r>
      <w:r w:rsidR="00752C5D">
        <w:rPr>
          <w:rFonts w:ascii="Verdana" w:hAnsi="Verdana"/>
          <w:sz w:val="21"/>
          <w:szCs w:val="21"/>
        </w:rPr>
        <w:t xml:space="preserve">which </w:t>
      </w:r>
      <w:r>
        <w:rPr>
          <w:rFonts w:ascii="Verdana" w:hAnsi="Verdana"/>
          <w:sz w:val="21"/>
          <w:szCs w:val="21"/>
        </w:rPr>
        <w:t>equally weight</w:t>
      </w:r>
      <w:r w:rsidR="00752C5D">
        <w:rPr>
          <w:rFonts w:ascii="Verdana" w:hAnsi="Verdana"/>
          <w:sz w:val="21"/>
          <w:szCs w:val="21"/>
        </w:rPr>
        <w:t>s</w:t>
      </w:r>
      <w:r>
        <w:rPr>
          <w:rFonts w:ascii="Verdana" w:hAnsi="Verdana"/>
          <w:sz w:val="21"/>
          <w:szCs w:val="21"/>
        </w:rPr>
        <w:t xml:space="preserve"> fund</w:t>
      </w:r>
      <w:r w:rsidR="003C278D">
        <w:rPr>
          <w:rFonts w:ascii="Verdana" w:hAnsi="Verdana"/>
          <w:sz w:val="21"/>
          <w:szCs w:val="21"/>
        </w:rPr>
        <w:t>s</w:t>
      </w:r>
      <w:r>
        <w:rPr>
          <w:rFonts w:ascii="Verdana" w:hAnsi="Verdana"/>
          <w:sz w:val="21"/>
          <w:szCs w:val="21"/>
        </w:rPr>
        <w:t xml:space="preserve"> to 6 different investment factors.  This will be the first multi-factor product available in South Africa as an ETF. </w:t>
      </w:r>
    </w:p>
    <w:p w14:paraId="052F7272" w14:textId="08463A76" w:rsidR="00B82C05" w:rsidRDefault="00B82C05" w:rsidP="00752C5D">
      <w:pPr>
        <w:spacing w:after="0" w:line="360" w:lineRule="atLeast"/>
        <w:jc w:val="both"/>
        <w:rPr>
          <w:rFonts w:ascii="Verdana" w:hAnsi="Verdana"/>
          <w:sz w:val="21"/>
          <w:szCs w:val="21"/>
        </w:rPr>
      </w:pPr>
    </w:p>
    <w:p w14:paraId="093D7971" w14:textId="3667F929" w:rsidR="00B82C05" w:rsidRDefault="00B82C05" w:rsidP="00752C5D">
      <w:pPr>
        <w:spacing w:after="0" w:line="360" w:lineRule="atLeast"/>
        <w:jc w:val="both"/>
        <w:rPr>
          <w:rFonts w:ascii="Verdana" w:hAnsi="Verdana"/>
          <w:sz w:val="21"/>
          <w:szCs w:val="21"/>
        </w:rPr>
      </w:pPr>
      <w:r>
        <w:rPr>
          <w:rFonts w:ascii="Verdana" w:hAnsi="Verdana"/>
          <w:sz w:val="21"/>
          <w:szCs w:val="21"/>
        </w:rPr>
        <w:t xml:space="preserve">CoreShares is also balloting the merger of its PropTrax SAPY and PropTrax Ten ETFs into a single product.  </w:t>
      </w:r>
    </w:p>
    <w:p w14:paraId="51A1B12C" w14:textId="4316B755" w:rsidR="005C6EDE" w:rsidRDefault="005C6EDE" w:rsidP="00752C5D">
      <w:pPr>
        <w:spacing w:after="0" w:line="360" w:lineRule="atLeast"/>
        <w:jc w:val="both"/>
        <w:rPr>
          <w:rFonts w:ascii="Verdana" w:hAnsi="Verdana"/>
          <w:sz w:val="21"/>
          <w:szCs w:val="21"/>
        </w:rPr>
      </w:pPr>
    </w:p>
    <w:p w14:paraId="3B8F64D8" w14:textId="435EE5CE" w:rsidR="00B80A20" w:rsidRDefault="00B82C05" w:rsidP="00752C5D">
      <w:pPr>
        <w:spacing w:after="0" w:line="360" w:lineRule="atLeast"/>
        <w:jc w:val="both"/>
        <w:rPr>
          <w:rFonts w:ascii="Verdana" w:hAnsi="Verdana"/>
          <w:sz w:val="21"/>
          <w:szCs w:val="21"/>
        </w:rPr>
      </w:pPr>
      <w:r>
        <w:rPr>
          <w:rFonts w:ascii="Verdana" w:hAnsi="Verdana"/>
          <w:b/>
          <w:sz w:val="21"/>
          <w:szCs w:val="21"/>
        </w:rPr>
        <w:t>Standard Liberty</w:t>
      </w:r>
      <w:r w:rsidR="00AE6B7A">
        <w:rPr>
          <w:rFonts w:ascii="Verdana" w:hAnsi="Verdana"/>
          <w:sz w:val="21"/>
          <w:szCs w:val="21"/>
        </w:rPr>
        <w:t xml:space="preserve"> </w:t>
      </w:r>
      <w:r w:rsidR="00AC5FC2">
        <w:rPr>
          <w:rFonts w:ascii="Verdana" w:hAnsi="Verdana"/>
          <w:sz w:val="21"/>
          <w:szCs w:val="21"/>
        </w:rPr>
        <w:t>–</w:t>
      </w:r>
      <w:r w:rsidR="00B80A20">
        <w:rPr>
          <w:rFonts w:ascii="Verdana" w:hAnsi="Verdana"/>
          <w:sz w:val="21"/>
          <w:szCs w:val="21"/>
        </w:rPr>
        <w:t xml:space="preserve"> </w:t>
      </w:r>
      <w:r w:rsidR="00932B35">
        <w:rPr>
          <w:rFonts w:ascii="Verdana" w:hAnsi="Verdana"/>
          <w:sz w:val="21"/>
          <w:szCs w:val="21"/>
        </w:rPr>
        <w:t xml:space="preserve">has now increased the number of ETFs it issues to nine products.  The most recent listing was the Stanlib SA Bond ETF, which tracks the S&amp;P SA Government Bond index.  Stanlib now has just under R3 billion in assets under management in its 9 ETFs.  </w:t>
      </w:r>
    </w:p>
    <w:p w14:paraId="6C949014" w14:textId="098FD266" w:rsidR="00900106" w:rsidRDefault="00900106" w:rsidP="001951A8">
      <w:pPr>
        <w:pBdr>
          <w:bottom w:val="single" w:sz="4" w:space="1" w:color="auto"/>
        </w:pBdr>
        <w:spacing w:after="0" w:line="360" w:lineRule="atLeast"/>
        <w:jc w:val="both"/>
        <w:rPr>
          <w:rFonts w:ascii="Verdana" w:hAnsi="Verdana"/>
          <w:sz w:val="21"/>
          <w:szCs w:val="21"/>
        </w:rPr>
      </w:pPr>
    </w:p>
    <w:p w14:paraId="201A1D56" w14:textId="24E42736" w:rsidR="00A6703F" w:rsidRDefault="00A6703F" w:rsidP="00D22956">
      <w:pPr>
        <w:spacing w:after="0" w:line="240" w:lineRule="auto"/>
        <w:jc w:val="both"/>
        <w:rPr>
          <w:rFonts w:ascii="Verdana" w:hAnsi="Verdana"/>
          <w:color w:val="000000"/>
          <w:sz w:val="20"/>
          <w:szCs w:val="20"/>
        </w:rPr>
      </w:pPr>
    </w:p>
    <w:p w14:paraId="5FC11A95" w14:textId="381B36C9" w:rsidR="00A6703F" w:rsidRDefault="00A6703F" w:rsidP="00D22956">
      <w:pPr>
        <w:spacing w:after="0" w:line="240" w:lineRule="auto"/>
        <w:jc w:val="both"/>
        <w:rPr>
          <w:rFonts w:ascii="Verdana" w:hAnsi="Verdana"/>
          <w:color w:val="000000"/>
          <w:sz w:val="20"/>
          <w:szCs w:val="20"/>
        </w:rPr>
      </w:pPr>
    </w:p>
    <w:p w14:paraId="07118435" w14:textId="460987CC" w:rsidR="00752C5D" w:rsidRDefault="00752C5D" w:rsidP="00D22956">
      <w:pPr>
        <w:spacing w:after="0" w:line="240" w:lineRule="auto"/>
        <w:jc w:val="both"/>
        <w:rPr>
          <w:rFonts w:ascii="Verdana" w:hAnsi="Verdana"/>
          <w:color w:val="000000"/>
          <w:sz w:val="20"/>
          <w:szCs w:val="20"/>
        </w:rPr>
      </w:pPr>
    </w:p>
    <w:p w14:paraId="76AB6CD4" w14:textId="297B0B69" w:rsidR="00752C5D" w:rsidRDefault="00752C5D" w:rsidP="00D22956">
      <w:pPr>
        <w:spacing w:after="0" w:line="240" w:lineRule="auto"/>
        <w:jc w:val="both"/>
        <w:rPr>
          <w:rFonts w:ascii="Verdana" w:hAnsi="Verdana"/>
          <w:color w:val="000000"/>
          <w:sz w:val="20"/>
          <w:szCs w:val="20"/>
        </w:rPr>
      </w:pPr>
    </w:p>
    <w:p w14:paraId="70718180" w14:textId="4D81FAD8" w:rsidR="00752C5D" w:rsidRDefault="00752C5D" w:rsidP="00D22956">
      <w:pPr>
        <w:spacing w:after="0" w:line="240" w:lineRule="auto"/>
        <w:jc w:val="both"/>
        <w:rPr>
          <w:rFonts w:ascii="Verdana" w:hAnsi="Verdana"/>
          <w:color w:val="000000"/>
          <w:sz w:val="20"/>
          <w:szCs w:val="20"/>
        </w:rPr>
      </w:pPr>
    </w:p>
    <w:p w14:paraId="0E810750" w14:textId="07024F8C" w:rsidR="00752C5D" w:rsidRDefault="00752C5D" w:rsidP="00D22956">
      <w:pPr>
        <w:spacing w:after="0" w:line="240" w:lineRule="auto"/>
        <w:jc w:val="both"/>
        <w:rPr>
          <w:rFonts w:ascii="Verdana" w:hAnsi="Verdana"/>
          <w:color w:val="000000"/>
          <w:sz w:val="20"/>
          <w:szCs w:val="20"/>
        </w:rPr>
      </w:pPr>
    </w:p>
    <w:p w14:paraId="7EB26C45" w14:textId="1DF09F09" w:rsidR="00752C5D" w:rsidRDefault="00752C5D" w:rsidP="00D22956">
      <w:pPr>
        <w:spacing w:after="0" w:line="240" w:lineRule="auto"/>
        <w:jc w:val="both"/>
        <w:rPr>
          <w:rFonts w:ascii="Verdana" w:hAnsi="Verdana"/>
          <w:color w:val="000000"/>
          <w:sz w:val="20"/>
          <w:szCs w:val="20"/>
        </w:rPr>
      </w:pPr>
    </w:p>
    <w:p w14:paraId="3311DB6F" w14:textId="4F1C0FE2" w:rsidR="00752C5D" w:rsidRDefault="00752C5D" w:rsidP="00D22956">
      <w:pPr>
        <w:spacing w:after="0" w:line="240" w:lineRule="auto"/>
        <w:jc w:val="both"/>
        <w:rPr>
          <w:rFonts w:ascii="Verdana" w:hAnsi="Verdana"/>
          <w:color w:val="000000"/>
          <w:sz w:val="20"/>
          <w:szCs w:val="20"/>
        </w:rPr>
      </w:pPr>
    </w:p>
    <w:p w14:paraId="029A33C9" w14:textId="70C161F6" w:rsidR="00752C5D" w:rsidRDefault="00752C5D" w:rsidP="00D22956">
      <w:pPr>
        <w:spacing w:after="0" w:line="240" w:lineRule="auto"/>
        <w:jc w:val="both"/>
        <w:rPr>
          <w:rFonts w:ascii="Verdana" w:hAnsi="Verdana"/>
          <w:color w:val="000000"/>
          <w:sz w:val="20"/>
          <w:szCs w:val="20"/>
        </w:rPr>
      </w:pPr>
    </w:p>
    <w:p w14:paraId="45D80032" w14:textId="0A8C693D" w:rsidR="00752C5D" w:rsidRDefault="00752C5D" w:rsidP="00D22956">
      <w:pPr>
        <w:spacing w:after="0" w:line="240" w:lineRule="auto"/>
        <w:jc w:val="both"/>
        <w:rPr>
          <w:rFonts w:ascii="Verdana" w:hAnsi="Verdana"/>
          <w:color w:val="000000"/>
          <w:sz w:val="20"/>
          <w:szCs w:val="20"/>
        </w:rPr>
      </w:pPr>
    </w:p>
    <w:p w14:paraId="47AE124A" w14:textId="4F316BE5" w:rsidR="00752C5D" w:rsidRDefault="001951A8" w:rsidP="001951A8">
      <w:pPr>
        <w:spacing w:after="0" w:line="240" w:lineRule="auto"/>
        <w:jc w:val="center"/>
        <w:rPr>
          <w:rFonts w:ascii="Verdana" w:hAnsi="Verdana"/>
          <w:color w:val="000000"/>
          <w:sz w:val="20"/>
          <w:szCs w:val="20"/>
        </w:rPr>
      </w:pPr>
      <w:r>
        <w:rPr>
          <w:rFonts w:ascii="Berlin Sans FB Demi" w:hAnsi="Berlin Sans FB Demi"/>
          <w:noProof/>
          <w:sz w:val="28"/>
          <w:szCs w:val="28"/>
        </w:rPr>
        <w:drawing>
          <wp:inline distT="0" distB="0" distL="0" distR="0" wp14:anchorId="36050BC2" wp14:editId="7AA0DA9A">
            <wp:extent cx="5940425" cy="73215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fSA_730x90 (004).gif"/>
                    <pic:cNvPicPr/>
                  </pic:nvPicPr>
                  <pic:blipFill>
                    <a:blip r:embed="rId9">
                      <a:extLst>
                        <a:ext uri="{28A0092B-C50C-407E-A947-70E740481C1C}">
                          <a14:useLocalDpi xmlns:a14="http://schemas.microsoft.com/office/drawing/2010/main" val="0"/>
                        </a:ext>
                      </a:extLst>
                    </a:blip>
                    <a:stretch>
                      <a:fillRect/>
                    </a:stretch>
                  </pic:blipFill>
                  <pic:spPr>
                    <a:xfrm>
                      <a:off x="0" y="0"/>
                      <a:ext cx="5940425" cy="732155"/>
                    </a:xfrm>
                    <a:prstGeom prst="rect">
                      <a:avLst/>
                    </a:prstGeom>
                  </pic:spPr>
                </pic:pic>
              </a:graphicData>
            </a:graphic>
          </wp:inline>
        </w:drawing>
      </w:r>
    </w:p>
    <w:p w14:paraId="5A7631A1" w14:textId="01D8EE52" w:rsidR="00ED1C62" w:rsidRDefault="00ED1C62" w:rsidP="00D22956">
      <w:pPr>
        <w:spacing w:after="0" w:line="240" w:lineRule="auto"/>
        <w:jc w:val="both"/>
        <w:rPr>
          <w:rFonts w:ascii="Verdana" w:hAnsi="Verdana"/>
          <w:color w:val="000000"/>
          <w:sz w:val="20"/>
          <w:szCs w:val="20"/>
        </w:rPr>
      </w:pPr>
    </w:p>
    <w:p w14:paraId="7B436D0E" w14:textId="64BBB535" w:rsidR="00752C5D" w:rsidRDefault="00752C5D" w:rsidP="00D22956">
      <w:pPr>
        <w:spacing w:after="0" w:line="240" w:lineRule="auto"/>
        <w:jc w:val="both"/>
        <w:rPr>
          <w:rFonts w:ascii="Verdana" w:hAnsi="Verdana"/>
          <w:color w:val="000000"/>
          <w:sz w:val="20"/>
          <w:szCs w:val="20"/>
        </w:rPr>
      </w:pPr>
    </w:p>
    <w:p w14:paraId="1023ADAA" w14:textId="43CA0C74" w:rsidR="00752C5D" w:rsidRDefault="00752C5D" w:rsidP="00D22956">
      <w:pPr>
        <w:spacing w:after="0" w:line="240" w:lineRule="auto"/>
        <w:jc w:val="both"/>
        <w:rPr>
          <w:rFonts w:ascii="Verdana" w:hAnsi="Verdana"/>
          <w:color w:val="000000"/>
          <w:sz w:val="20"/>
          <w:szCs w:val="20"/>
        </w:rPr>
      </w:pPr>
    </w:p>
    <w:p w14:paraId="394C92BC" w14:textId="49A612E8" w:rsidR="00752C5D" w:rsidRDefault="00752C5D" w:rsidP="00D22956">
      <w:pPr>
        <w:spacing w:after="0" w:line="240" w:lineRule="auto"/>
        <w:jc w:val="both"/>
        <w:rPr>
          <w:rFonts w:ascii="Verdana" w:hAnsi="Verdana"/>
          <w:color w:val="000000"/>
          <w:sz w:val="20"/>
          <w:szCs w:val="20"/>
        </w:rPr>
      </w:pPr>
    </w:p>
    <w:p w14:paraId="03303B9B" w14:textId="6C6B5D4E" w:rsidR="00752C5D" w:rsidRDefault="00752C5D" w:rsidP="00D22956">
      <w:pPr>
        <w:spacing w:after="0" w:line="240" w:lineRule="auto"/>
        <w:jc w:val="both"/>
        <w:rPr>
          <w:rFonts w:ascii="Verdana" w:hAnsi="Verdana"/>
          <w:color w:val="000000"/>
          <w:sz w:val="20"/>
          <w:szCs w:val="20"/>
        </w:rPr>
      </w:pPr>
    </w:p>
    <w:p w14:paraId="6DE77BC9" w14:textId="6484C7ED" w:rsidR="00752C5D" w:rsidRDefault="00752C5D" w:rsidP="00D22956">
      <w:pPr>
        <w:spacing w:after="0" w:line="240" w:lineRule="auto"/>
        <w:jc w:val="both"/>
        <w:rPr>
          <w:rFonts w:ascii="Verdana" w:hAnsi="Verdana"/>
          <w:color w:val="000000"/>
          <w:sz w:val="20"/>
          <w:szCs w:val="20"/>
        </w:rPr>
      </w:pPr>
    </w:p>
    <w:p w14:paraId="54F6BD51" w14:textId="77777777" w:rsidR="00752C5D" w:rsidRDefault="00752C5D" w:rsidP="00D22956">
      <w:pPr>
        <w:spacing w:after="0" w:line="240" w:lineRule="auto"/>
        <w:jc w:val="both"/>
        <w:rPr>
          <w:rFonts w:ascii="Verdana" w:hAnsi="Verdana"/>
          <w:color w:val="000000"/>
          <w:sz w:val="20"/>
          <w:szCs w:val="20"/>
        </w:rPr>
      </w:pPr>
    </w:p>
    <w:p w14:paraId="4C30781A" w14:textId="7A7C59FA" w:rsidR="00ED1C62" w:rsidRDefault="00ED1C62" w:rsidP="00D22956">
      <w:pPr>
        <w:spacing w:after="0" w:line="240" w:lineRule="auto"/>
        <w:jc w:val="both"/>
        <w:rPr>
          <w:rFonts w:ascii="Verdana" w:hAnsi="Verdana"/>
          <w:color w:val="000000"/>
          <w:sz w:val="20"/>
          <w:szCs w:val="20"/>
        </w:rPr>
      </w:pPr>
    </w:p>
    <w:p w14:paraId="3993B470" w14:textId="727E125D" w:rsidR="00ED1C62" w:rsidRDefault="00ED1C62" w:rsidP="00D22956">
      <w:pPr>
        <w:spacing w:after="0" w:line="240" w:lineRule="auto"/>
        <w:jc w:val="both"/>
        <w:rPr>
          <w:rFonts w:ascii="Verdana" w:hAnsi="Verdana"/>
          <w:color w:val="000000"/>
          <w:sz w:val="20"/>
          <w:szCs w:val="20"/>
        </w:rPr>
      </w:pPr>
    </w:p>
    <w:p w14:paraId="69936647" w14:textId="77777777" w:rsidR="00ED1C62" w:rsidRDefault="00ED1C62" w:rsidP="00D22956">
      <w:pPr>
        <w:spacing w:after="0" w:line="240" w:lineRule="auto"/>
        <w:jc w:val="both"/>
        <w:rPr>
          <w:rFonts w:ascii="Verdana" w:hAnsi="Verdana"/>
          <w:color w:val="000000"/>
          <w:sz w:val="20"/>
          <w:szCs w:val="20"/>
        </w:rPr>
      </w:pPr>
    </w:p>
    <w:p w14:paraId="55E0EE78" w14:textId="77777777" w:rsidR="00A6703F" w:rsidRPr="00A6703F" w:rsidRDefault="00A6703F" w:rsidP="00D22956">
      <w:pPr>
        <w:spacing w:after="0" w:line="240" w:lineRule="auto"/>
        <w:jc w:val="both"/>
        <w:rPr>
          <w:rFonts w:ascii="Verdana" w:hAnsi="Verdana"/>
          <w:color w:val="000000"/>
          <w:sz w:val="20"/>
          <w:szCs w:val="20"/>
        </w:rPr>
      </w:pPr>
    </w:p>
    <w:p w14:paraId="348057A5" w14:textId="77777777" w:rsidR="00C6212D" w:rsidRPr="00A6703F" w:rsidRDefault="00C6212D" w:rsidP="00C6212D">
      <w:pPr>
        <w:pBdr>
          <w:top w:val="single" w:sz="4" w:space="1" w:color="auto"/>
        </w:pBdr>
        <w:spacing w:after="0" w:line="240" w:lineRule="auto"/>
        <w:ind w:right="567"/>
        <w:rPr>
          <w:sz w:val="15"/>
          <w:szCs w:val="15"/>
          <w:lang w:eastAsia="en-ZA"/>
        </w:rPr>
      </w:pPr>
      <w:r w:rsidRPr="00A6703F">
        <w:rPr>
          <w:rFonts w:ascii="Arial" w:hAnsi="Arial"/>
          <w:b/>
          <w:i/>
          <w:color w:val="0F0D35"/>
          <w:sz w:val="15"/>
          <w:szCs w:val="15"/>
        </w:rPr>
        <w:t xml:space="preserve">Disclaimer: </w:t>
      </w:r>
      <w:r w:rsidRPr="00A6703F">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A6703F"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Default="00C6212D" w:rsidP="00407678">
      <w:pPr>
        <w:pBdr>
          <w:bottom w:val="single" w:sz="4" w:space="1" w:color="auto"/>
        </w:pBdr>
        <w:shd w:val="clear" w:color="auto" w:fill="FFFFFF"/>
        <w:spacing w:after="0" w:line="240" w:lineRule="auto"/>
        <w:ind w:right="567"/>
        <w:jc w:val="both"/>
        <w:rPr>
          <w:rFonts w:ascii="Arial" w:hAnsi="Arial"/>
          <w:color w:val="000000"/>
          <w:sz w:val="15"/>
          <w:szCs w:val="15"/>
          <w:lang w:eastAsia="en-ZA"/>
        </w:rPr>
      </w:pPr>
      <w:r w:rsidRPr="00A6703F">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Sect="00A572A0">
      <w:footerReference w:type="default" r:id="rId10"/>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6B43" w14:textId="77777777" w:rsidR="00275FDA" w:rsidRDefault="00275FDA" w:rsidP="001860C2">
      <w:pPr>
        <w:spacing w:after="0" w:line="240" w:lineRule="auto"/>
      </w:pPr>
      <w:r>
        <w:separator/>
      </w:r>
    </w:p>
  </w:endnote>
  <w:endnote w:type="continuationSeparator" w:id="0">
    <w:p w14:paraId="02F2D7FE" w14:textId="77777777" w:rsidR="00275FDA" w:rsidRDefault="00275FDA"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75FDA" w:rsidRPr="001860C2" w:rsidRDefault="00275FDA"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265" w14:textId="77777777" w:rsidR="00275FDA" w:rsidRDefault="00275FDA" w:rsidP="001860C2">
      <w:pPr>
        <w:spacing w:after="0" w:line="240" w:lineRule="auto"/>
      </w:pPr>
      <w:r>
        <w:separator/>
      </w:r>
    </w:p>
  </w:footnote>
  <w:footnote w:type="continuationSeparator" w:id="0">
    <w:p w14:paraId="444FB782" w14:textId="77777777" w:rsidR="00275FDA" w:rsidRDefault="00275FDA"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1"/>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144B3"/>
    <w:rsid w:val="00034E06"/>
    <w:rsid w:val="00042250"/>
    <w:rsid w:val="000435BE"/>
    <w:rsid w:val="0005247E"/>
    <w:rsid w:val="00063719"/>
    <w:rsid w:val="00064D86"/>
    <w:rsid w:val="00065FC4"/>
    <w:rsid w:val="00072FB5"/>
    <w:rsid w:val="000736A9"/>
    <w:rsid w:val="00083E17"/>
    <w:rsid w:val="00086ECE"/>
    <w:rsid w:val="000B189D"/>
    <w:rsid w:val="000C1ACB"/>
    <w:rsid w:val="000C2A04"/>
    <w:rsid w:val="000D0FF5"/>
    <w:rsid w:val="000F1A9D"/>
    <w:rsid w:val="000F2E19"/>
    <w:rsid w:val="000F4D11"/>
    <w:rsid w:val="000F676D"/>
    <w:rsid w:val="001011BA"/>
    <w:rsid w:val="00112914"/>
    <w:rsid w:val="001149F4"/>
    <w:rsid w:val="001169ED"/>
    <w:rsid w:val="001255EF"/>
    <w:rsid w:val="0013147F"/>
    <w:rsid w:val="00137500"/>
    <w:rsid w:val="0016524A"/>
    <w:rsid w:val="00175BD4"/>
    <w:rsid w:val="001860C2"/>
    <w:rsid w:val="0019419C"/>
    <w:rsid w:val="001951A8"/>
    <w:rsid w:val="001976A7"/>
    <w:rsid w:val="001A440E"/>
    <w:rsid w:val="001A6952"/>
    <w:rsid w:val="001B0CAA"/>
    <w:rsid w:val="001C426E"/>
    <w:rsid w:val="001C48EF"/>
    <w:rsid w:val="001F12A9"/>
    <w:rsid w:val="001F6BD9"/>
    <w:rsid w:val="00211E65"/>
    <w:rsid w:val="00214624"/>
    <w:rsid w:val="00215EC5"/>
    <w:rsid w:val="00240106"/>
    <w:rsid w:val="0024764F"/>
    <w:rsid w:val="002536F5"/>
    <w:rsid w:val="00260037"/>
    <w:rsid w:val="00267A62"/>
    <w:rsid w:val="00270178"/>
    <w:rsid w:val="0027130E"/>
    <w:rsid w:val="00271472"/>
    <w:rsid w:val="00275FDA"/>
    <w:rsid w:val="002821C1"/>
    <w:rsid w:val="00283442"/>
    <w:rsid w:val="00287580"/>
    <w:rsid w:val="002A4EC3"/>
    <w:rsid w:val="002A6914"/>
    <w:rsid w:val="002D4D18"/>
    <w:rsid w:val="002E6A24"/>
    <w:rsid w:val="00321934"/>
    <w:rsid w:val="00337675"/>
    <w:rsid w:val="00340ED3"/>
    <w:rsid w:val="00345103"/>
    <w:rsid w:val="00356055"/>
    <w:rsid w:val="00371A95"/>
    <w:rsid w:val="00380C83"/>
    <w:rsid w:val="00382ADA"/>
    <w:rsid w:val="003835A0"/>
    <w:rsid w:val="00383630"/>
    <w:rsid w:val="003935AB"/>
    <w:rsid w:val="00394359"/>
    <w:rsid w:val="003A0D8D"/>
    <w:rsid w:val="003A29FB"/>
    <w:rsid w:val="003A3D19"/>
    <w:rsid w:val="003A6075"/>
    <w:rsid w:val="003B10C9"/>
    <w:rsid w:val="003B4F95"/>
    <w:rsid w:val="003C278D"/>
    <w:rsid w:val="003C36D7"/>
    <w:rsid w:val="003C6031"/>
    <w:rsid w:val="003C700A"/>
    <w:rsid w:val="003D13C9"/>
    <w:rsid w:val="003D5B90"/>
    <w:rsid w:val="003E41CF"/>
    <w:rsid w:val="003F5A00"/>
    <w:rsid w:val="003F6A02"/>
    <w:rsid w:val="003F7712"/>
    <w:rsid w:val="0040423E"/>
    <w:rsid w:val="00407678"/>
    <w:rsid w:val="00417CC4"/>
    <w:rsid w:val="00434DA5"/>
    <w:rsid w:val="00435E56"/>
    <w:rsid w:val="00441724"/>
    <w:rsid w:val="00451766"/>
    <w:rsid w:val="00486A17"/>
    <w:rsid w:val="004A1759"/>
    <w:rsid w:val="004B0713"/>
    <w:rsid w:val="004C60DA"/>
    <w:rsid w:val="004D1524"/>
    <w:rsid w:val="004D6498"/>
    <w:rsid w:val="004E2922"/>
    <w:rsid w:val="004F0766"/>
    <w:rsid w:val="0050685E"/>
    <w:rsid w:val="00511FB5"/>
    <w:rsid w:val="005135D4"/>
    <w:rsid w:val="005248F6"/>
    <w:rsid w:val="005355B2"/>
    <w:rsid w:val="00557D80"/>
    <w:rsid w:val="00561C75"/>
    <w:rsid w:val="005628FE"/>
    <w:rsid w:val="00574800"/>
    <w:rsid w:val="00587E90"/>
    <w:rsid w:val="005923A8"/>
    <w:rsid w:val="005A77A2"/>
    <w:rsid w:val="005C6EDE"/>
    <w:rsid w:val="005D7F9E"/>
    <w:rsid w:val="005E6456"/>
    <w:rsid w:val="005F2A62"/>
    <w:rsid w:val="005F3B27"/>
    <w:rsid w:val="005F72F5"/>
    <w:rsid w:val="00605876"/>
    <w:rsid w:val="00606273"/>
    <w:rsid w:val="00607890"/>
    <w:rsid w:val="00610270"/>
    <w:rsid w:val="006124A0"/>
    <w:rsid w:val="0062560E"/>
    <w:rsid w:val="00634A9D"/>
    <w:rsid w:val="00650F13"/>
    <w:rsid w:val="00653EAC"/>
    <w:rsid w:val="006557AA"/>
    <w:rsid w:val="00665208"/>
    <w:rsid w:val="00665C94"/>
    <w:rsid w:val="00667B94"/>
    <w:rsid w:val="00670E82"/>
    <w:rsid w:val="00690162"/>
    <w:rsid w:val="006924BC"/>
    <w:rsid w:val="006A0C56"/>
    <w:rsid w:val="006A24D6"/>
    <w:rsid w:val="006A6635"/>
    <w:rsid w:val="006B620E"/>
    <w:rsid w:val="006C3432"/>
    <w:rsid w:val="006D32E9"/>
    <w:rsid w:val="006D3930"/>
    <w:rsid w:val="006E70F6"/>
    <w:rsid w:val="007017CF"/>
    <w:rsid w:val="007028A0"/>
    <w:rsid w:val="00705212"/>
    <w:rsid w:val="007153E8"/>
    <w:rsid w:val="00727AC5"/>
    <w:rsid w:val="00737776"/>
    <w:rsid w:val="0074101D"/>
    <w:rsid w:val="0075135D"/>
    <w:rsid w:val="00752C5D"/>
    <w:rsid w:val="007617B4"/>
    <w:rsid w:val="00761DC1"/>
    <w:rsid w:val="00774D53"/>
    <w:rsid w:val="0078694D"/>
    <w:rsid w:val="00792524"/>
    <w:rsid w:val="007B1D8E"/>
    <w:rsid w:val="007B3F08"/>
    <w:rsid w:val="007C2AC1"/>
    <w:rsid w:val="007C4EB1"/>
    <w:rsid w:val="007D1C48"/>
    <w:rsid w:val="007D3765"/>
    <w:rsid w:val="007F2E9B"/>
    <w:rsid w:val="007F4718"/>
    <w:rsid w:val="007F5E1E"/>
    <w:rsid w:val="0080262B"/>
    <w:rsid w:val="0080317E"/>
    <w:rsid w:val="008033A1"/>
    <w:rsid w:val="00810312"/>
    <w:rsid w:val="0082551A"/>
    <w:rsid w:val="00831695"/>
    <w:rsid w:val="00834896"/>
    <w:rsid w:val="008678CF"/>
    <w:rsid w:val="00870751"/>
    <w:rsid w:val="008723C3"/>
    <w:rsid w:val="00873A85"/>
    <w:rsid w:val="00874BC3"/>
    <w:rsid w:val="008767CE"/>
    <w:rsid w:val="008927A0"/>
    <w:rsid w:val="008A7891"/>
    <w:rsid w:val="008B14A6"/>
    <w:rsid w:val="008B1AB4"/>
    <w:rsid w:val="008B4F73"/>
    <w:rsid w:val="008C19C4"/>
    <w:rsid w:val="008C2BE8"/>
    <w:rsid w:val="008C4FF1"/>
    <w:rsid w:val="008D5DE6"/>
    <w:rsid w:val="008F5B96"/>
    <w:rsid w:val="00900106"/>
    <w:rsid w:val="00900795"/>
    <w:rsid w:val="00902C9D"/>
    <w:rsid w:val="00912273"/>
    <w:rsid w:val="0092766E"/>
    <w:rsid w:val="00932B35"/>
    <w:rsid w:val="00933922"/>
    <w:rsid w:val="00935C75"/>
    <w:rsid w:val="00967F07"/>
    <w:rsid w:val="00976701"/>
    <w:rsid w:val="00976971"/>
    <w:rsid w:val="00990E6C"/>
    <w:rsid w:val="009A0517"/>
    <w:rsid w:val="009C3FDD"/>
    <w:rsid w:val="009D06A1"/>
    <w:rsid w:val="009D1D25"/>
    <w:rsid w:val="009D539F"/>
    <w:rsid w:val="009E06CC"/>
    <w:rsid w:val="009E4AA6"/>
    <w:rsid w:val="009F598B"/>
    <w:rsid w:val="009F66FE"/>
    <w:rsid w:val="009F7261"/>
    <w:rsid w:val="00A00FDB"/>
    <w:rsid w:val="00A018BA"/>
    <w:rsid w:val="00A01E0B"/>
    <w:rsid w:val="00A029E7"/>
    <w:rsid w:val="00A051FB"/>
    <w:rsid w:val="00A06583"/>
    <w:rsid w:val="00A30C9E"/>
    <w:rsid w:val="00A32F36"/>
    <w:rsid w:val="00A572A0"/>
    <w:rsid w:val="00A6703F"/>
    <w:rsid w:val="00A836BC"/>
    <w:rsid w:val="00A933CB"/>
    <w:rsid w:val="00A94957"/>
    <w:rsid w:val="00A95B1E"/>
    <w:rsid w:val="00A96CC9"/>
    <w:rsid w:val="00A97831"/>
    <w:rsid w:val="00AA2591"/>
    <w:rsid w:val="00AA3690"/>
    <w:rsid w:val="00AB5637"/>
    <w:rsid w:val="00AB659F"/>
    <w:rsid w:val="00AB779B"/>
    <w:rsid w:val="00AC2C23"/>
    <w:rsid w:val="00AC5A30"/>
    <w:rsid w:val="00AC5FC2"/>
    <w:rsid w:val="00AC615B"/>
    <w:rsid w:val="00AD0CE4"/>
    <w:rsid w:val="00AE2E69"/>
    <w:rsid w:val="00AE3A0B"/>
    <w:rsid w:val="00AE6B7A"/>
    <w:rsid w:val="00AF734A"/>
    <w:rsid w:val="00B010F5"/>
    <w:rsid w:val="00B0556F"/>
    <w:rsid w:val="00B11DFE"/>
    <w:rsid w:val="00B15601"/>
    <w:rsid w:val="00B228FA"/>
    <w:rsid w:val="00B352AB"/>
    <w:rsid w:val="00B43C70"/>
    <w:rsid w:val="00B5062D"/>
    <w:rsid w:val="00B53321"/>
    <w:rsid w:val="00B539B4"/>
    <w:rsid w:val="00B544F8"/>
    <w:rsid w:val="00B6448D"/>
    <w:rsid w:val="00B65933"/>
    <w:rsid w:val="00B7153C"/>
    <w:rsid w:val="00B76B5D"/>
    <w:rsid w:val="00B80A20"/>
    <w:rsid w:val="00B80B89"/>
    <w:rsid w:val="00B822A3"/>
    <w:rsid w:val="00B82C05"/>
    <w:rsid w:val="00B84B3B"/>
    <w:rsid w:val="00BA3DC2"/>
    <w:rsid w:val="00BB3618"/>
    <w:rsid w:val="00BC4EB7"/>
    <w:rsid w:val="00BC6FBB"/>
    <w:rsid w:val="00BD2909"/>
    <w:rsid w:val="00BD4AED"/>
    <w:rsid w:val="00BE106B"/>
    <w:rsid w:val="00BE1AB8"/>
    <w:rsid w:val="00BE387A"/>
    <w:rsid w:val="00BF214D"/>
    <w:rsid w:val="00C16778"/>
    <w:rsid w:val="00C2040D"/>
    <w:rsid w:val="00C262C9"/>
    <w:rsid w:val="00C361AA"/>
    <w:rsid w:val="00C43586"/>
    <w:rsid w:val="00C6212D"/>
    <w:rsid w:val="00C648B8"/>
    <w:rsid w:val="00C67C90"/>
    <w:rsid w:val="00C848CE"/>
    <w:rsid w:val="00C9155D"/>
    <w:rsid w:val="00C9721C"/>
    <w:rsid w:val="00C97248"/>
    <w:rsid w:val="00CA0977"/>
    <w:rsid w:val="00CA5F6B"/>
    <w:rsid w:val="00CD37BB"/>
    <w:rsid w:val="00CE0B76"/>
    <w:rsid w:val="00CE2B2F"/>
    <w:rsid w:val="00CE3BAE"/>
    <w:rsid w:val="00CF7569"/>
    <w:rsid w:val="00CF781A"/>
    <w:rsid w:val="00D040F4"/>
    <w:rsid w:val="00D11DEF"/>
    <w:rsid w:val="00D121D5"/>
    <w:rsid w:val="00D17A57"/>
    <w:rsid w:val="00D20525"/>
    <w:rsid w:val="00D22956"/>
    <w:rsid w:val="00D2618D"/>
    <w:rsid w:val="00D271F3"/>
    <w:rsid w:val="00D3426D"/>
    <w:rsid w:val="00D36A69"/>
    <w:rsid w:val="00D43D4C"/>
    <w:rsid w:val="00D5059A"/>
    <w:rsid w:val="00D5118F"/>
    <w:rsid w:val="00D515DF"/>
    <w:rsid w:val="00D52692"/>
    <w:rsid w:val="00D529C5"/>
    <w:rsid w:val="00D52C3B"/>
    <w:rsid w:val="00D53225"/>
    <w:rsid w:val="00D65796"/>
    <w:rsid w:val="00D72BC0"/>
    <w:rsid w:val="00D75B21"/>
    <w:rsid w:val="00D826DB"/>
    <w:rsid w:val="00DB291B"/>
    <w:rsid w:val="00DB6E1D"/>
    <w:rsid w:val="00DB6EB9"/>
    <w:rsid w:val="00DB71F9"/>
    <w:rsid w:val="00DC1373"/>
    <w:rsid w:val="00DD461D"/>
    <w:rsid w:val="00DE5C90"/>
    <w:rsid w:val="00DF7E2F"/>
    <w:rsid w:val="00E07C73"/>
    <w:rsid w:val="00E21946"/>
    <w:rsid w:val="00E23E04"/>
    <w:rsid w:val="00E24F85"/>
    <w:rsid w:val="00E30126"/>
    <w:rsid w:val="00E3031D"/>
    <w:rsid w:val="00E54244"/>
    <w:rsid w:val="00E61D18"/>
    <w:rsid w:val="00E67F46"/>
    <w:rsid w:val="00E72DBE"/>
    <w:rsid w:val="00E742FD"/>
    <w:rsid w:val="00E761AB"/>
    <w:rsid w:val="00E7626C"/>
    <w:rsid w:val="00E93A18"/>
    <w:rsid w:val="00EA0580"/>
    <w:rsid w:val="00EC0455"/>
    <w:rsid w:val="00ED1C62"/>
    <w:rsid w:val="00EE0926"/>
    <w:rsid w:val="00EE7BDC"/>
    <w:rsid w:val="00EF38EC"/>
    <w:rsid w:val="00F00380"/>
    <w:rsid w:val="00F14ACA"/>
    <w:rsid w:val="00F246CA"/>
    <w:rsid w:val="00F32170"/>
    <w:rsid w:val="00F3655E"/>
    <w:rsid w:val="00F411F7"/>
    <w:rsid w:val="00F41953"/>
    <w:rsid w:val="00F44D41"/>
    <w:rsid w:val="00F52F55"/>
    <w:rsid w:val="00F565F3"/>
    <w:rsid w:val="00F56643"/>
    <w:rsid w:val="00F70495"/>
    <w:rsid w:val="00F7786F"/>
    <w:rsid w:val="00F822BF"/>
    <w:rsid w:val="00F83240"/>
    <w:rsid w:val="00F9104A"/>
    <w:rsid w:val="00F94FB2"/>
    <w:rsid w:val="00FA0A82"/>
    <w:rsid w:val="00FB4766"/>
    <w:rsid w:val="00FC15C7"/>
    <w:rsid w:val="00FC62D1"/>
    <w:rsid w:val="00FD20B5"/>
    <w:rsid w:val="00FD49C7"/>
    <w:rsid w:val="00FD7DBB"/>
    <w:rsid w:val="00FE2ED4"/>
    <w:rsid w:val="00FE4355"/>
    <w:rsid w:val="00FE4A84"/>
    <w:rsid w:val="00FE5ACF"/>
    <w:rsid w:val="00FE6BE9"/>
    <w:rsid w:val="00FE752C"/>
    <w:rsid w:val="00FE771E"/>
    <w:rsid w:val="00FF00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19\market%20cap%202008%20to%20Jun201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5700971100775712"/>
          <c:w val="0.86395859396080166"/>
          <c:h val="0.64399796260886266"/>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C7-42BA-8D2F-587AFC8A2571}"/>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C7-42BA-8D2F-587AFC8A2571}"/>
                </c:ext>
              </c:extLst>
            </c:dLbl>
            <c:dLbl>
              <c:idx val="8"/>
              <c:layout>
                <c:manualLayout>
                  <c:x val="9.1380045096816403E-17"/>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C7-42BA-8D2F-587AFC8A2571}"/>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C7-42BA-8D2F-587AFC8A25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formatCode="mmm\-yy">
                  <c:v>43646</c:v>
                </c:pt>
              </c:numCache>
            </c:numRef>
          </c:cat>
          <c:val>
            <c:numRef>
              <c:f>Sheet1!$B$2:$B$13</c:f>
              <c:numCache>
                <c:formatCode>General</c:formatCode>
                <c:ptCount val="12"/>
                <c:pt idx="0">
                  <c:v>16443</c:v>
                </c:pt>
                <c:pt idx="1">
                  <c:v>27534</c:v>
                </c:pt>
                <c:pt idx="2">
                  <c:v>33334</c:v>
                </c:pt>
                <c:pt idx="3">
                  <c:v>40059</c:v>
                </c:pt>
                <c:pt idx="4">
                  <c:v>47770</c:v>
                </c:pt>
                <c:pt idx="5">
                  <c:v>62975</c:v>
                </c:pt>
                <c:pt idx="6">
                  <c:v>79340</c:v>
                </c:pt>
                <c:pt idx="7">
                  <c:v>79054</c:v>
                </c:pt>
                <c:pt idx="8">
                  <c:v>74126</c:v>
                </c:pt>
                <c:pt idx="9">
                  <c:v>85027</c:v>
                </c:pt>
                <c:pt idx="10">
                  <c:v>77786</c:v>
                </c:pt>
                <c:pt idx="11">
                  <c:v>91330</c:v>
                </c:pt>
              </c:numCache>
            </c:numRef>
          </c:val>
          <c:extLst>
            <c:ext xmlns:c16="http://schemas.microsoft.com/office/drawing/2014/chart" uri="{C3380CC4-5D6E-409C-BE32-E72D297353CC}">
              <c16:uniqueId val="{00000004-87C7-42BA-8D2F-587AFC8A2571}"/>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0.49221</cdr:x>
      <cdr:y>0.90668</cdr:y>
    </cdr:from>
    <cdr:to>
      <cdr:x>0.67165</cdr:x>
      <cdr:y>0.99152</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508219" y="2714616"/>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21</cp:revision>
  <cp:lastPrinted>2019-07-09T13:35:00Z</cp:lastPrinted>
  <dcterms:created xsi:type="dcterms:W3CDTF">2019-07-09T10:02:00Z</dcterms:created>
  <dcterms:modified xsi:type="dcterms:W3CDTF">2019-07-09T13:42:00Z</dcterms:modified>
</cp:coreProperties>
</file>