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25" w:type="dxa"/>
        <w:tblCellSpacing w:w="0" w:type="dxa"/>
        <w:tblCellMar>
          <w:left w:w="0" w:type="dxa"/>
          <w:right w:w="0" w:type="dxa"/>
        </w:tblCellMar>
        <w:tblLook w:val="04A0" w:firstRow="1" w:lastRow="0" w:firstColumn="1" w:lastColumn="0" w:noHBand="0" w:noVBand="1"/>
      </w:tblPr>
      <w:tblGrid>
        <w:gridCol w:w="10440"/>
      </w:tblGrid>
      <w:tr w:rsidR="006439CC" w:rsidRPr="006439CC" w14:paraId="0ABB6CBC" w14:textId="77777777" w:rsidTr="006439CC">
        <w:trPr>
          <w:tblCellSpacing w:w="0" w:type="dxa"/>
        </w:trPr>
        <w:tc>
          <w:tcPr>
            <w:tcW w:w="0" w:type="auto"/>
            <w:tcMar>
              <w:top w:w="150" w:type="dxa"/>
              <w:left w:w="150" w:type="dxa"/>
              <w:bottom w:w="150" w:type="dxa"/>
              <w:right w:w="150" w:type="dxa"/>
            </w:tcMar>
            <w:vAlign w:val="center"/>
            <w:hideMark/>
          </w:tcPr>
          <w:p w14:paraId="0CBA87D4" w14:textId="77777777" w:rsidR="006439CC" w:rsidRPr="006439CC" w:rsidRDefault="006439CC" w:rsidP="006439CC">
            <w:pPr>
              <w:spacing w:after="0" w:line="240" w:lineRule="auto"/>
              <w:rPr>
                <w:rFonts w:ascii="Times New Roman" w:eastAsia="Calibri" w:hAnsi="Times New Roman" w:cs="Times New Roman"/>
                <w:sz w:val="24"/>
                <w:szCs w:val="24"/>
                <w:lang w:eastAsia="en-ZA"/>
              </w:rPr>
            </w:pPr>
            <w:r w:rsidRPr="006439CC">
              <w:rPr>
                <w:rFonts w:ascii="Times New Roman" w:eastAsia="Calibri" w:hAnsi="Times New Roman" w:cs="Times New Roman"/>
                <w:noProof/>
                <w:sz w:val="24"/>
                <w:szCs w:val="24"/>
                <w:lang w:eastAsia="en-ZA"/>
              </w:rPr>
              <w:drawing>
                <wp:inline distT="0" distB="0" distL="0" distR="0" wp14:anchorId="534711F5" wp14:editId="6888BD8B">
                  <wp:extent cx="6429375" cy="1152525"/>
                  <wp:effectExtent l="0" t="0" r="9525" b="9525"/>
                  <wp:docPr id="1" name="Picture 1" descr="S&amp;P Global Ra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P Global Rating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29375" cy="1152525"/>
                          </a:xfrm>
                          <a:prstGeom prst="rect">
                            <a:avLst/>
                          </a:prstGeom>
                          <a:noFill/>
                          <a:ln>
                            <a:noFill/>
                          </a:ln>
                        </pic:spPr>
                      </pic:pic>
                    </a:graphicData>
                  </a:graphic>
                </wp:inline>
              </w:drawing>
            </w:r>
          </w:p>
          <w:p w14:paraId="6AF986B6" w14:textId="77777777" w:rsidR="006439CC" w:rsidRPr="006439CC" w:rsidRDefault="006439CC" w:rsidP="006439CC">
            <w:pPr>
              <w:spacing w:after="0" w:line="15" w:lineRule="atLeast"/>
              <w:rPr>
                <w:rFonts w:ascii="Times New Roman" w:eastAsia="Calibri" w:hAnsi="Times New Roman" w:cs="Times New Roman"/>
                <w:sz w:val="24"/>
                <w:szCs w:val="24"/>
                <w:lang w:eastAsia="en-ZA"/>
              </w:rPr>
            </w:pPr>
            <w:r w:rsidRPr="006439CC">
              <w:rPr>
                <w:rFonts w:ascii="Times New Roman" w:eastAsia="Calibri" w:hAnsi="Times New Roman" w:cs="Times New Roman"/>
                <w:sz w:val="24"/>
                <w:szCs w:val="24"/>
                <w:lang w:eastAsia="en-ZA"/>
              </w:rPr>
              <w:t xml:space="preserve">  </w:t>
            </w:r>
          </w:p>
          <w:p w14:paraId="01B1E4E3" w14:textId="77777777" w:rsidR="006439CC" w:rsidRPr="006439CC" w:rsidRDefault="006439CC" w:rsidP="006439CC">
            <w:pPr>
              <w:spacing w:after="0" w:line="240" w:lineRule="auto"/>
              <w:rPr>
                <w:rFonts w:ascii="Arial" w:eastAsia="Calibri" w:hAnsi="Arial" w:cs="Arial"/>
                <w:b/>
                <w:bCs/>
                <w:color w:val="000000"/>
                <w:sz w:val="29"/>
                <w:szCs w:val="29"/>
                <w:lang w:eastAsia="en-ZA"/>
              </w:rPr>
            </w:pPr>
            <w:r w:rsidRPr="006439CC">
              <w:rPr>
                <w:rFonts w:ascii="Arial" w:eastAsia="Calibri" w:hAnsi="Arial" w:cs="Arial"/>
                <w:b/>
                <w:bCs/>
                <w:color w:val="000000"/>
                <w:sz w:val="29"/>
                <w:szCs w:val="29"/>
                <w:lang w:eastAsia="en-ZA"/>
              </w:rPr>
              <w:t xml:space="preserve">South Africa Outlook Revised </w:t>
            </w:r>
            <w:proofErr w:type="gramStart"/>
            <w:r w:rsidRPr="006439CC">
              <w:rPr>
                <w:rFonts w:ascii="Arial" w:eastAsia="Calibri" w:hAnsi="Arial" w:cs="Arial"/>
                <w:b/>
                <w:bCs/>
                <w:color w:val="000000"/>
                <w:sz w:val="29"/>
                <w:szCs w:val="29"/>
                <w:lang w:eastAsia="en-ZA"/>
              </w:rPr>
              <w:t>To</w:t>
            </w:r>
            <w:proofErr w:type="gramEnd"/>
            <w:r w:rsidRPr="006439CC">
              <w:rPr>
                <w:rFonts w:ascii="Arial" w:eastAsia="Calibri" w:hAnsi="Arial" w:cs="Arial"/>
                <w:b/>
                <w:bCs/>
                <w:color w:val="000000"/>
                <w:sz w:val="29"/>
                <w:szCs w:val="29"/>
                <w:lang w:eastAsia="en-ZA"/>
              </w:rPr>
              <w:t xml:space="preserve"> Negative On Worsening Fiscal And Debt Trajectory; Ratings Affirmed </w:t>
            </w:r>
          </w:p>
          <w:p w14:paraId="20A69A2E" w14:textId="77777777" w:rsidR="006439CC" w:rsidRPr="006439CC" w:rsidRDefault="006439CC" w:rsidP="006439CC">
            <w:pPr>
              <w:spacing w:after="0" w:line="15" w:lineRule="atLeast"/>
              <w:rPr>
                <w:rFonts w:ascii="Times New Roman" w:eastAsia="Calibri" w:hAnsi="Times New Roman" w:cs="Times New Roman"/>
                <w:sz w:val="24"/>
                <w:szCs w:val="24"/>
                <w:lang w:eastAsia="en-ZA"/>
              </w:rPr>
            </w:pPr>
            <w:r w:rsidRPr="006439CC">
              <w:rPr>
                <w:rFonts w:ascii="Times New Roman" w:eastAsia="Calibri" w:hAnsi="Times New Roman" w:cs="Times New Roman"/>
                <w:sz w:val="24"/>
                <w:szCs w:val="24"/>
                <w:lang w:eastAsia="en-ZA"/>
              </w:rPr>
              <w:t xml:space="preserve">  </w:t>
            </w:r>
          </w:p>
          <w:p w14:paraId="327595A7" w14:textId="77777777" w:rsidR="006439CC" w:rsidRPr="006439CC" w:rsidRDefault="006439CC" w:rsidP="006439CC">
            <w:pPr>
              <w:spacing w:before="30" w:after="45" w:line="240" w:lineRule="auto"/>
              <w:rPr>
                <w:rFonts w:ascii="Arial" w:eastAsia="Calibri" w:hAnsi="Arial" w:cs="Arial"/>
                <w:b/>
                <w:bCs/>
                <w:color w:val="CC0033"/>
                <w:lang w:eastAsia="en-ZA"/>
              </w:rPr>
            </w:pPr>
            <w:r w:rsidRPr="006439CC">
              <w:rPr>
                <w:rFonts w:ascii="Arial" w:eastAsia="Calibri" w:hAnsi="Arial" w:cs="Arial"/>
                <w:b/>
                <w:bCs/>
                <w:color w:val="CC0033"/>
                <w:lang w:eastAsia="en-ZA"/>
              </w:rPr>
              <w:t>Overview</w:t>
            </w:r>
            <w:bookmarkStart w:id="0" w:name="_GoBack"/>
            <w:bookmarkEnd w:id="0"/>
          </w:p>
          <w:tbl>
            <w:tblPr>
              <w:tblW w:w="0" w:type="auto"/>
              <w:tblCellSpacing w:w="0" w:type="dxa"/>
              <w:tblCellMar>
                <w:left w:w="0" w:type="dxa"/>
                <w:right w:w="0" w:type="dxa"/>
              </w:tblCellMar>
              <w:tblLook w:val="04A0" w:firstRow="1" w:lastRow="0" w:firstColumn="1" w:lastColumn="0" w:noHBand="0" w:noVBand="1"/>
            </w:tblPr>
            <w:tblGrid>
              <w:gridCol w:w="259"/>
              <w:gridCol w:w="9881"/>
            </w:tblGrid>
            <w:tr w:rsidR="006439CC" w:rsidRPr="006439CC" w14:paraId="030B5A00" w14:textId="77777777">
              <w:trPr>
                <w:tblCellSpacing w:w="0" w:type="dxa"/>
              </w:trPr>
              <w:tc>
                <w:tcPr>
                  <w:tcW w:w="0" w:type="auto"/>
                  <w:tcMar>
                    <w:top w:w="0" w:type="dxa"/>
                    <w:left w:w="150" w:type="dxa"/>
                    <w:bottom w:w="0" w:type="dxa"/>
                    <w:right w:w="45" w:type="dxa"/>
                  </w:tcMar>
                  <w:hideMark/>
                </w:tcPr>
                <w:p w14:paraId="63FB0853"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307B3E22"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Low GDP growth, upwardly revised fiscal deficits, and a growing debt burden are damaging South Africa's fiscal metrics.</w:t>
                  </w:r>
                </w:p>
              </w:tc>
            </w:tr>
            <w:tr w:rsidR="006439CC" w:rsidRPr="006439CC" w14:paraId="068DB1D9" w14:textId="77777777">
              <w:trPr>
                <w:tblCellSpacing w:w="0" w:type="dxa"/>
              </w:trPr>
              <w:tc>
                <w:tcPr>
                  <w:tcW w:w="0" w:type="auto"/>
                  <w:tcMar>
                    <w:top w:w="0" w:type="dxa"/>
                    <w:left w:w="150" w:type="dxa"/>
                    <w:bottom w:w="0" w:type="dxa"/>
                    <w:right w:w="45" w:type="dxa"/>
                  </w:tcMar>
                  <w:hideMark/>
                </w:tcPr>
                <w:p w14:paraId="65885597"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3A48666A"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Unless the government takes measures to control the fiscal deficit and we see sustained reform momentum, we view debt as unlikely to stabilize within our three-year forecast period.</w:t>
                  </w:r>
                </w:p>
              </w:tc>
            </w:tr>
            <w:tr w:rsidR="006439CC" w:rsidRPr="006439CC" w14:paraId="79E84508" w14:textId="77777777">
              <w:trPr>
                <w:tblCellSpacing w:w="0" w:type="dxa"/>
              </w:trPr>
              <w:tc>
                <w:tcPr>
                  <w:tcW w:w="0" w:type="auto"/>
                  <w:tcMar>
                    <w:top w:w="0" w:type="dxa"/>
                    <w:left w:w="150" w:type="dxa"/>
                    <w:bottom w:w="0" w:type="dxa"/>
                    <w:right w:w="45" w:type="dxa"/>
                  </w:tcMar>
                  <w:hideMark/>
                </w:tcPr>
                <w:p w14:paraId="04EC944C"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0301DF83"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We are therefore revising our outlook on South Africa to negative from stable.</w:t>
                  </w:r>
                </w:p>
              </w:tc>
            </w:tr>
            <w:tr w:rsidR="006439CC" w:rsidRPr="006439CC" w14:paraId="5C450099" w14:textId="77777777">
              <w:trPr>
                <w:tblCellSpacing w:w="0" w:type="dxa"/>
              </w:trPr>
              <w:tc>
                <w:tcPr>
                  <w:tcW w:w="0" w:type="auto"/>
                  <w:tcMar>
                    <w:top w:w="0" w:type="dxa"/>
                    <w:left w:w="150" w:type="dxa"/>
                    <w:bottom w:w="0" w:type="dxa"/>
                    <w:right w:w="45" w:type="dxa"/>
                  </w:tcMar>
                  <w:hideMark/>
                </w:tcPr>
                <w:p w14:paraId="5EAD36B2"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36184612"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We are also affirming our long- and short-term foreign currency ratings on South Africa at 'BB/B', our local currency ratings at 'BB+/B', and our national scale ratings at '</w:t>
                  </w:r>
                  <w:proofErr w:type="spellStart"/>
                  <w:r w:rsidRPr="006439CC">
                    <w:rPr>
                      <w:rFonts w:ascii="Arial" w:eastAsia="Calibri" w:hAnsi="Arial" w:cs="Arial"/>
                      <w:sz w:val="18"/>
                      <w:szCs w:val="18"/>
                      <w:lang w:eastAsia="en-ZA"/>
                    </w:rPr>
                    <w:t>zaAAA</w:t>
                  </w:r>
                  <w:proofErr w:type="spellEnd"/>
                  <w:r w:rsidRPr="006439CC">
                    <w:rPr>
                      <w:rFonts w:ascii="Arial" w:eastAsia="Calibri" w:hAnsi="Arial" w:cs="Arial"/>
                      <w:sz w:val="18"/>
                      <w:szCs w:val="18"/>
                      <w:lang w:eastAsia="en-ZA"/>
                    </w:rPr>
                    <w:t xml:space="preserve">/zaA-1+'. </w:t>
                  </w:r>
                </w:p>
              </w:tc>
            </w:tr>
          </w:tbl>
          <w:p w14:paraId="5E34C22D" w14:textId="77777777" w:rsidR="006439CC" w:rsidRPr="006439CC" w:rsidRDefault="006439CC" w:rsidP="006439CC">
            <w:pPr>
              <w:spacing w:before="30" w:after="45" w:line="240" w:lineRule="auto"/>
              <w:rPr>
                <w:rFonts w:ascii="Arial" w:eastAsia="Calibri" w:hAnsi="Arial" w:cs="Arial"/>
                <w:b/>
                <w:bCs/>
                <w:color w:val="CC0033"/>
                <w:lang w:eastAsia="en-ZA"/>
              </w:rPr>
            </w:pPr>
            <w:r w:rsidRPr="006439CC">
              <w:rPr>
                <w:rFonts w:ascii="Arial" w:eastAsia="Calibri" w:hAnsi="Arial" w:cs="Arial"/>
                <w:b/>
                <w:bCs/>
                <w:color w:val="CC0033"/>
                <w:lang w:eastAsia="en-ZA"/>
              </w:rPr>
              <w:t>Rating Action</w:t>
            </w:r>
          </w:p>
          <w:p w14:paraId="290A14F6"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On Nov. 22, 2019, S&amp;P Global Ratings revised its outlook on South Africa to negative from stable. At the same time, we affirmed the 'BB/B' long- and short-term foreign currency sovereign credit ratings and the 'BB+/B' long- and short-term local currency sovereign credit ratings. The transfer and convertibility (T&amp;C) assessment is 'BBB-'. </w:t>
            </w:r>
          </w:p>
          <w:p w14:paraId="02D2E854"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We also affirmed our '</w:t>
            </w:r>
            <w:proofErr w:type="spellStart"/>
            <w:r w:rsidRPr="006439CC">
              <w:rPr>
                <w:rFonts w:ascii="Arial" w:eastAsia="Calibri" w:hAnsi="Arial" w:cs="Arial"/>
                <w:sz w:val="18"/>
                <w:szCs w:val="18"/>
                <w:lang w:eastAsia="en-ZA"/>
              </w:rPr>
              <w:t>zaAAA</w:t>
            </w:r>
            <w:proofErr w:type="spellEnd"/>
            <w:r w:rsidRPr="006439CC">
              <w:rPr>
                <w:rFonts w:ascii="Arial" w:eastAsia="Calibri" w:hAnsi="Arial" w:cs="Arial"/>
                <w:sz w:val="18"/>
                <w:szCs w:val="18"/>
                <w:lang w:eastAsia="en-ZA"/>
              </w:rPr>
              <w:t>/zaA-1+' long- and short-term South Africa national scale ratings on the sovereign.</w:t>
            </w:r>
          </w:p>
          <w:p w14:paraId="70279283" w14:textId="77777777" w:rsidR="006439CC" w:rsidRPr="006439CC" w:rsidRDefault="006439CC" w:rsidP="006439CC">
            <w:pPr>
              <w:spacing w:before="30" w:after="45" w:line="240" w:lineRule="auto"/>
              <w:rPr>
                <w:rFonts w:ascii="Arial" w:eastAsia="Calibri" w:hAnsi="Arial" w:cs="Arial"/>
                <w:b/>
                <w:bCs/>
                <w:color w:val="CC0033"/>
                <w:lang w:eastAsia="en-ZA"/>
              </w:rPr>
            </w:pPr>
            <w:r w:rsidRPr="006439CC">
              <w:rPr>
                <w:rFonts w:ascii="Arial" w:eastAsia="Calibri" w:hAnsi="Arial" w:cs="Arial"/>
                <w:b/>
                <w:bCs/>
                <w:color w:val="CC0033"/>
                <w:lang w:eastAsia="en-ZA"/>
              </w:rPr>
              <w:t>Outlook</w:t>
            </w:r>
          </w:p>
          <w:p w14:paraId="392CAE0B"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The negative outlook indicates that South Africa's debt metrics are rapidly worsening as a result of the country's low GDP growth and high fiscal deficits. </w:t>
            </w:r>
          </w:p>
          <w:p w14:paraId="021DAF8C"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We could lower the ratings if we were to observe continued fiscal deterioration, for example, due to higher pressure on spending, rising interest costs, or the crystallization of contingent liabilities related to state-owned enterprises (SOEs), especially Eskom. We could also lower the ratings if economic performance weakened further or if external funding pressures were to mount. </w:t>
            </w:r>
          </w:p>
          <w:p w14:paraId="47E42F47"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We could also consider lowering the ratings if the rule of law, property rights, or enforcement of contracts were to weaken significantly, undermining the investment and economic outlook. We currently view this as unlikely.</w:t>
            </w:r>
          </w:p>
          <w:p w14:paraId="17F69116"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We could revise the outlook to stable if the government credibly arrested the rise in the net government debt-to-GDP ratio, controlled fiscal deficits, and improved SOEs. We could also revise the outlook if we saw a substantial improvement in the economic growth outlook.</w:t>
            </w:r>
          </w:p>
          <w:p w14:paraId="6928BEC0" w14:textId="77777777" w:rsidR="006439CC" w:rsidRPr="006439CC" w:rsidRDefault="006439CC" w:rsidP="006439CC">
            <w:pPr>
              <w:spacing w:before="30" w:after="45" w:line="240" w:lineRule="auto"/>
              <w:rPr>
                <w:rFonts w:ascii="Arial" w:eastAsia="Calibri" w:hAnsi="Arial" w:cs="Arial"/>
                <w:b/>
                <w:bCs/>
                <w:color w:val="CC0033"/>
                <w:lang w:eastAsia="en-ZA"/>
              </w:rPr>
            </w:pPr>
            <w:r w:rsidRPr="006439CC">
              <w:rPr>
                <w:rFonts w:ascii="Arial" w:eastAsia="Calibri" w:hAnsi="Arial" w:cs="Arial"/>
                <w:b/>
                <w:bCs/>
                <w:color w:val="CC0033"/>
                <w:lang w:eastAsia="en-ZA"/>
              </w:rPr>
              <w:t>Rationale</w:t>
            </w:r>
          </w:p>
          <w:p w14:paraId="5B2AA9B5"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Our ratings on South Africa are constrained by low GDP per capita; the weak pace of economic growth, particularly on a per capita basis; its large and rising government debt burden; and sizable contingent liabilities, primarily tied to the energy utility, Eskom. The ratings are supported by the country's monetary flexibility, well-capitalized and regulated financial sector, and deep capital markets. South Africa also has moderate external debt, </w:t>
            </w:r>
            <w:proofErr w:type="gramStart"/>
            <w:r w:rsidRPr="006439CC">
              <w:rPr>
                <w:rFonts w:ascii="Arial" w:eastAsia="Calibri" w:hAnsi="Arial" w:cs="Arial"/>
                <w:sz w:val="18"/>
                <w:szCs w:val="18"/>
                <w:lang w:eastAsia="en-ZA"/>
              </w:rPr>
              <w:t>in particular low</w:t>
            </w:r>
            <w:proofErr w:type="gramEnd"/>
            <w:r w:rsidRPr="006439CC">
              <w:rPr>
                <w:rFonts w:ascii="Arial" w:eastAsia="Calibri" w:hAnsi="Arial" w:cs="Arial"/>
                <w:sz w:val="18"/>
                <w:szCs w:val="18"/>
                <w:lang w:eastAsia="en-ZA"/>
              </w:rPr>
              <w:t xml:space="preserve"> levels of external debt denominated in foreign currency.</w:t>
            </w:r>
          </w:p>
          <w:p w14:paraId="0EBD7C6B"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Weaker-than-expected growth in the already sluggish macroenvironment has had a disproportionately negative effect on revenue collections. At the same time, enduring problems at key public enterprises--especially Eskom--are estimated to lead to higher expenditure outturns throughout the forecast period. We now anticipate that the general government deficit will average 6.2% of GDP through 2019-2022. This implies that debt, net of liquid assets, will reach 67.7% of GDP by 2022. </w:t>
            </w:r>
          </w:p>
          <w:p w14:paraId="165ACB6C" w14:textId="77777777" w:rsidR="006439CC" w:rsidRPr="006439CC" w:rsidRDefault="006439CC" w:rsidP="006439CC">
            <w:pPr>
              <w:spacing w:before="30" w:after="45" w:line="240" w:lineRule="auto"/>
              <w:rPr>
                <w:rFonts w:ascii="Arial" w:eastAsia="Calibri" w:hAnsi="Arial" w:cs="Arial"/>
                <w:b/>
                <w:bCs/>
                <w:color w:val="CC0033"/>
                <w:lang w:eastAsia="en-ZA"/>
              </w:rPr>
            </w:pPr>
            <w:r w:rsidRPr="006439CC">
              <w:rPr>
                <w:rFonts w:ascii="Arial" w:eastAsia="Calibri" w:hAnsi="Arial" w:cs="Arial"/>
                <w:b/>
                <w:bCs/>
                <w:color w:val="CC0033"/>
                <w:lang w:eastAsia="en-ZA"/>
              </w:rPr>
              <w:t xml:space="preserve">Institutional and economic profile: Very low per-capita growth constrains the economy and structural impediments remain high. </w:t>
            </w:r>
          </w:p>
          <w:tbl>
            <w:tblPr>
              <w:tblW w:w="0" w:type="auto"/>
              <w:tblCellSpacing w:w="0" w:type="dxa"/>
              <w:tblCellMar>
                <w:left w:w="0" w:type="dxa"/>
                <w:right w:w="0" w:type="dxa"/>
              </w:tblCellMar>
              <w:tblLook w:val="04A0" w:firstRow="1" w:lastRow="0" w:firstColumn="1" w:lastColumn="0" w:noHBand="0" w:noVBand="1"/>
            </w:tblPr>
            <w:tblGrid>
              <w:gridCol w:w="259"/>
              <w:gridCol w:w="9154"/>
            </w:tblGrid>
            <w:tr w:rsidR="006439CC" w:rsidRPr="006439CC" w14:paraId="070C85A8" w14:textId="77777777">
              <w:trPr>
                <w:tblCellSpacing w:w="0" w:type="dxa"/>
              </w:trPr>
              <w:tc>
                <w:tcPr>
                  <w:tcW w:w="0" w:type="auto"/>
                  <w:tcMar>
                    <w:top w:w="0" w:type="dxa"/>
                    <w:left w:w="150" w:type="dxa"/>
                    <w:bottom w:w="0" w:type="dxa"/>
                    <w:right w:w="45" w:type="dxa"/>
                  </w:tcMar>
                  <w:hideMark/>
                </w:tcPr>
                <w:p w14:paraId="343AAAB4"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49B38545"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South Africa's economic growth remains well below most emerging market peers, on a per capita basis. </w:t>
                  </w:r>
                </w:p>
              </w:tc>
            </w:tr>
            <w:tr w:rsidR="006439CC" w:rsidRPr="006439CC" w14:paraId="5608AF45" w14:textId="77777777">
              <w:trPr>
                <w:tblCellSpacing w:w="0" w:type="dxa"/>
              </w:trPr>
              <w:tc>
                <w:tcPr>
                  <w:tcW w:w="0" w:type="auto"/>
                  <w:tcMar>
                    <w:top w:w="0" w:type="dxa"/>
                    <w:left w:w="150" w:type="dxa"/>
                    <w:bottom w:w="0" w:type="dxa"/>
                    <w:right w:w="45" w:type="dxa"/>
                  </w:tcMar>
                  <w:hideMark/>
                </w:tcPr>
                <w:p w14:paraId="06702C7E"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18678291"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Factional disagreements within the ruling ANC party threaten the reform momentum crucial for kick-starting growth.</w:t>
                  </w:r>
                </w:p>
              </w:tc>
            </w:tr>
          </w:tbl>
          <w:p w14:paraId="2638C58E"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Once again, South Africa's economic performance has disappointed, depressed by low investment, power shortages, dry weather, and limited reform momentum. We expect growth for this year to come in at 0.6%, down from our expectation of 1% in May. Unemployment is at a 16-year high of 29%. South Africa's recent poor macroeconomic performance has caused a </w:t>
            </w:r>
            <w:r w:rsidRPr="006439CC">
              <w:rPr>
                <w:rFonts w:ascii="Arial" w:eastAsia="Calibri" w:hAnsi="Arial" w:cs="Arial"/>
                <w:sz w:val="18"/>
                <w:szCs w:val="18"/>
                <w:lang w:eastAsia="en-ZA"/>
              </w:rPr>
              <w:lastRenderedPageBreak/>
              <w:t>material deterioration in the fiscal outlook and hit tax revenue generation. South Africa now faces a two-pronged challenge: to reinstate its fiscal credibility while simultaneously restoring economic growth.</w:t>
            </w:r>
          </w:p>
          <w:p w14:paraId="6AFFAA1B"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The government's efforts to overcome these obstacles have focused primarily on cutting costs across government, slimming ministerial </w:t>
            </w:r>
            <w:proofErr w:type="gramStart"/>
            <w:r w:rsidRPr="006439CC">
              <w:rPr>
                <w:rFonts w:ascii="Arial" w:eastAsia="Calibri" w:hAnsi="Arial" w:cs="Arial"/>
                <w:sz w:val="18"/>
                <w:szCs w:val="18"/>
                <w:lang w:eastAsia="en-ZA"/>
              </w:rPr>
              <w:t>head-counts</w:t>
            </w:r>
            <w:proofErr w:type="gramEnd"/>
            <w:r w:rsidRPr="006439CC">
              <w:rPr>
                <w:rFonts w:ascii="Arial" w:eastAsia="Calibri" w:hAnsi="Arial" w:cs="Arial"/>
                <w:sz w:val="18"/>
                <w:szCs w:val="18"/>
                <w:lang w:eastAsia="en-ZA"/>
              </w:rPr>
              <w:t xml:space="preserve">, and tackling graft. Although it attempted to push through structural reforms, few material reforms were introduced in the </w:t>
            </w:r>
            <w:proofErr w:type="gramStart"/>
            <w:r w:rsidRPr="006439CC">
              <w:rPr>
                <w:rFonts w:ascii="Arial" w:eastAsia="Calibri" w:hAnsi="Arial" w:cs="Arial"/>
                <w:sz w:val="18"/>
                <w:szCs w:val="18"/>
                <w:lang w:eastAsia="en-ZA"/>
              </w:rPr>
              <w:t>Medium Term</w:t>
            </w:r>
            <w:proofErr w:type="gramEnd"/>
            <w:r w:rsidRPr="006439CC">
              <w:rPr>
                <w:rFonts w:ascii="Arial" w:eastAsia="Calibri" w:hAnsi="Arial" w:cs="Arial"/>
                <w:sz w:val="18"/>
                <w:szCs w:val="18"/>
                <w:lang w:eastAsia="en-ZA"/>
              </w:rPr>
              <w:t xml:space="preserve"> Budget Policy Statement (MTBPS). </w:t>
            </w:r>
          </w:p>
          <w:p w14:paraId="6D2DBF9F"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The ANC, led by Cyril </w:t>
            </w:r>
            <w:proofErr w:type="spellStart"/>
            <w:r w:rsidRPr="006439CC">
              <w:rPr>
                <w:rFonts w:ascii="Arial" w:eastAsia="Calibri" w:hAnsi="Arial" w:cs="Arial"/>
                <w:sz w:val="18"/>
                <w:szCs w:val="18"/>
                <w:lang w:eastAsia="en-ZA"/>
              </w:rPr>
              <w:t>Ramaphosa</w:t>
            </w:r>
            <w:proofErr w:type="spellEnd"/>
            <w:r w:rsidRPr="006439CC">
              <w:rPr>
                <w:rFonts w:ascii="Arial" w:eastAsia="Calibri" w:hAnsi="Arial" w:cs="Arial"/>
                <w:sz w:val="18"/>
                <w:szCs w:val="18"/>
                <w:lang w:eastAsia="en-ZA"/>
              </w:rPr>
              <w:t xml:space="preserve">, won a clear majority in the May 2019 national elections. Although the ANC's 57.5% vote share was its lowest ever (it was 62% in 2014) it can govern without the need for a coalition. Nonetheless, the growing importance of smaller parties in parliament, such as the Economic Freedom Fighters (EFF), will likely limit the ANC's wiggle room. President </w:t>
            </w:r>
            <w:proofErr w:type="spellStart"/>
            <w:r w:rsidRPr="006439CC">
              <w:rPr>
                <w:rFonts w:ascii="Arial" w:eastAsia="Calibri" w:hAnsi="Arial" w:cs="Arial"/>
                <w:sz w:val="18"/>
                <w:szCs w:val="18"/>
                <w:lang w:eastAsia="en-ZA"/>
              </w:rPr>
              <w:t>Ramaphosa</w:t>
            </w:r>
            <w:proofErr w:type="spellEnd"/>
            <w:r w:rsidRPr="006439CC">
              <w:rPr>
                <w:rFonts w:ascii="Arial" w:eastAsia="Calibri" w:hAnsi="Arial" w:cs="Arial"/>
                <w:sz w:val="18"/>
                <w:szCs w:val="18"/>
                <w:lang w:eastAsia="en-ZA"/>
              </w:rPr>
              <w:t xml:space="preserve"> is also likely to face further struggles from factions within his party, which have recently blocked key reforms to the </w:t>
            </w:r>
            <w:proofErr w:type="spellStart"/>
            <w:r w:rsidRPr="006439CC">
              <w:rPr>
                <w:rFonts w:ascii="Arial" w:eastAsia="Calibri" w:hAnsi="Arial" w:cs="Arial"/>
                <w:sz w:val="18"/>
                <w:szCs w:val="18"/>
                <w:lang w:eastAsia="en-ZA"/>
              </w:rPr>
              <w:t>labor</w:t>
            </w:r>
            <w:proofErr w:type="spellEnd"/>
            <w:r w:rsidRPr="006439CC">
              <w:rPr>
                <w:rFonts w:ascii="Arial" w:eastAsia="Calibri" w:hAnsi="Arial" w:cs="Arial"/>
                <w:sz w:val="18"/>
                <w:szCs w:val="18"/>
                <w:lang w:eastAsia="en-ZA"/>
              </w:rPr>
              <w:t xml:space="preserve"> market and nonfinancial public enterprises (NFPEs).</w:t>
            </w:r>
          </w:p>
          <w:p w14:paraId="0F1D33AC"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We estimate South Africa's GDP per capita at close to US$6,200 in 2019, a fall from US$6,400 in 2018. Real GPD per capita has been shrinking since 2014, exacerbated by the depreciation of the South African rand (ZAR). Despite considerable progress on poverty alleviation since the end of apartheid, South Africa remains one of the most unequal societies in the world, with the poorest 60% of the population controlling less than 10% of wealth. Even though unemployment remains very high, the public sector received an </w:t>
            </w:r>
            <w:proofErr w:type="gramStart"/>
            <w:r w:rsidRPr="006439CC">
              <w:rPr>
                <w:rFonts w:ascii="Arial" w:eastAsia="Calibri" w:hAnsi="Arial" w:cs="Arial"/>
                <w:sz w:val="18"/>
                <w:szCs w:val="18"/>
                <w:lang w:eastAsia="en-ZA"/>
              </w:rPr>
              <w:t>above-inflation</w:t>
            </w:r>
            <w:proofErr w:type="gramEnd"/>
            <w:r w:rsidRPr="006439CC">
              <w:rPr>
                <w:rFonts w:ascii="Arial" w:eastAsia="Calibri" w:hAnsi="Arial" w:cs="Arial"/>
                <w:sz w:val="18"/>
                <w:szCs w:val="18"/>
                <w:lang w:eastAsia="en-ZA"/>
              </w:rPr>
              <w:t xml:space="preserve"> pay hike last year. Meanwhile, heavy unionization in key sectors such as mining creates an insider-outsider </w:t>
            </w:r>
            <w:proofErr w:type="spellStart"/>
            <w:r w:rsidRPr="006439CC">
              <w:rPr>
                <w:rFonts w:ascii="Arial" w:eastAsia="Calibri" w:hAnsi="Arial" w:cs="Arial"/>
                <w:sz w:val="18"/>
                <w:szCs w:val="18"/>
                <w:lang w:eastAsia="en-ZA"/>
              </w:rPr>
              <w:t>labor</w:t>
            </w:r>
            <w:proofErr w:type="spellEnd"/>
            <w:r w:rsidRPr="006439CC">
              <w:rPr>
                <w:rFonts w:ascii="Arial" w:eastAsia="Calibri" w:hAnsi="Arial" w:cs="Arial"/>
                <w:sz w:val="18"/>
                <w:szCs w:val="18"/>
                <w:lang w:eastAsia="en-ZA"/>
              </w:rPr>
              <w:t xml:space="preserve"> market that is inflexible and further constrains GDP growth, in our opinion.</w:t>
            </w:r>
          </w:p>
          <w:p w14:paraId="6E53F92A"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The government has started to enact important reforms aimed at restoring the credibility of South Africa's weakened institutions; for example, the reinvigoration of the National Prosecuting Authority (NPA) and the South African Revenue Service (SARS). We expect these changes will support investor confidence over the longer term. Despite these early signs of reform implementation, further structural reform to address South Africa's growth and fiscal problems has been limited.</w:t>
            </w:r>
          </w:p>
          <w:p w14:paraId="268ABC7E"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In late 2018, the ANC adopted a resolution to explore options for land "expropriation without compensation" to correct historical imbalances. The constitutional amendment process is ongoing. Although the president has stated that any expropriation would follow due process and that agriculture should not be damaged, the prospect of this reform has worried some investors. </w:t>
            </w:r>
          </w:p>
          <w:p w14:paraId="336DE78B"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We expect land and property expropriation to move slowly. Deals will be subject to the courts' scrutiny and the rule of law and the enforcement of contracts should remain in place. Our view reflects our consideration of the checks and balances embedded within South Africa's institutional framework, which includes a constitutionally independent judiciary. However, South Africa still faces significant unaddressed challenges related to high levels of poverty, unemployment, and economic inequality.</w:t>
            </w:r>
          </w:p>
          <w:p w14:paraId="1A589B10" w14:textId="77777777" w:rsidR="006439CC" w:rsidRPr="006439CC" w:rsidRDefault="006439CC" w:rsidP="006439CC">
            <w:pPr>
              <w:spacing w:before="30" w:after="45" w:line="240" w:lineRule="auto"/>
              <w:rPr>
                <w:rFonts w:ascii="Arial" w:eastAsia="Calibri" w:hAnsi="Arial" w:cs="Arial"/>
                <w:b/>
                <w:bCs/>
                <w:color w:val="CC0033"/>
                <w:lang w:eastAsia="en-ZA"/>
              </w:rPr>
            </w:pPr>
            <w:r w:rsidRPr="006439CC">
              <w:rPr>
                <w:rFonts w:ascii="Arial" w:eastAsia="Calibri" w:hAnsi="Arial" w:cs="Arial"/>
                <w:b/>
                <w:bCs/>
                <w:color w:val="CC0033"/>
                <w:lang w:eastAsia="en-ZA"/>
              </w:rPr>
              <w:t>Flexibility and performance profile: Monetary flexibility remains a strength, but the government's debt burden and contingent liabilities are both substantial and growing.</w:t>
            </w:r>
          </w:p>
          <w:tbl>
            <w:tblPr>
              <w:tblW w:w="0" w:type="auto"/>
              <w:tblCellSpacing w:w="0" w:type="dxa"/>
              <w:tblCellMar>
                <w:left w:w="0" w:type="dxa"/>
                <w:right w:w="0" w:type="dxa"/>
              </w:tblCellMar>
              <w:tblLook w:val="04A0" w:firstRow="1" w:lastRow="0" w:firstColumn="1" w:lastColumn="0" w:noHBand="0" w:noVBand="1"/>
            </w:tblPr>
            <w:tblGrid>
              <w:gridCol w:w="259"/>
              <w:gridCol w:w="9881"/>
            </w:tblGrid>
            <w:tr w:rsidR="006439CC" w:rsidRPr="006439CC" w14:paraId="47709EF1" w14:textId="77777777">
              <w:trPr>
                <w:tblCellSpacing w:w="0" w:type="dxa"/>
              </w:trPr>
              <w:tc>
                <w:tcPr>
                  <w:tcW w:w="0" w:type="auto"/>
                  <w:tcMar>
                    <w:top w:w="0" w:type="dxa"/>
                    <w:left w:w="150" w:type="dxa"/>
                    <w:bottom w:w="0" w:type="dxa"/>
                    <w:right w:w="45" w:type="dxa"/>
                  </w:tcMar>
                  <w:hideMark/>
                </w:tcPr>
                <w:p w14:paraId="544166F0"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6C16F2E1"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South Africa's fiscal outlook has deteriorated markedly, with higher expected fiscal deficits, a larger debt burden, and still uncontained contingent liability risk. The latter is largely tied to the problematic energy utility, Eskom.</w:t>
                  </w:r>
                </w:p>
              </w:tc>
            </w:tr>
            <w:tr w:rsidR="006439CC" w:rsidRPr="006439CC" w14:paraId="69E18F16" w14:textId="77777777">
              <w:trPr>
                <w:tblCellSpacing w:w="0" w:type="dxa"/>
              </w:trPr>
              <w:tc>
                <w:tcPr>
                  <w:tcW w:w="0" w:type="auto"/>
                  <w:tcMar>
                    <w:top w:w="0" w:type="dxa"/>
                    <w:left w:w="150" w:type="dxa"/>
                    <w:bottom w:w="0" w:type="dxa"/>
                    <w:right w:w="45" w:type="dxa"/>
                  </w:tcMar>
                  <w:hideMark/>
                </w:tcPr>
                <w:p w14:paraId="468E7178"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61A3F457"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We still consider South Africa's monetary flexibility, its freely floating exchange rate, and the country's deep local currency financial markets to be significant credit strengths.</w:t>
                  </w:r>
                </w:p>
              </w:tc>
            </w:tr>
          </w:tbl>
          <w:p w14:paraId="0D3B24E6"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Tax collections have continued to disappoint in South Africa. Poor performance has had a clear effect--the official estimates for taxes on individuals have been lowered. This forms an important revenue line for South Africa and contributes nearly 40% of total government income. Authorities now expect it to be about 5% lower in the financial year ending March 31, 2020 than last year. A turnaround in the </w:t>
            </w:r>
            <w:proofErr w:type="spellStart"/>
            <w:r w:rsidRPr="006439CC">
              <w:rPr>
                <w:rFonts w:ascii="Arial" w:eastAsia="Calibri" w:hAnsi="Arial" w:cs="Arial"/>
                <w:sz w:val="18"/>
                <w:szCs w:val="18"/>
                <w:lang w:eastAsia="en-ZA"/>
              </w:rPr>
              <w:t>labor</w:t>
            </w:r>
            <w:proofErr w:type="spellEnd"/>
            <w:r w:rsidRPr="006439CC">
              <w:rPr>
                <w:rFonts w:ascii="Arial" w:eastAsia="Calibri" w:hAnsi="Arial" w:cs="Arial"/>
                <w:sz w:val="18"/>
                <w:szCs w:val="18"/>
                <w:lang w:eastAsia="en-ZA"/>
              </w:rPr>
              <w:t xml:space="preserve"> market, spurred by either reforms or a sharp improvement in growth, remains critical to any turnaround in revenues, in our view. </w:t>
            </w:r>
          </w:p>
          <w:p w14:paraId="3103403B"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Eskom's financial and operational issues have long weighed on the government. They escalated further this year, leading to extended power cuts and the need for further liquidity support. In the most recent MTBPS, the government confirmed that it would allocate to the utility an additional ZAR69 billion (over three years), on top of the ZAR23 billion per year announced in the February 2019 budget. This was urgently needed to stabilize Eskom's financial situation. Together, these payments amount to an average 0.9% of GDP in each of the next three </w:t>
            </w:r>
            <w:proofErr w:type="gramStart"/>
            <w:r w:rsidRPr="006439CC">
              <w:rPr>
                <w:rFonts w:ascii="Arial" w:eastAsia="Calibri" w:hAnsi="Arial" w:cs="Arial"/>
                <w:sz w:val="18"/>
                <w:szCs w:val="18"/>
                <w:lang w:eastAsia="en-ZA"/>
              </w:rPr>
              <w:t>years, and</w:t>
            </w:r>
            <w:proofErr w:type="gramEnd"/>
            <w:r w:rsidRPr="006439CC">
              <w:rPr>
                <w:rFonts w:ascii="Arial" w:eastAsia="Calibri" w:hAnsi="Arial" w:cs="Arial"/>
                <w:sz w:val="18"/>
                <w:szCs w:val="18"/>
                <w:lang w:eastAsia="en-ZA"/>
              </w:rPr>
              <w:t xml:space="preserve"> have a significant impact on the government's fiscal metrics. </w:t>
            </w:r>
          </w:p>
          <w:p w14:paraId="64C3E582"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Eskom is being restructured into three distinct units. Its target completion date for this process is the end of 2021. Nevertheless, we expect the government will still need to support Eskom well into our forecast period. It will therefore likely be an enduring drain on South Africa's fiscal resources.</w:t>
            </w:r>
          </w:p>
          <w:p w14:paraId="4A489068"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Interest costs have continued to rise in South Africa and are increasingly crowding out other important expenditure priorities. Currently estimated at 13.6% of general government revenues, we anticipate they will rise to 16.8% of revenue by 2022, predominantly because of the higher debt load. Interest payments could rise further if South Africa leaves the FTSE World Government Bond index, or if rates in advanced markets rise and South Africa is forced to follow.</w:t>
            </w:r>
          </w:p>
          <w:p w14:paraId="5CD8BA00"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On the positive side, South Africa's government debt is overwhelmingly denominated in rand; only about 8% is denominated in foreign currency. This shields the government debt from exchange-rate shocks. </w:t>
            </w:r>
            <w:proofErr w:type="spellStart"/>
            <w:r w:rsidRPr="006439CC">
              <w:rPr>
                <w:rFonts w:ascii="Arial" w:eastAsia="Calibri" w:hAnsi="Arial" w:cs="Arial"/>
                <w:sz w:val="18"/>
                <w:szCs w:val="18"/>
                <w:lang w:eastAsia="en-ZA"/>
              </w:rPr>
              <w:t>Nonresidents</w:t>
            </w:r>
            <w:proofErr w:type="spellEnd"/>
            <w:r w:rsidRPr="006439CC">
              <w:rPr>
                <w:rFonts w:ascii="Arial" w:eastAsia="Calibri" w:hAnsi="Arial" w:cs="Arial"/>
                <w:sz w:val="18"/>
                <w:szCs w:val="18"/>
                <w:lang w:eastAsia="en-ZA"/>
              </w:rPr>
              <w:t xml:space="preserve"> held 37% of the government's rand-denominated debt as of October 2019, down from a peak of 43% in March 2018. Although the large presence of international investors in South Africa's debt markets helps improve liquidity and can lower the government's cost of funding, it also means the economy is vulnerable to global emerging market sentiment and global interest rate movements.</w:t>
            </w:r>
          </w:p>
          <w:p w14:paraId="01647223"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lastRenderedPageBreak/>
              <w:t>We view contingent liabilities as sizable. This reflects the increased risk that South Africa's large NFPE sector, and Eskom in particular, could require even further extraordinary government support than currently provisioned. In addition, plans to improve the underlying financial position of Eskom and other NFPEs that have weak balance sheets may deliver results only slowly. We estimate that overall public-sector net debt will be around 80% of GDP in 2019 and will rise to an average of 84% over 2019-2022, including the debt of central and local governments and of public sector companies.</w:t>
            </w:r>
          </w:p>
          <w:p w14:paraId="057B5DEB"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South Africa's current account deficit has been gradually climbing, after falling to a recent low of 2.5% in 2017. We estimate a deficit of 3.9% for 2019, partly driven by falling export numbers. We expect the current account deficit will remain broadly stable, at an average 3.9% of GDP over 2020-2022, as a mild pickup in exports is offset by increasing interest payments on non-resident-held debt. </w:t>
            </w:r>
          </w:p>
          <w:p w14:paraId="68CEB27F"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Although the current account deficit is not large by historical standards, its financing remains vulnerable to changes in investor sentiment because it is predominantly funded through volatile portfolio and other investment inflows. Such inflows can be susceptible to changes in foreign investor sentiment and emerging market appetite. Nevertheless, South Africa's comparatively low geopolitical and external security risks are a source of support for the country's external financing. </w:t>
            </w:r>
          </w:p>
          <w:p w14:paraId="5CA2AB54"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South Africa's narrow net external debt (external debt net of liquid assets--including both foreign currency debt and rand debt held by foreign investors) is still not very high, at just below 50% of current account receipts, but is forecast to rise before plateauing at around 56% by FY2022. The main cause of its rise has been net inflows as </w:t>
            </w:r>
            <w:proofErr w:type="spellStart"/>
            <w:r w:rsidRPr="006439CC">
              <w:rPr>
                <w:rFonts w:ascii="Arial" w:eastAsia="Calibri" w:hAnsi="Arial" w:cs="Arial"/>
                <w:sz w:val="18"/>
                <w:szCs w:val="18"/>
                <w:lang w:eastAsia="en-ZA"/>
              </w:rPr>
              <w:t>nonresidents</w:t>
            </w:r>
            <w:proofErr w:type="spellEnd"/>
            <w:r w:rsidRPr="006439CC">
              <w:rPr>
                <w:rFonts w:ascii="Arial" w:eastAsia="Calibri" w:hAnsi="Arial" w:cs="Arial"/>
                <w:sz w:val="18"/>
                <w:szCs w:val="18"/>
                <w:lang w:eastAsia="en-ZA"/>
              </w:rPr>
              <w:t xml:space="preserve"> purchase local currency government debt securities. The tightening and subsequent loosening of interest rates in advanced markets has also resulted in some of these inflows to emerging markets, including South Africa, remaining volatile. They remain vulnerable to the risk of a sharp deterioration in external financing conditions. </w:t>
            </w:r>
          </w:p>
          <w:p w14:paraId="67939366"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Nevertheless, we consider the depth of local currency capital markets, still-credible institutions such as the South African Reserve Bank (SARB; the central bank), and the flexible and open exchange rate regime to be key rating strengths that support our classification of the rand as an actively traded currency. This classification means that, in our view, there is a cushion against any large-scale withdrawal of external funds. Additionally, the more-flexible monetary position permits South Africa to live with less reserve accumulation and higher short-term debt levels than other sovereigns that have less widely traded currencies. </w:t>
            </w:r>
          </w:p>
          <w:p w14:paraId="238AA0C0"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The SARB is operationally independent, in our opinion, and pursues transparent and credible policies. There are ongoing discussions to nationalize it (it is currently partially privately owned) but we believe that any such transformation would take time and that it will remain operationally independent over our forecast period. </w:t>
            </w:r>
          </w:p>
          <w:p w14:paraId="1845A06C"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Inflation has been on a steady moderating path over the past couple of years. It sat at 3.7% as of October, comfortably within SARB's target range of 3%-6%. We see higher inflation risks stemming from renewed volatility in both the rand and commodity and oil </w:t>
            </w:r>
            <w:proofErr w:type="gramStart"/>
            <w:r w:rsidRPr="006439CC">
              <w:rPr>
                <w:rFonts w:ascii="Arial" w:eastAsia="Calibri" w:hAnsi="Arial" w:cs="Arial"/>
                <w:sz w:val="18"/>
                <w:szCs w:val="18"/>
                <w:lang w:eastAsia="en-ZA"/>
              </w:rPr>
              <w:t>prices, but</w:t>
            </w:r>
            <w:proofErr w:type="gramEnd"/>
            <w:r w:rsidRPr="006439CC">
              <w:rPr>
                <w:rFonts w:ascii="Arial" w:eastAsia="Calibri" w:hAnsi="Arial" w:cs="Arial"/>
                <w:sz w:val="18"/>
                <w:szCs w:val="18"/>
                <w:lang w:eastAsia="en-ZA"/>
              </w:rPr>
              <w:t xml:space="preserve"> suppressed domestic demand will help contain price pressure. In its July monetary policy committee meeting, the central bank started easing again. It cut its rate by 25 basis points (bps), citing lower actual and expected inflation, as well as the weak macroenvironment. The cut was in line with the beginning of the Federal Reserve's most recent easing cycle. We forecast that inflation will remain largely within the target range for the rest of our forecast period through 2022.</w:t>
            </w:r>
          </w:p>
          <w:p w14:paraId="42280B54"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We think the financial sector is, by and large, profitable and well capitalized, although small banks have recently been hit by governance issues. Banks continue to rely on concentrated short- and medium-term wholesale funding from nonbank financial institutions, since retail savings are low and contractual savings tend to be dominated by professional money managers (see "Banking Industry Country Risk Assessment: South Africa," published Oct. 17, 2018).</w:t>
            </w:r>
          </w:p>
          <w:p w14:paraId="154762EB" w14:textId="77777777" w:rsidR="006439CC" w:rsidRPr="006439CC" w:rsidRDefault="006439CC" w:rsidP="006439CC">
            <w:pPr>
              <w:spacing w:before="30" w:after="45" w:line="240" w:lineRule="auto"/>
              <w:rPr>
                <w:rFonts w:ascii="Arial" w:eastAsia="Calibri" w:hAnsi="Arial" w:cs="Arial"/>
                <w:b/>
                <w:bCs/>
                <w:color w:val="CC0033"/>
                <w:lang w:eastAsia="en-ZA"/>
              </w:rPr>
            </w:pPr>
            <w:r w:rsidRPr="006439CC">
              <w:rPr>
                <w:rFonts w:ascii="Arial" w:eastAsia="Calibri" w:hAnsi="Arial" w:cs="Arial"/>
                <w:b/>
                <w:bCs/>
                <w:color w:val="CC0033"/>
                <w:lang w:eastAsia="en-ZA"/>
              </w:rPr>
              <w:t>Key Statistics</w:t>
            </w:r>
          </w:p>
          <w:tbl>
            <w:tblPr>
              <w:tblW w:w="0" w:type="auto"/>
              <w:tblCellSpacing w:w="0" w:type="dxa"/>
              <w:tblCellMar>
                <w:left w:w="0" w:type="dxa"/>
                <w:right w:w="0" w:type="dxa"/>
              </w:tblCellMar>
              <w:tblLook w:val="04A0" w:firstRow="1" w:lastRow="0" w:firstColumn="1" w:lastColumn="0" w:noHBand="0" w:noVBand="1"/>
            </w:tblPr>
            <w:tblGrid>
              <w:gridCol w:w="2080"/>
              <w:gridCol w:w="775"/>
              <w:gridCol w:w="775"/>
              <w:gridCol w:w="775"/>
              <w:gridCol w:w="775"/>
              <w:gridCol w:w="775"/>
              <w:gridCol w:w="775"/>
              <w:gridCol w:w="775"/>
              <w:gridCol w:w="775"/>
              <w:gridCol w:w="775"/>
              <w:gridCol w:w="775"/>
              <w:gridCol w:w="7"/>
              <w:gridCol w:w="7"/>
              <w:gridCol w:w="7"/>
              <w:gridCol w:w="7"/>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6439CC" w:rsidRPr="006439CC" w14:paraId="225D807A" w14:textId="77777777">
              <w:trPr>
                <w:tblCellSpacing w:w="0" w:type="dxa"/>
              </w:trPr>
              <w:tc>
                <w:tcPr>
                  <w:tcW w:w="0" w:type="auto"/>
                  <w:gridSpan w:val="62"/>
                  <w:tcMar>
                    <w:top w:w="45" w:type="dxa"/>
                    <w:left w:w="90" w:type="dxa"/>
                    <w:bottom w:w="45" w:type="dxa"/>
                    <w:right w:w="90" w:type="dxa"/>
                  </w:tcMar>
                  <w:vAlign w:val="center"/>
                  <w:hideMark/>
                </w:tcPr>
                <w:p w14:paraId="6EAA9D32" w14:textId="77777777" w:rsidR="006439CC" w:rsidRPr="006439CC" w:rsidRDefault="006439CC" w:rsidP="006439CC">
                  <w:pPr>
                    <w:spacing w:after="180" w:line="240" w:lineRule="auto"/>
                    <w:rPr>
                      <w:rFonts w:ascii="Arial" w:eastAsia="Calibri" w:hAnsi="Arial" w:cs="Arial"/>
                      <w:b/>
                      <w:bCs/>
                      <w:sz w:val="18"/>
                      <w:szCs w:val="18"/>
                      <w:lang w:eastAsia="en-ZA"/>
                    </w:rPr>
                  </w:pPr>
                  <w:r w:rsidRPr="006439CC">
                    <w:rPr>
                      <w:rFonts w:ascii="Arial" w:eastAsia="Calibri" w:hAnsi="Arial" w:cs="Arial"/>
                      <w:b/>
                      <w:bCs/>
                      <w:sz w:val="18"/>
                      <w:szCs w:val="18"/>
                      <w:lang w:eastAsia="en-ZA"/>
                    </w:rPr>
                    <w:t xml:space="preserve">Table 1 | </w:t>
                  </w:r>
                  <w:hyperlink r:id="rId5" w:tgtFrame="_new" w:history="1">
                    <w:r w:rsidRPr="006439CC">
                      <w:rPr>
                        <w:rFonts w:ascii="Arial" w:eastAsia="Calibri" w:hAnsi="Arial" w:cs="Arial"/>
                        <w:b/>
                        <w:bCs/>
                        <w:color w:val="0088CC"/>
                        <w:sz w:val="18"/>
                        <w:szCs w:val="18"/>
                        <w:lang w:eastAsia="en-ZA"/>
                      </w:rPr>
                      <w:t>Download Table</w:t>
                    </w:r>
                  </w:hyperlink>
                </w:p>
              </w:tc>
            </w:tr>
            <w:tr w:rsidR="006439CC" w:rsidRPr="006439CC" w14:paraId="120B0D9C" w14:textId="77777777">
              <w:trPr>
                <w:tblCellSpacing w:w="0" w:type="dxa"/>
              </w:trPr>
              <w:tc>
                <w:tcPr>
                  <w:tcW w:w="0" w:type="auto"/>
                  <w:gridSpan w:val="62"/>
                  <w:shd w:val="clear" w:color="auto" w:fill="CC0033"/>
                  <w:tcMar>
                    <w:top w:w="45" w:type="dxa"/>
                    <w:left w:w="90" w:type="dxa"/>
                    <w:bottom w:w="45" w:type="dxa"/>
                    <w:right w:w="90" w:type="dxa"/>
                  </w:tcMar>
                  <w:vAlign w:val="center"/>
                  <w:hideMark/>
                </w:tcPr>
                <w:p w14:paraId="78167ECA" w14:textId="77777777" w:rsidR="006439CC" w:rsidRPr="006439CC" w:rsidRDefault="006439CC" w:rsidP="006439CC">
                  <w:pPr>
                    <w:spacing w:after="180" w:line="240" w:lineRule="auto"/>
                    <w:rPr>
                      <w:rFonts w:ascii="Arial" w:eastAsia="Calibri" w:hAnsi="Arial" w:cs="Arial"/>
                      <w:b/>
                      <w:bCs/>
                      <w:color w:val="FFFFFF"/>
                      <w:sz w:val="18"/>
                      <w:szCs w:val="18"/>
                      <w:lang w:eastAsia="en-ZA"/>
                    </w:rPr>
                  </w:pPr>
                  <w:r w:rsidRPr="006439CC">
                    <w:rPr>
                      <w:rFonts w:ascii="Arial" w:eastAsia="Calibri" w:hAnsi="Arial" w:cs="Arial"/>
                      <w:b/>
                      <w:bCs/>
                      <w:color w:val="FFFFFF"/>
                      <w:sz w:val="18"/>
                      <w:szCs w:val="18"/>
                      <w:lang w:eastAsia="en-ZA"/>
                    </w:rPr>
                    <w:t>South Africa Selected Indicators</w:t>
                  </w:r>
                </w:p>
              </w:tc>
            </w:tr>
            <w:tr w:rsidR="006439CC" w:rsidRPr="006439CC" w14:paraId="45DA82CE" w14:textId="77777777">
              <w:trPr>
                <w:tblCellSpacing w:w="0" w:type="dxa"/>
              </w:trPr>
              <w:tc>
                <w:tcPr>
                  <w:tcW w:w="0" w:type="auto"/>
                  <w:tcMar>
                    <w:top w:w="45" w:type="dxa"/>
                    <w:left w:w="0" w:type="dxa"/>
                    <w:bottom w:w="45" w:type="dxa"/>
                    <w:right w:w="0" w:type="dxa"/>
                  </w:tcMar>
                  <w:vAlign w:val="center"/>
                  <w:hideMark/>
                </w:tcPr>
                <w:p w14:paraId="4D15E7D2" w14:textId="77777777" w:rsidR="006439CC" w:rsidRPr="006439CC" w:rsidRDefault="006439CC" w:rsidP="006439CC">
                  <w:pPr>
                    <w:spacing w:after="0" w:line="240" w:lineRule="auto"/>
                    <w:rPr>
                      <w:rFonts w:ascii="Arial" w:eastAsia="Calibri" w:hAnsi="Arial" w:cs="Arial"/>
                      <w:b/>
                      <w:bCs/>
                      <w:color w:val="FFFFFF"/>
                      <w:sz w:val="18"/>
                      <w:szCs w:val="18"/>
                      <w:lang w:eastAsia="en-ZA"/>
                    </w:rPr>
                  </w:pPr>
                </w:p>
              </w:tc>
              <w:tc>
                <w:tcPr>
                  <w:tcW w:w="0" w:type="auto"/>
                  <w:tcMar>
                    <w:top w:w="45" w:type="dxa"/>
                    <w:left w:w="90" w:type="dxa"/>
                    <w:bottom w:w="45" w:type="dxa"/>
                    <w:right w:w="90" w:type="dxa"/>
                  </w:tcMar>
                  <w:vAlign w:val="center"/>
                  <w:hideMark/>
                </w:tcPr>
                <w:p w14:paraId="5C6B4E6F" w14:textId="77777777" w:rsidR="006439CC" w:rsidRPr="006439CC" w:rsidRDefault="006439CC" w:rsidP="006439CC">
                  <w:pPr>
                    <w:spacing w:after="180" w:line="240" w:lineRule="auto"/>
                    <w:jc w:val="right"/>
                    <w:rPr>
                      <w:rFonts w:ascii="Arial" w:eastAsia="Calibri" w:hAnsi="Arial" w:cs="Arial"/>
                      <w:b/>
                      <w:bCs/>
                      <w:sz w:val="18"/>
                      <w:szCs w:val="18"/>
                      <w:lang w:eastAsia="en-ZA"/>
                    </w:rPr>
                  </w:pPr>
                  <w:r w:rsidRPr="006439CC">
                    <w:rPr>
                      <w:rFonts w:ascii="Arial" w:eastAsia="Calibri" w:hAnsi="Arial" w:cs="Arial"/>
                      <w:b/>
                      <w:bCs/>
                      <w:sz w:val="18"/>
                      <w:szCs w:val="18"/>
                      <w:lang w:eastAsia="en-ZA"/>
                    </w:rPr>
                    <w:t>2013</w:t>
                  </w:r>
                </w:p>
              </w:tc>
              <w:tc>
                <w:tcPr>
                  <w:tcW w:w="0" w:type="auto"/>
                  <w:tcMar>
                    <w:top w:w="45" w:type="dxa"/>
                    <w:left w:w="90" w:type="dxa"/>
                    <w:bottom w:w="45" w:type="dxa"/>
                    <w:right w:w="90" w:type="dxa"/>
                  </w:tcMar>
                  <w:vAlign w:val="center"/>
                  <w:hideMark/>
                </w:tcPr>
                <w:p w14:paraId="1BACEECA" w14:textId="77777777" w:rsidR="006439CC" w:rsidRPr="006439CC" w:rsidRDefault="006439CC" w:rsidP="006439CC">
                  <w:pPr>
                    <w:spacing w:after="180" w:line="240" w:lineRule="auto"/>
                    <w:jc w:val="right"/>
                    <w:rPr>
                      <w:rFonts w:ascii="Arial" w:eastAsia="Calibri" w:hAnsi="Arial" w:cs="Arial"/>
                      <w:b/>
                      <w:bCs/>
                      <w:sz w:val="18"/>
                      <w:szCs w:val="18"/>
                      <w:lang w:eastAsia="en-ZA"/>
                    </w:rPr>
                  </w:pPr>
                  <w:r w:rsidRPr="006439CC">
                    <w:rPr>
                      <w:rFonts w:ascii="Arial" w:eastAsia="Calibri" w:hAnsi="Arial" w:cs="Arial"/>
                      <w:b/>
                      <w:bCs/>
                      <w:sz w:val="18"/>
                      <w:szCs w:val="18"/>
                      <w:lang w:eastAsia="en-ZA"/>
                    </w:rPr>
                    <w:t>2014</w:t>
                  </w:r>
                </w:p>
              </w:tc>
              <w:tc>
                <w:tcPr>
                  <w:tcW w:w="0" w:type="auto"/>
                  <w:tcMar>
                    <w:top w:w="45" w:type="dxa"/>
                    <w:left w:w="90" w:type="dxa"/>
                    <w:bottom w:w="45" w:type="dxa"/>
                    <w:right w:w="90" w:type="dxa"/>
                  </w:tcMar>
                  <w:vAlign w:val="center"/>
                  <w:hideMark/>
                </w:tcPr>
                <w:p w14:paraId="54517587" w14:textId="77777777" w:rsidR="006439CC" w:rsidRPr="006439CC" w:rsidRDefault="006439CC" w:rsidP="006439CC">
                  <w:pPr>
                    <w:spacing w:after="180" w:line="240" w:lineRule="auto"/>
                    <w:jc w:val="right"/>
                    <w:rPr>
                      <w:rFonts w:ascii="Arial" w:eastAsia="Calibri" w:hAnsi="Arial" w:cs="Arial"/>
                      <w:b/>
                      <w:bCs/>
                      <w:sz w:val="18"/>
                      <w:szCs w:val="18"/>
                      <w:lang w:eastAsia="en-ZA"/>
                    </w:rPr>
                  </w:pPr>
                  <w:r w:rsidRPr="006439CC">
                    <w:rPr>
                      <w:rFonts w:ascii="Arial" w:eastAsia="Calibri" w:hAnsi="Arial" w:cs="Arial"/>
                      <w:b/>
                      <w:bCs/>
                      <w:sz w:val="18"/>
                      <w:szCs w:val="18"/>
                      <w:lang w:eastAsia="en-ZA"/>
                    </w:rPr>
                    <w:t>2015</w:t>
                  </w:r>
                </w:p>
              </w:tc>
              <w:tc>
                <w:tcPr>
                  <w:tcW w:w="0" w:type="auto"/>
                  <w:tcMar>
                    <w:top w:w="45" w:type="dxa"/>
                    <w:left w:w="90" w:type="dxa"/>
                    <w:bottom w:w="45" w:type="dxa"/>
                    <w:right w:w="90" w:type="dxa"/>
                  </w:tcMar>
                  <w:vAlign w:val="center"/>
                  <w:hideMark/>
                </w:tcPr>
                <w:p w14:paraId="54169415" w14:textId="77777777" w:rsidR="006439CC" w:rsidRPr="006439CC" w:rsidRDefault="006439CC" w:rsidP="006439CC">
                  <w:pPr>
                    <w:spacing w:after="180" w:line="240" w:lineRule="auto"/>
                    <w:jc w:val="right"/>
                    <w:rPr>
                      <w:rFonts w:ascii="Arial" w:eastAsia="Calibri" w:hAnsi="Arial" w:cs="Arial"/>
                      <w:b/>
                      <w:bCs/>
                      <w:sz w:val="18"/>
                      <w:szCs w:val="18"/>
                      <w:lang w:eastAsia="en-ZA"/>
                    </w:rPr>
                  </w:pPr>
                  <w:r w:rsidRPr="006439CC">
                    <w:rPr>
                      <w:rFonts w:ascii="Arial" w:eastAsia="Calibri" w:hAnsi="Arial" w:cs="Arial"/>
                      <w:b/>
                      <w:bCs/>
                      <w:sz w:val="18"/>
                      <w:szCs w:val="18"/>
                      <w:lang w:eastAsia="en-ZA"/>
                    </w:rPr>
                    <w:t>2016</w:t>
                  </w:r>
                </w:p>
              </w:tc>
              <w:tc>
                <w:tcPr>
                  <w:tcW w:w="0" w:type="auto"/>
                  <w:tcMar>
                    <w:top w:w="45" w:type="dxa"/>
                    <w:left w:w="90" w:type="dxa"/>
                    <w:bottom w:w="45" w:type="dxa"/>
                    <w:right w:w="90" w:type="dxa"/>
                  </w:tcMar>
                  <w:vAlign w:val="center"/>
                  <w:hideMark/>
                </w:tcPr>
                <w:p w14:paraId="013BD3E2" w14:textId="77777777" w:rsidR="006439CC" w:rsidRPr="006439CC" w:rsidRDefault="006439CC" w:rsidP="006439CC">
                  <w:pPr>
                    <w:spacing w:after="180" w:line="240" w:lineRule="auto"/>
                    <w:jc w:val="right"/>
                    <w:rPr>
                      <w:rFonts w:ascii="Arial" w:eastAsia="Calibri" w:hAnsi="Arial" w:cs="Arial"/>
                      <w:b/>
                      <w:bCs/>
                      <w:sz w:val="18"/>
                      <w:szCs w:val="18"/>
                      <w:lang w:eastAsia="en-ZA"/>
                    </w:rPr>
                  </w:pPr>
                  <w:r w:rsidRPr="006439CC">
                    <w:rPr>
                      <w:rFonts w:ascii="Arial" w:eastAsia="Calibri" w:hAnsi="Arial" w:cs="Arial"/>
                      <w:b/>
                      <w:bCs/>
                      <w:sz w:val="18"/>
                      <w:szCs w:val="18"/>
                      <w:lang w:eastAsia="en-ZA"/>
                    </w:rPr>
                    <w:t>2017</w:t>
                  </w:r>
                </w:p>
              </w:tc>
              <w:tc>
                <w:tcPr>
                  <w:tcW w:w="0" w:type="auto"/>
                  <w:tcMar>
                    <w:top w:w="45" w:type="dxa"/>
                    <w:left w:w="90" w:type="dxa"/>
                    <w:bottom w:w="45" w:type="dxa"/>
                    <w:right w:w="90" w:type="dxa"/>
                  </w:tcMar>
                  <w:vAlign w:val="center"/>
                  <w:hideMark/>
                </w:tcPr>
                <w:p w14:paraId="6F3C27F1" w14:textId="77777777" w:rsidR="006439CC" w:rsidRPr="006439CC" w:rsidRDefault="006439CC" w:rsidP="006439CC">
                  <w:pPr>
                    <w:spacing w:after="180" w:line="240" w:lineRule="auto"/>
                    <w:jc w:val="right"/>
                    <w:rPr>
                      <w:rFonts w:ascii="Arial" w:eastAsia="Calibri" w:hAnsi="Arial" w:cs="Arial"/>
                      <w:b/>
                      <w:bCs/>
                      <w:sz w:val="18"/>
                      <w:szCs w:val="18"/>
                      <w:lang w:eastAsia="en-ZA"/>
                    </w:rPr>
                  </w:pPr>
                  <w:r w:rsidRPr="006439CC">
                    <w:rPr>
                      <w:rFonts w:ascii="Arial" w:eastAsia="Calibri" w:hAnsi="Arial" w:cs="Arial"/>
                      <w:b/>
                      <w:bCs/>
                      <w:sz w:val="18"/>
                      <w:szCs w:val="18"/>
                      <w:lang w:eastAsia="en-ZA"/>
                    </w:rPr>
                    <w:t>2018</w:t>
                  </w:r>
                </w:p>
              </w:tc>
              <w:tc>
                <w:tcPr>
                  <w:tcW w:w="0" w:type="auto"/>
                  <w:tcMar>
                    <w:top w:w="45" w:type="dxa"/>
                    <w:left w:w="90" w:type="dxa"/>
                    <w:bottom w:w="45" w:type="dxa"/>
                    <w:right w:w="90" w:type="dxa"/>
                  </w:tcMar>
                  <w:vAlign w:val="center"/>
                  <w:hideMark/>
                </w:tcPr>
                <w:p w14:paraId="71D53425" w14:textId="77777777" w:rsidR="006439CC" w:rsidRPr="006439CC" w:rsidRDefault="006439CC" w:rsidP="006439CC">
                  <w:pPr>
                    <w:spacing w:after="180" w:line="240" w:lineRule="auto"/>
                    <w:jc w:val="right"/>
                    <w:rPr>
                      <w:rFonts w:ascii="Arial" w:eastAsia="Calibri" w:hAnsi="Arial" w:cs="Arial"/>
                      <w:b/>
                      <w:bCs/>
                      <w:sz w:val="18"/>
                      <w:szCs w:val="18"/>
                      <w:lang w:eastAsia="en-ZA"/>
                    </w:rPr>
                  </w:pPr>
                  <w:r w:rsidRPr="006439CC">
                    <w:rPr>
                      <w:rFonts w:ascii="Arial" w:eastAsia="Calibri" w:hAnsi="Arial" w:cs="Arial"/>
                      <w:b/>
                      <w:bCs/>
                      <w:sz w:val="18"/>
                      <w:szCs w:val="18"/>
                      <w:lang w:eastAsia="en-ZA"/>
                    </w:rPr>
                    <w:t>2019e</w:t>
                  </w:r>
                </w:p>
              </w:tc>
              <w:tc>
                <w:tcPr>
                  <w:tcW w:w="0" w:type="auto"/>
                  <w:tcMar>
                    <w:top w:w="45" w:type="dxa"/>
                    <w:left w:w="90" w:type="dxa"/>
                    <w:bottom w:w="45" w:type="dxa"/>
                    <w:right w:w="90" w:type="dxa"/>
                  </w:tcMar>
                  <w:vAlign w:val="center"/>
                  <w:hideMark/>
                </w:tcPr>
                <w:p w14:paraId="1B3E74E4" w14:textId="77777777" w:rsidR="006439CC" w:rsidRPr="006439CC" w:rsidRDefault="006439CC" w:rsidP="006439CC">
                  <w:pPr>
                    <w:spacing w:after="180" w:line="240" w:lineRule="auto"/>
                    <w:jc w:val="right"/>
                    <w:rPr>
                      <w:rFonts w:ascii="Arial" w:eastAsia="Calibri" w:hAnsi="Arial" w:cs="Arial"/>
                      <w:b/>
                      <w:bCs/>
                      <w:sz w:val="18"/>
                      <w:szCs w:val="18"/>
                      <w:lang w:eastAsia="en-ZA"/>
                    </w:rPr>
                  </w:pPr>
                  <w:r w:rsidRPr="006439CC">
                    <w:rPr>
                      <w:rFonts w:ascii="Arial" w:eastAsia="Calibri" w:hAnsi="Arial" w:cs="Arial"/>
                      <w:b/>
                      <w:bCs/>
                      <w:sz w:val="18"/>
                      <w:szCs w:val="18"/>
                      <w:lang w:eastAsia="en-ZA"/>
                    </w:rPr>
                    <w:t>2020f</w:t>
                  </w:r>
                </w:p>
              </w:tc>
              <w:tc>
                <w:tcPr>
                  <w:tcW w:w="0" w:type="auto"/>
                  <w:tcMar>
                    <w:top w:w="45" w:type="dxa"/>
                    <w:left w:w="90" w:type="dxa"/>
                    <w:bottom w:w="45" w:type="dxa"/>
                    <w:right w:w="90" w:type="dxa"/>
                  </w:tcMar>
                  <w:vAlign w:val="center"/>
                  <w:hideMark/>
                </w:tcPr>
                <w:p w14:paraId="461715A3" w14:textId="77777777" w:rsidR="006439CC" w:rsidRPr="006439CC" w:rsidRDefault="006439CC" w:rsidP="006439CC">
                  <w:pPr>
                    <w:spacing w:after="180" w:line="240" w:lineRule="auto"/>
                    <w:jc w:val="right"/>
                    <w:rPr>
                      <w:rFonts w:ascii="Arial" w:eastAsia="Calibri" w:hAnsi="Arial" w:cs="Arial"/>
                      <w:b/>
                      <w:bCs/>
                      <w:sz w:val="18"/>
                      <w:szCs w:val="18"/>
                      <w:lang w:eastAsia="en-ZA"/>
                    </w:rPr>
                  </w:pPr>
                  <w:r w:rsidRPr="006439CC">
                    <w:rPr>
                      <w:rFonts w:ascii="Arial" w:eastAsia="Calibri" w:hAnsi="Arial" w:cs="Arial"/>
                      <w:b/>
                      <w:bCs/>
                      <w:sz w:val="18"/>
                      <w:szCs w:val="18"/>
                      <w:lang w:eastAsia="en-ZA"/>
                    </w:rPr>
                    <w:t>2021f</w:t>
                  </w:r>
                </w:p>
              </w:tc>
              <w:tc>
                <w:tcPr>
                  <w:tcW w:w="0" w:type="auto"/>
                  <w:tcMar>
                    <w:top w:w="45" w:type="dxa"/>
                    <w:left w:w="90" w:type="dxa"/>
                    <w:bottom w:w="45" w:type="dxa"/>
                    <w:right w:w="90" w:type="dxa"/>
                  </w:tcMar>
                  <w:vAlign w:val="center"/>
                  <w:hideMark/>
                </w:tcPr>
                <w:p w14:paraId="7EA5DAA3" w14:textId="77777777" w:rsidR="006439CC" w:rsidRPr="006439CC" w:rsidRDefault="006439CC" w:rsidP="006439CC">
                  <w:pPr>
                    <w:spacing w:after="180" w:line="240" w:lineRule="auto"/>
                    <w:jc w:val="right"/>
                    <w:rPr>
                      <w:rFonts w:ascii="Arial" w:eastAsia="Calibri" w:hAnsi="Arial" w:cs="Arial"/>
                      <w:b/>
                      <w:bCs/>
                      <w:sz w:val="18"/>
                      <w:szCs w:val="18"/>
                      <w:lang w:eastAsia="en-ZA"/>
                    </w:rPr>
                  </w:pPr>
                  <w:r w:rsidRPr="006439CC">
                    <w:rPr>
                      <w:rFonts w:ascii="Arial" w:eastAsia="Calibri" w:hAnsi="Arial" w:cs="Arial"/>
                      <w:b/>
                      <w:bCs/>
                      <w:sz w:val="18"/>
                      <w:szCs w:val="18"/>
                      <w:lang w:eastAsia="en-ZA"/>
                    </w:rPr>
                    <w:t>2022f</w:t>
                  </w:r>
                </w:p>
              </w:tc>
              <w:tc>
                <w:tcPr>
                  <w:tcW w:w="0" w:type="auto"/>
                  <w:vAlign w:val="center"/>
                  <w:hideMark/>
                </w:tcPr>
                <w:p w14:paraId="3BC1A9E8" w14:textId="77777777" w:rsidR="006439CC" w:rsidRPr="006439CC" w:rsidRDefault="006439CC" w:rsidP="006439CC">
                  <w:pPr>
                    <w:spacing w:after="0" w:line="240" w:lineRule="auto"/>
                    <w:rPr>
                      <w:rFonts w:ascii="Arial" w:eastAsia="Calibri" w:hAnsi="Arial" w:cs="Arial"/>
                      <w:b/>
                      <w:bCs/>
                      <w:sz w:val="18"/>
                      <w:szCs w:val="18"/>
                      <w:lang w:eastAsia="en-ZA"/>
                    </w:rPr>
                  </w:pPr>
                </w:p>
              </w:tc>
              <w:tc>
                <w:tcPr>
                  <w:tcW w:w="0" w:type="auto"/>
                  <w:vAlign w:val="center"/>
                  <w:hideMark/>
                </w:tcPr>
                <w:p w14:paraId="0FA00B8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9E67F7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AB436F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EAD99E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4F68D5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198E23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12B979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062A75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3BA77B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390844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A2F398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0BE266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9D38EF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4205BE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872229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DA55F0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C3C8D6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A088E4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54794C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624A09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630AC9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4594B5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0ABE41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D5AACA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A9F9D5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8645A9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CF4250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D3E478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94ADDC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82B366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CD29A6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679655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A3175D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683DFD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C2F80F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5745F1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C711F3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AC778B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16EE85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6D4F02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20D129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A8F9E5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2BB891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F87046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9BFF2F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3D83BD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97C0EE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7549A6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3B4E74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E19FBB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22AB8873" w14:textId="77777777">
              <w:trPr>
                <w:tblCellSpacing w:w="0" w:type="dxa"/>
              </w:trPr>
              <w:tc>
                <w:tcPr>
                  <w:tcW w:w="0" w:type="auto"/>
                  <w:gridSpan w:val="62"/>
                  <w:shd w:val="clear" w:color="auto" w:fill="EFEFEF"/>
                  <w:tcMar>
                    <w:top w:w="45" w:type="dxa"/>
                    <w:left w:w="90" w:type="dxa"/>
                    <w:bottom w:w="45" w:type="dxa"/>
                    <w:right w:w="90" w:type="dxa"/>
                  </w:tcMar>
                  <w:vAlign w:val="center"/>
                  <w:hideMark/>
                </w:tcPr>
                <w:p w14:paraId="6AD90541" w14:textId="77777777" w:rsidR="006439CC" w:rsidRPr="006439CC" w:rsidRDefault="006439CC" w:rsidP="006439CC">
                  <w:pPr>
                    <w:spacing w:after="180" w:line="240" w:lineRule="auto"/>
                    <w:rPr>
                      <w:rFonts w:ascii="Arial" w:eastAsia="Calibri" w:hAnsi="Arial" w:cs="Arial"/>
                      <w:b/>
                      <w:bCs/>
                      <w:sz w:val="18"/>
                      <w:szCs w:val="18"/>
                      <w:lang w:eastAsia="en-ZA"/>
                    </w:rPr>
                  </w:pPr>
                  <w:r w:rsidRPr="006439CC">
                    <w:rPr>
                      <w:rFonts w:ascii="Arial" w:eastAsia="Calibri" w:hAnsi="Arial" w:cs="Arial"/>
                      <w:b/>
                      <w:bCs/>
                      <w:color w:val="000000"/>
                      <w:sz w:val="18"/>
                      <w:szCs w:val="18"/>
                      <w:lang w:eastAsia="en-ZA"/>
                    </w:rPr>
                    <w:t>Economic indicators (%)</w:t>
                  </w:r>
                </w:p>
              </w:tc>
            </w:tr>
            <w:tr w:rsidR="006439CC" w:rsidRPr="006439CC" w14:paraId="6C3DE701" w14:textId="77777777">
              <w:trPr>
                <w:tblCellSpacing w:w="0" w:type="dxa"/>
              </w:trPr>
              <w:tc>
                <w:tcPr>
                  <w:tcW w:w="0" w:type="auto"/>
                  <w:tcMar>
                    <w:top w:w="45" w:type="dxa"/>
                    <w:left w:w="90" w:type="dxa"/>
                    <w:bottom w:w="45" w:type="dxa"/>
                    <w:right w:w="90" w:type="dxa"/>
                  </w:tcMar>
                  <w:vAlign w:val="center"/>
                  <w:hideMark/>
                </w:tcPr>
                <w:p w14:paraId="299E64BE"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Nominal GDP (</w:t>
                  </w:r>
                  <w:proofErr w:type="spellStart"/>
                  <w:r w:rsidRPr="006439CC">
                    <w:rPr>
                      <w:rFonts w:ascii="Arial" w:eastAsia="Calibri" w:hAnsi="Arial" w:cs="Arial"/>
                      <w:sz w:val="18"/>
                      <w:szCs w:val="18"/>
                      <w:lang w:eastAsia="en-ZA"/>
                    </w:rPr>
                    <w:t>bil</w:t>
                  </w:r>
                  <w:proofErr w:type="spellEnd"/>
                  <w:r w:rsidRPr="006439CC">
                    <w:rPr>
                      <w:rFonts w:ascii="Arial" w:eastAsia="Calibri" w:hAnsi="Arial" w:cs="Arial"/>
                      <w:sz w:val="18"/>
                      <w:szCs w:val="18"/>
                      <w:lang w:eastAsia="en-ZA"/>
                    </w:rPr>
                    <w:t>. ZAR)</w:t>
                  </w:r>
                </w:p>
              </w:tc>
              <w:tc>
                <w:tcPr>
                  <w:tcW w:w="0" w:type="auto"/>
                  <w:tcMar>
                    <w:top w:w="45" w:type="dxa"/>
                    <w:left w:w="90" w:type="dxa"/>
                    <w:bottom w:w="45" w:type="dxa"/>
                    <w:right w:w="90" w:type="dxa"/>
                  </w:tcMar>
                  <w:vAlign w:val="center"/>
                  <w:hideMark/>
                </w:tcPr>
                <w:p w14:paraId="3C8B9302"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3,540</w:t>
                  </w:r>
                </w:p>
              </w:tc>
              <w:tc>
                <w:tcPr>
                  <w:tcW w:w="0" w:type="auto"/>
                  <w:tcMar>
                    <w:top w:w="45" w:type="dxa"/>
                    <w:left w:w="90" w:type="dxa"/>
                    <w:bottom w:w="45" w:type="dxa"/>
                    <w:right w:w="90" w:type="dxa"/>
                  </w:tcMar>
                  <w:vAlign w:val="center"/>
                  <w:hideMark/>
                </w:tcPr>
                <w:p w14:paraId="5193803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3,805</w:t>
                  </w:r>
                </w:p>
              </w:tc>
              <w:tc>
                <w:tcPr>
                  <w:tcW w:w="0" w:type="auto"/>
                  <w:tcMar>
                    <w:top w:w="45" w:type="dxa"/>
                    <w:left w:w="90" w:type="dxa"/>
                    <w:bottom w:w="45" w:type="dxa"/>
                    <w:right w:w="90" w:type="dxa"/>
                  </w:tcMar>
                  <w:vAlign w:val="center"/>
                  <w:hideMark/>
                </w:tcPr>
                <w:p w14:paraId="22AB1C5F"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4,050</w:t>
                  </w:r>
                </w:p>
              </w:tc>
              <w:tc>
                <w:tcPr>
                  <w:tcW w:w="0" w:type="auto"/>
                  <w:tcMar>
                    <w:top w:w="45" w:type="dxa"/>
                    <w:left w:w="90" w:type="dxa"/>
                    <w:bottom w:w="45" w:type="dxa"/>
                    <w:right w:w="90" w:type="dxa"/>
                  </w:tcMar>
                  <w:vAlign w:val="center"/>
                  <w:hideMark/>
                </w:tcPr>
                <w:p w14:paraId="196C2030"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4,359</w:t>
                  </w:r>
                </w:p>
              </w:tc>
              <w:tc>
                <w:tcPr>
                  <w:tcW w:w="0" w:type="auto"/>
                  <w:tcMar>
                    <w:top w:w="45" w:type="dxa"/>
                    <w:left w:w="90" w:type="dxa"/>
                    <w:bottom w:w="45" w:type="dxa"/>
                    <w:right w:w="90" w:type="dxa"/>
                  </w:tcMar>
                  <w:vAlign w:val="center"/>
                  <w:hideMark/>
                </w:tcPr>
                <w:p w14:paraId="641B835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4,654</w:t>
                  </w:r>
                </w:p>
              </w:tc>
              <w:tc>
                <w:tcPr>
                  <w:tcW w:w="0" w:type="auto"/>
                  <w:tcMar>
                    <w:top w:w="45" w:type="dxa"/>
                    <w:left w:w="90" w:type="dxa"/>
                    <w:bottom w:w="45" w:type="dxa"/>
                    <w:right w:w="90" w:type="dxa"/>
                  </w:tcMar>
                  <w:vAlign w:val="center"/>
                  <w:hideMark/>
                </w:tcPr>
                <w:p w14:paraId="0E8A796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4,874</w:t>
                  </w:r>
                </w:p>
              </w:tc>
              <w:tc>
                <w:tcPr>
                  <w:tcW w:w="0" w:type="auto"/>
                  <w:tcMar>
                    <w:top w:w="45" w:type="dxa"/>
                    <w:left w:w="90" w:type="dxa"/>
                    <w:bottom w:w="45" w:type="dxa"/>
                    <w:right w:w="90" w:type="dxa"/>
                  </w:tcMar>
                  <w:vAlign w:val="center"/>
                  <w:hideMark/>
                </w:tcPr>
                <w:p w14:paraId="715FFAE5"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5,115</w:t>
                  </w:r>
                </w:p>
              </w:tc>
              <w:tc>
                <w:tcPr>
                  <w:tcW w:w="0" w:type="auto"/>
                  <w:tcMar>
                    <w:top w:w="45" w:type="dxa"/>
                    <w:left w:w="90" w:type="dxa"/>
                    <w:bottom w:w="45" w:type="dxa"/>
                    <w:right w:w="90" w:type="dxa"/>
                  </w:tcMar>
                  <w:vAlign w:val="center"/>
                  <w:hideMark/>
                </w:tcPr>
                <w:p w14:paraId="0A290FE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5,447</w:t>
                  </w:r>
                </w:p>
              </w:tc>
              <w:tc>
                <w:tcPr>
                  <w:tcW w:w="0" w:type="auto"/>
                  <w:tcMar>
                    <w:top w:w="45" w:type="dxa"/>
                    <w:left w:w="90" w:type="dxa"/>
                    <w:bottom w:w="45" w:type="dxa"/>
                    <w:right w:w="90" w:type="dxa"/>
                  </w:tcMar>
                  <w:vAlign w:val="center"/>
                  <w:hideMark/>
                </w:tcPr>
                <w:p w14:paraId="64544D10"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5,811</w:t>
                  </w:r>
                </w:p>
              </w:tc>
              <w:tc>
                <w:tcPr>
                  <w:tcW w:w="0" w:type="auto"/>
                  <w:tcMar>
                    <w:top w:w="45" w:type="dxa"/>
                    <w:left w:w="90" w:type="dxa"/>
                    <w:bottom w:w="45" w:type="dxa"/>
                    <w:right w:w="90" w:type="dxa"/>
                  </w:tcMar>
                  <w:vAlign w:val="center"/>
                  <w:hideMark/>
                </w:tcPr>
                <w:p w14:paraId="111D3C7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6,199</w:t>
                  </w:r>
                </w:p>
              </w:tc>
              <w:tc>
                <w:tcPr>
                  <w:tcW w:w="0" w:type="auto"/>
                  <w:vAlign w:val="center"/>
                  <w:hideMark/>
                </w:tcPr>
                <w:p w14:paraId="29A5C9BF"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58396B6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DDAC93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D65A7D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FE55FD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D9A886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C70CF2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EC9152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33CE27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1C8C7A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E9FEBA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820DA2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F5E24F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9BD224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7D8ABA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E3DDF7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6B1A74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86A1AB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990B25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F1723E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5C91C6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F5359D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BAA25F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97FF3B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CB56BA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6F0AE8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A64535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5DE632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F8EEFF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998A8E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0956FE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FF2C8A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008C9C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C31644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DDFFBB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4C856C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4B4D14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7CE50B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0FC2D5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565264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47AFF7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DA7212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FAF42A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19D2C7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5C0316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9349B5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237CDF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1E55E8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767A30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DE527E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B3931F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3C4BDC07" w14:textId="77777777">
              <w:trPr>
                <w:tblCellSpacing w:w="0" w:type="dxa"/>
              </w:trPr>
              <w:tc>
                <w:tcPr>
                  <w:tcW w:w="0" w:type="auto"/>
                  <w:shd w:val="clear" w:color="auto" w:fill="EFEFEF"/>
                  <w:tcMar>
                    <w:top w:w="45" w:type="dxa"/>
                    <w:left w:w="90" w:type="dxa"/>
                    <w:bottom w:w="45" w:type="dxa"/>
                    <w:right w:w="90" w:type="dxa"/>
                  </w:tcMar>
                  <w:vAlign w:val="center"/>
                  <w:hideMark/>
                </w:tcPr>
                <w:p w14:paraId="1DD40641"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Nominal GDP (</w:t>
                  </w:r>
                  <w:proofErr w:type="spellStart"/>
                  <w:r w:rsidRPr="006439CC">
                    <w:rPr>
                      <w:rFonts w:ascii="Arial" w:eastAsia="Calibri" w:hAnsi="Arial" w:cs="Arial"/>
                      <w:color w:val="000000"/>
                      <w:sz w:val="18"/>
                      <w:szCs w:val="18"/>
                      <w:lang w:eastAsia="en-ZA"/>
                    </w:rPr>
                    <w:t>bil</w:t>
                  </w:r>
                  <w:proofErr w:type="spellEnd"/>
                  <w:r w:rsidRPr="006439CC">
                    <w:rPr>
                      <w:rFonts w:ascii="Arial" w:eastAsia="Calibri" w:hAnsi="Arial" w:cs="Arial"/>
                      <w:color w:val="000000"/>
                      <w:sz w:val="18"/>
                      <w:szCs w:val="18"/>
                      <w:lang w:eastAsia="en-ZA"/>
                    </w:rPr>
                    <w:t>. $)</w:t>
                  </w:r>
                </w:p>
              </w:tc>
              <w:tc>
                <w:tcPr>
                  <w:tcW w:w="0" w:type="auto"/>
                  <w:shd w:val="clear" w:color="auto" w:fill="EFEFEF"/>
                  <w:tcMar>
                    <w:top w:w="45" w:type="dxa"/>
                    <w:left w:w="90" w:type="dxa"/>
                    <w:bottom w:w="45" w:type="dxa"/>
                    <w:right w:w="90" w:type="dxa"/>
                  </w:tcMar>
                  <w:vAlign w:val="center"/>
                  <w:hideMark/>
                </w:tcPr>
                <w:p w14:paraId="6A00ACE0"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367</w:t>
                  </w:r>
                </w:p>
              </w:tc>
              <w:tc>
                <w:tcPr>
                  <w:tcW w:w="0" w:type="auto"/>
                  <w:shd w:val="clear" w:color="auto" w:fill="EFEFEF"/>
                  <w:tcMar>
                    <w:top w:w="45" w:type="dxa"/>
                    <w:left w:w="90" w:type="dxa"/>
                    <w:bottom w:w="45" w:type="dxa"/>
                    <w:right w:w="90" w:type="dxa"/>
                  </w:tcMar>
                  <w:vAlign w:val="center"/>
                  <w:hideMark/>
                </w:tcPr>
                <w:p w14:paraId="36F4EF3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351</w:t>
                  </w:r>
                </w:p>
              </w:tc>
              <w:tc>
                <w:tcPr>
                  <w:tcW w:w="0" w:type="auto"/>
                  <w:shd w:val="clear" w:color="auto" w:fill="EFEFEF"/>
                  <w:tcMar>
                    <w:top w:w="45" w:type="dxa"/>
                    <w:left w:w="90" w:type="dxa"/>
                    <w:bottom w:w="45" w:type="dxa"/>
                    <w:right w:w="90" w:type="dxa"/>
                  </w:tcMar>
                  <w:vAlign w:val="center"/>
                  <w:hideMark/>
                </w:tcPr>
                <w:p w14:paraId="6D8A8CD0"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317</w:t>
                  </w:r>
                </w:p>
              </w:tc>
              <w:tc>
                <w:tcPr>
                  <w:tcW w:w="0" w:type="auto"/>
                  <w:shd w:val="clear" w:color="auto" w:fill="EFEFEF"/>
                  <w:tcMar>
                    <w:top w:w="45" w:type="dxa"/>
                    <w:left w:w="90" w:type="dxa"/>
                    <w:bottom w:w="45" w:type="dxa"/>
                    <w:right w:w="90" w:type="dxa"/>
                  </w:tcMar>
                  <w:vAlign w:val="center"/>
                  <w:hideMark/>
                </w:tcPr>
                <w:p w14:paraId="7748F45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296</w:t>
                  </w:r>
                </w:p>
              </w:tc>
              <w:tc>
                <w:tcPr>
                  <w:tcW w:w="0" w:type="auto"/>
                  <w:shd w:val="clear" w:color="auto" w:fill="EFEFEF"/>
                  <w:tcMar>
                    <w:top w:w="45" w:type="dxa"/>
                    <w:left w:w="90" w:type="dxa"/>
                    <w:bottom w:w="45" w:type="dxa"/>
                    <w:right w:w="90" w:type="dxa"/>
                  </w:tcMar>
                  <w:vAlign w:val="center"/>
                  <w:hideMark/>
                </w:tcPr>
                <w:p w14:paraId="44D33D5F"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349</w:t>
                  </w:r>
                </w:p>
              </w:tc>
              <w:tc>
                <w:tcPr>
                  <w:tcW w:w="0" w:type="auto"/>
                  <w:shd w:val="clear" w:color="auto" w:fill="EFEFEF"/>
                  <w:tcMar>
                    <w:top w:w="45" w:type="dxa"/>
                    <w:left w:w="90" w:type="dxa"/>
                    <w:bottom w:w="45" w:type="dxa"/>
                    <w:right w:w="90" w:type="dxa"/>
                  </w:tcMar>
                  <w:vAlign w:val="center"/>
                  <w:hideMark/>
                </w:tcPr>
                <w:p w14:paraId="76E63828"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368</w:t>
                  </w:r>
                </w:p>
              </w:tc>
              <w:tc>
                <w:tcPr>
                  <w:tcW w:w="0" w:type="auto"/>
                  <w:shd w:val="clear" w:color="auto" w:fill="EFEFEF"/>
                  <w:tcMar>
                    <w:top w:w="45" w:type="dxa"/>
                    <w:left w:w="90" w:type="dxa"/>
                    <w:bottom w:w="45" w:type="dxa"/>
                    <w:right w:w="90" w:type="dxa"/>
                  </w:tcMar>
                  <w:vAlign w:val="center"/>
                  <w:hideMark/>
                </w:tcPr>
                <w:p w14:paraId="79053DC7"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353</w:t>
                  </w:r>
                </w:p>
              </w:tc>
              <w:tc>
                <w:tcPr>
                  <w:tcW w:w="0" w:type="auto"/>
                  <w:shd w:val="clear" w:color="auto" w:fill="EFEFEF"/>
                  <w:tcMar>
                    <w:top w:w="45" w:type="dxa"/>
                    <w:left w:w="90" w:type="dxa"/>
                    <w:bottom w:w="45" w:type="dxa"/>
                    <w:right w:w="90" w:type="dxa"/>
                  </w:tcMar>
                  <w:vAlign w:val="center"/>
                  <w:hideMark/>
                </w:tcPr>
                <w:p w14:paraId="5920072F"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366</w:t>
                  </w:r>
                </w:p>
              </w:tc>
              <w:tc>
                <w:tcPr>
                  <w:tcW w:w="0" w:type="auto"/>
                  <w:shd w:val="clear" w:color="auto" w:fill="EFEFEF"/>
                  <w:tcMar>
                    <w:top w:w="45" w:type="dxa"/>
                    <w:left w:w="90" w:type="dxa"/>
                    <w:bottom w:w="45" w:type="dxa"/>
                    <w:right w:w="90" w:type="dxa"/>
                  </w:tcMar>
                  <w:vAlign w:val="center"/>
                  <w:hideMark/>
                </w:tcPr>
                <w:p w14:paraId="3CC074B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384</w:t>
                  </w:r>
                </w:p>
              </w:tc>
              <w:tc>
                <w:tcPr>
                  <w:tcW w:w="0" w:type="auto"/>
                  <w:shd w:val="clear" w:color="auto" w:fill="EFEFEF"/>
                  <w:tcMar>
                    <w:top w:w="45" w:type="dxa"/>
                    <w:left w:w="90" w:type="dxa"/>
                    <w:bottom w:w="45" w:type="dxa"/>
                    <w:right w:w="90" w:type="dxa"/>
                  </w:tcMar>
                  <w:vAlign w:val="center"/>
                  <w:hideMark/>
                </w:tcPr>
                <w:p w14:paraId="3E4A2D67"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404</w:t>
                  </w:r>
                </w:p>
              </w:tc>
              <w:tc>
                <w:tcPr>
                  <w:tcW w:w="0" w:type="auto"/>
                  <w:shd w:val="clear" w:color="auto" w:fill="EFEFEF"/>
                  <w:vAlign w:val="center"/>
                  <w:hideMark/>
                </w:tcPr>
                <w:p w14:paraId="3EBCA69A"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6650482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0ECAA5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25022A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74E1FF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B2DCCA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71220A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D7B80C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6094C6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DC414A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6594EB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B2CB81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D9F116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A6AE44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1C50FA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FF63D8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4A439C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B49E5F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D08A1B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F314AB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10C28C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A84E2B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6F93A9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249F66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A7F43D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F5B125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3DC192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DBED7A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D64B2C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B2B7F9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EC9C08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CEB051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F2FBA6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50E898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9BE31B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08726F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BEF46A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577060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22E51A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5FEF56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118DDF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208F28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C4CE0B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C5489E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23AD46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5F2847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3D0093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EFF7BB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A3A26C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3EE471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72AB41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5F4E76F9" w14:textId="77777777">
              <w:trPr>
                <w:tblCellSpacing w:w="0" w:type="dxa"/>
              </w:trPr>
              <w:tc>
                <w:tcPr>
                  <w:tcW w:w="0" w:type="auto"/>
                  <w:tcMar>
                    <w:top w:w="45" w:type="dxa"/>
                    <w:left w:w="90" w:type="dxa"/>
                    <w:bottom w:w="45" w:type="dxa"/>
                    <w:right w:w="90" w:type="dxa"/>
                  </w:tcMar>
                  <w:vAlign w:val="center"/>
                  <w:hideMark/>
                </w:tcPr>
                <w:p w14:paraId="4544D42E"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GDP per capita (000s $)</w:t>
                  </w:r>
                </w:p>
              </w:tc>
              <w:tc>
                <w:tcPr>
                  <w:tcW w:w="0" w:type="auto"/>
                  <w:tcMar>
                    <w:top w:w="45" w:type="dxa"/>
                    <w:left w:w="90" w:type="dxa"/>
                    <w:bottom w:w="45" w:type="dxa"/>
                    <w:right w:w="90" w:type="dxa"/>
                  </w:tcMar>
                  <w:vAlign w:val="center"/>
                  <w:hideMark/>
                </w:tcPr>
                <w:p w14:paraId="7C8CC82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6.9</w:t>
                  </w:r>
                </w:p>
              </w:tc>
              <w:tc>
                <w:tcPr>
                  <w:tcW w:w="0" w:type="auto"/>
                  <w:tcMar>
                    <w:top w:w="45" w:type="dxa"/>
                    <w:left w:w="90" w:type="dxa"/>
                    <w:bottom w:w="45" w:type="dxa"/>
                    <w:right w:w="90" w:type="dxa"/>
                  </w:tcMar>
                  <w:vAlign w:val="center"/>
                  <w:hideMark/>
                </w:tcPr>
                <w:p w14:paraId="3FE80332"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6.5</w:t>
                  </w:r>
                </w:p>
              </w:tc>
              <w:tc>
                <w:tcPr>
                  <w:tcW w:w="0" w:type="auto"/>
                  <w:tcMar>
                    <w:top w:w="45" w:type="dxa"/>
                    <w:left w:w="90" w:type="dxa"/>
                    <w:bottom w:w="45" w:type="dxa"/>
                    <w:right w:w="90" w:type="dxa"/>
                  </w:tcMar>
                  <w:vAlign w:val="center"/>
                  <w:hideMark/>
                </w:tcPr>
                <w:p w14:paraId="42CF6C75"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5.8</w:t>
                  </w:r>
                </w:p>
              </w:tc>
              <w:tc>
                <w:tcPr>
                  <w:tcW w:w="0" w:type="auto"/>
                  <w:tcMar>
                    <w:top w:w="45" w:type="dxa"/>
                    <w:left w:w="90" w:type="dxa"/>
                    <w:bottom w:w="45" w:type="dxa"/>
                    <w:right w:w="90" w:type="dxa"/>
                  </w:tcMar>
                  <w:vAlign w:val="center"/>
                  <w:hideMark/>
                </w:tcPr>
                <w:p w14:paraId="2A808F6F"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5.3</w:t>
                  </w:r>
                </w:p>
              </w:tc>
              <w:tc>
                <w:tcPr>
                  <w:tcW w:w="0" w:type="auto"/>
                  <w:tcMar>
                    <w:top w:w="45" w:type="dxa"/>
                    <w:left w:w="90" w:type="dxa"/>
                    <w:bottom w:w="45" w:type="dxa"/>
                    <w:right w:w="90" w:type="dxa"/>
                  </w:tcMar>
                  <w:vAlign w:val="center"/>
                  <w:hideMark/>
                </w:tcPr>
                <w:p w14:paraId="210B616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6.2</w:t>
                  </w:r>
                </w:p>
              </w:tc>
              <w:tc>
                <w:tcPr>
                  <w:tcW w:w="0" w:type="auto"/>
                  <w:tcMar>
                    <w:top w:w="45" w:type="dxa"/>
                    <w:left w:w="90" w:type="dxa"/>
                    <w:bottom w:w="45" w:type="dxa"/>
                    <w:right w:w="90" w:type="dxa"/>
                  </w:tcMar>
                  <w:vAlign w:val="center"/>
                  <w:hideMark/>
                </w:tcPr>
                <w:p w14:paraId="4CA387B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6.4</w:t>
                  </w:r>
                </w:p>
              </w:tc>
              <w:tc>
                <w:tcPr>
                  <w:tcW w:w="0" w:type="auto"/>
                  <w:tcMar>
                    <w:top w:w="45" w:type="dxa"/>
                    <w:left w:w="90" w:type="dxa"/>
                    <w:bottom w:w="45" w:type="dxa"/>
                    <w:right w:w="90" w:type="dxa"/>
                  </w:tcMar>
                  <w:vAlign w:val="center"/>
                  <w:hideMark/>
                </w:tcPr>
                <w:p w14:paraId="389ABAF8"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6.0</w:t>
                  </w:r>
                </w:p>
              </w:tc>
              <w:tc>
                <w:tcPr>
                  <w:tcW w:w="0" w:type="auto"/>
                  <w:tcMar>
                    <w:top w:w="45" w:type="dxa"/>
                    <w:left w:w="90" w:type="dxa"/>
                    <w:bottom w:w="45" w:type="dxa"/>
                    <w:right w:w="90" w:type="dxa"/>
                  </w:tcMar>
                  <w:vAlign w:val="center"/>
                  <w:hideMark/>
                </w:tcPr>
                <w:p w14:paraId="2303921D"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6.1</w:t>
                  </w:r>
                </w:p>
              </w:tc>
              <w:tc>
                <w:tcPr>
                  <w:tcW w:w="0" w:type="auto"/>
                  <w:tcMar>
                    <w:top w:w="45" w:type="dxa"/>
                    <w:left w:w="90" w:type="dxa"/>
                    <w:bottom w:w="45" w:type="dxa"/>
                    <w:right w:w="90" w:type="dxa"/>
                  </w:tcMar>
                  <w:vAlign w:val="center"/>
                  <w:hideMark/>
                </w:tcPr>
                <w:p w14:paraId="5B092A17"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6.3</w:t>
                  </w:r>
                </w:p>
              </w:tc>
              <w:tc>
                <w:tcPr>
                  <w:tcW w:w="0" w:type="auto"/>
                  <w:tcMar>
                    <w:top w:w="45" w:type="dxa"/>
                    <w:left w:w="90" w:type="dxa"/>
                    <w:bottom w:w="45" w:type="dxa"/>
                    <w:right w:w="90" w:type="dxa"/>
                  </w:tcMar>
                  <w:vAlign w:val="center"/>
                  <w:hideMark/>
                </w:tcPr>
                <w:p w14:paraId="09A0A01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6.6</w:t>
                  </w:r>
                </w:p>
              </w:tc>
              <w:tc>
                <w:tcPr>
                  <w:tcW w:w="0" w:type="auto"/>
                  <w:vAlign w:val="center"/>
                  <w:hideMark/>
                </w:tcPr>
                <w:p w14:paraId="722AE6ED"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72E9F7F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4DBF30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50794C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EE3A7C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EA959F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1EC065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6BBC2E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C319B9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62BEBF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E084E5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FB1C00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121ED9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DA4BAA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399A21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7EC04C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480178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112F8E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FE3502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E8664F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4DB790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2BE9E3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5C979C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D52A00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5D26F0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4FB5A9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9CFC31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27B96C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A54393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C22F20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3ABDF9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3AD970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5877BA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99E76A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F3BA49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E26E5B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548612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4C4A2D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6A7BB0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BBE690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2D05D5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E9A32C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C9B5B3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F06C25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15A656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3F0626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7FAEDC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081546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C8F83C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8BE4D8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7B0A8F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75301CD2" w14:textId="77777777">
              <w:trPr>
                <w:tblCellSpacing w:w="0" w:type="dxa"/>
              </w:trPr>
              <w:tc>
                <w:tcPr>
                  <w:tcW w:w="0" w:type="auto"/>
                  <w:shd w:val="clear" w:color="auto" w:fill="EFEFEF"/>
                  <w:tcMar>
                    <w:top w:w="45" w:type="dxa"/>
                    <w:left w:w="90" w:type="dxa"/>
                    <w:bottom w:w="45" w:type="dxa"/>
                    <w:right w:w="90" w:type="dxa"/>
                  </w:tcMar>
                  <w:vAlign w:val="center"/>
                  <w:hideMark/>
                </w:tcPr>
                <w:p w14:paraId="60372298"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lastRenderedPageBreak/>
                    <w:t>Real GDP growth</w:t>
                  </w:r>
                </w:p>
              </w:tc>
              <w:tc>
                <w:tcPr>
                  <w:tcW w:w="0" w:type="auto"/>
                  <w:shd w:val="clear" w:color="auto" w:fill="EFEFEF"/>
                  <w:tcMar>
                    <w:top w:w="45" w:type="dxa"/>
                    <w:left w:w="90" w:type="dxa"/>
                    <w:bottom w:w="45" w:type="dxa"/>
                    <w:right w:w="90" w:type="dxa"/>
                  </w:tcMar>
                  <w:vAlign w:val="center"/>
                  <w:hideMark/>
                </w:tcPr>
                <w:p w14:paraId="3E370FE3"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2.5 </w:t>
                  </w:r>
                </w:p>
              </w:tc>
              <w:tc>
                <w:tcPr>
                  <w:tcW w:w="0" w:type="auto"/>
                  <w:shd w:val="clear" w:color="auto" w:fill="EFEFEF"/>
                  <w:tcMar>
                    <w:top w:w="45" w:type="dxa"/>
                    <w:left w:w="90" w:type="dxa"/>
                    <w:bottom w:w="45" w:type="dxa"/>
                    <w:right w:w="90" w:type="dxa"/>
                  </w:tcMar>
                  <w:vAlign w:val="center"/>
                  <w:hideMark/>
                </w:tcPr>
                <w:p w14:paraId="61695C2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1.8 </w:t>
                  </w:r>
                </w:p>
              </w:tc>
              <w:tc>
                <w:tcPr>
                  <w:tcW w:w="0" w:type="auto"/>
                  <w:shd w:val="clear" w:color="auto" w:fill="EFEFEF"/>
                  <w:tcMar>
                    <w:top w:w="45" w:type="dxa"/>
                    <w:left w:w="90" w:type="dxa"/>
                    <w:bottom w:w="45" w:type="dxa"/>
                    <w:right w:w="90" w:type="dxa"/>
                  </w:tcMar>
                  <w:vAlign w:val="center"/>
                  <w:hideMark/>
                </w:tcPr>
                <w:p w14:paraId="2201BC42"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1.2 </w:t>
                  </w:r>
                </w:p>
              </w:tc>
              <w:tc>
                <w:tcPr>
                  <w:tcW w:w="0" w:type="auto"/>
                  <w:shd w:val="clear" w:color="auto" w:fill="EFEFEF"/>
                  <w:tcMar>
                    <w:top w:w="45" w:type="dxa"/>
                    <w:left w:w="90" w:type="dxa"/>
                    <w:bottom w:w="45" w:type="dxa"/>
                    <w:right w:w="90" w:type="dxa"/>
                  </w:tcMar>
                  <w:vAlign w:val="center"/>
                  <w:hideMark/>
                </w:tcPr>
                <w:p w14:paraId="379FF343"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0.4 </w:t>
                  </w:r>
                </w:p>
              </w:tc>
              <w:tc>
                <w:tcPr>
                  <w:tcW w:w="0" w:type="auto"/>
                  <w:shd w:val="clear" w:color="auto" w:fill="EFEFEF"/>
                  <w:tcMar>
                    <w:top w:w="45" w:type="dxa"/>
                    <w:left w:w="90" w:type="dxa"/>
                    <w:bottom w:w="45" w:type="dxa"/>
                    <w:right w:w="90" w:type="dxa"/>
                  </w:tcMar>
                  <w:vAlign w:val="center"/>
                  <w:hideMark/>
                </w:tcPr>
                <w:p w14:paraId="0E442F87"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1.4 </w:t>
                  </w:r>
                </w:p>
              </w:tc>
              <w:tc>
                <w:tcPr>
                  <w:tcW w:w="0" w:type="auto"/>
                  <w:shd w:val="clear" w:color="auto" w:fill="EFEFEF"/>
                  <w:tcMar>
                    <w:top w:w="45" w:type="dxa"/>
                    <w:left w:w="90" w:type="dxa"/>
                    <w:bottom w:w="45" w:type="dxa"/>
                    <w:right w:w="90" w:type="dxa"/>
                  </w:tcMar>
                  <w:vAlign w:val="center"/>
                  <w:hideMark/>
                </w:tcPr>
                <w:p w14:paraId="68E00DE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0.8 </w:t>
                  </w:r>
                </w:p>
              </w:tc>
              <w:tc>
                <w:tcPr>
                  <w:tcW w:w="0" w:type="auto"/>
                  <w:shd w:val="clear" w:color="auto" w:fill="EFEFEF"/>
                  <w:tcMar>
                    <w:top w:w="45" w:type="dxa"/>
                    <w:left w:w="90" w:type="dxa"/>
                    <w:bottom w:w="45" w:type="dxa"/>
                    <w:right w:w="90" w:type="dxa"/>
                  </w:tcMar>
                  <w:vAlign w:val="center"/>
                  <w:hideMark/>
                </w:tcPr>
                <w:p w14:paraId="768167A5"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0.6 </w:t>
                  </w:r>
                </w:p>
              </w:tc>
              <w:tc>
                <w:tcPr>
                  <w:tcW w:w="0" w:type="auto"/>
                  <w:shd w:val="clear" w:color="auto" w:fill="EFEFEF"/>
                  <w:tcMar>
                    <w:top w:w="45" w:type="dxa"/>
                    <w:left w:w="90" w:type="dxa"/>
                    <w:bottom w:w="45" w:type="dxa"/>
                    <w:right w:w="90" w:type="dxa"/>
                  </w:tcMar>
                  <w:vAlign w:val="center"/>
                  <w:hideMark/>
                </w:tcPr>
                <w:p w14:paraId="5D722F42"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1.6 </w:t>
                  </w:r>
                </w:p>
              </w:tc>
              <w:tc>
                <w:tcPr>
                  <w:tcW w:w="0" w:type="auto"/>
                  <w:shd w:val="clear" w:color="auto" w:fill="EFEFEF"/>
                  <w:tcMar>
                    <w:top w:w="45" w:type="dxa"/>
                    <w:left w:w="90" w:type="dxa"/>
                    <w:bottom w:w="45" w:type="dxa"/>
                    <w:right w:w="90" w:type="dxa"/>
                  </w:tcMar>
                  <w:vAlign w:val="center"/>
                  <w:hideMark/>
                </w:tcPr>
                <w:p w14:paraId="008BDCCF"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1.9 </w:t>
                  </w:r>
                </w:p>
              </w:tc>
              <w:tc>
                <w:tcPr>
                  <w:tcW w:w="0" w:type="auto"/>
                  <w:shd w:val="clear" w:color="auto" w:fill="EFEFEF"/>
                  <w:tcMar>
                    <w:top w:w="45" w:type="dxa"/>
                    <w:left w:w="90" w:type="dxa"/>
                    <w:bottom w:w="45" w:type="dxa"/>
                    <w:right w:w="90" w:type="dxa"/>
                  </w:tcMar>
                  <w:vAlign w:val="center"/>
                  <w:hideMark/>
                </w:tcPr>
                <w:p w14:paraId="10A29EE9"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1.9 </w:t>
                  </w:r>
                </w:p>
              </w:tc>
              <w:tc>
                <w:tcPr>
                  <w:tcW w:w="0" w:type="auto"/>
                  <w:shd w:val="clear" w:color="auto" w:fill="EFEFEF"/>
                  <w:vAlign w:val="center"/>
                  <w:hideMark/>
                </w:tcPr>
                <w:p w14:paraId="49B6FC7A"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0C00C3A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45DB77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A54A1C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BD0378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DEFDC4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5E2C1F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738450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4BDC42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F1B3AD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2AC9A0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29CDAD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683AEE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4DA24D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FC34FA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2D3787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5C102B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892C52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1A27EB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1E4125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59F6D1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029DA8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0B0996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1FAA92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8387D7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A30E89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1589EF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FD7A02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E28E9D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2A0A58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7FA97C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39EDEC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0D4640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F0D8F0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6349B0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B2CC1E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F166FC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ACB61D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77442B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22FBA9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C15625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B69406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FD9534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F5C1DF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BF7351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5BBDC4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2FEDA2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604BB5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E943EB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836D63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AC4A66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52A672C8" w14:textId="77777777">
              <w:trPr>
                <w:tblCellSpacing w:w="0" w:type="dxa"/>
              </w:trPr>
              <w:tc>
                <w:tcPr>
                  <w:tcW w:w="0" w:type="auto"/>
                  <w:tcMar>
                    <w:top w:w="45" w:type="dxa"/>
                    <w:left w:w="90" w:type="dxa"/>
                    <w:bottom w:w="45" w:type="dxa"/>
                    <w:right w:w="90" w:type="dxa"/>
                  </w:tcMar>
                  <w:vAlign w:val="center"/>
                  <w:hideMark/>
                </w:tcPr>
                <w:p w14:paraId="51CEA3F7"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Real GDP per capita growth</w:t>
                  </w:r>
                </w:p>
              </w:tc>
              <w:tc>
                <w:tcPr>
                  <w:tcW w:w="0" w:type="auto"/>
                  <w:tcMar>
                    <w:top w:w="45" w:type="dxa"/>
                    <w:left w:w="90" w:type="dxa"/>
                    <w:bottom w:w="45" w:type="dxa"/>
                    <w:right w:w="90" w:type="dxa"/>
                  </w:tcMar>
                  <w:vAlign w:val="center"/>
                  <w:hideMark/>
                </w:tcPr>
                <w:p w14:paraId="7F752859"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1.0 </w:t>
                  </w:r>
                </w:p>
              </w:tc>
              <w:tc>
                <w:tcPr>
                  <w:tcW w:w="0" w:type="auto"/>
                  <w:tcMar>
                    <w:top w:w="45" w:type="dxa"/>
                    <w:left w:w="90" w:type="dxa"/>
                    <w:bottom w:w="45" w:type="dxa"/>
                    <w:right w:w="90" w:type="dxa"/>
                  </w:tcMar>
                  <w:vAlign w:val="center"/>
                  <w:hideMark/>
                </w:tcPr>
                <w:p w14:paraId="4C99D492"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0.3 </w:t>
                  </w:r>
                </w:p>
              </w:tc>
              <w:tc>
                <w:tcPr>
                  <w:tcW w:w="0" w:type="auto"/>
                  <w:tcMar>
                    <w:top w:w="45" w:type="dxa"/>
                    <w:left w:w="90" w:type="dxa"/>
                    <w:bottom w:w="45" w:type="dxa"/>
                    <w:right w:w="90" w:type="dxa"/>
                  </w:tcMar>
                  <w:vAlign w:val="center"/>
                  <w:hideMark/>
                </w:tcPr>
                <w:p w14:paraId="447CB0C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(0.4)</w:t>
                  </w:r>
                </w:p>
              </w:tc>
              <w:tc>
                <w:tcPr>
                  <w:tcW w:w="0" w:type="auto"/>
                  <w:tcMar>
                    <w:top w:w="45" w:type="dxa"/>
                    <w:left w:w="90" w:type="dxa"/>
                    <w:bottom w:w="45" w:type="dxa"/>
                    <w:right w:w="90" w:type="dxa"/>
                  </w:tcMar>
                  <w:vAlign w:val="center"/>
                  <w:hideMark/>
                </w:tcPr>
                <w:p w14:paraId="7E9727B8"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(1.2)</w:t>
                  </w:r>
                </w:p>
              </w:tc>
              <w:tc>
                <w:tcPr>
                  <w:tcW w:w="0" w:type="auto"/>
                  <w:tcMar>
                    <w:top w:w="45" w:type="dxa"/>
                    <w:left w:w="90" w:type="dxa"/>
                    <w:bottom w:w="45" w:type="dxa"/>
                    <w:right w:w="90" w:type="dxa"/>
                  </w:tcMar>
                  <w:vAlign w:val="center"/>
                  <w:hideMark/>
                </w:tcPr>
                <w:p w14:paraId="07DBC518"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(0.2)</w:t>
                  </w:r>
                </w:p>
              </w:tc>
              <w:tc>
                <w:tcPr>
                  <w:tcW w:w="0" w:type="auto"/>
                  <w:tcMar>
                    <w:top w:w="45" w:type="dxa"/>
                    <w:left w:w="90" w:type="dxa"/>
                    <w:bottom w:w="45" w:type="dxa"/>
                    <w:right w:w="90" w:type="dxa"/>
                  </w:tcMar>
                  <w:vAlign w:val="center"/>
                  <w:hideMark/>
                </w:tcPr>
                <w:p w14:paraId="1524D7F4"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(1.3)</w:t>
                  </w:r>
                </w:p>
              </w:tc>
              <w:tc>
                <w:tcPr>
                  <w:tcW w:w="0" w:type="auto"/>
                  <w:tcMar>
                    <w:top w:w="45" w:type="dxa"/>
                    <w:left w:w="90" w:type="dxa"/>
                    <w:bottom w:w="45" w:type="dxa"/>
                    <w:right w:w="90" w:type="dxa"/>
                  </w:tcMar>
                  <w:vAlign w:val="center"/>
                  <w:hideMark/>
                </w:tcPr>
                <w:p w14:paraId="417D61E4"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(1.0)</w:t>
                  </w:r>
                </w:p>
              </w:tc>
              <w:tc>
                <w:tcPr>
                  <w:tcW w:w="0" w:type="auto"/>
                  <w:tcMar>
                    <w:top w:w="45" w:type="dxa"/>
                    <w:left w:w="90" w:type="dxa"/>
                    <w:bottom w:w="45" w:type="dxa"/>
                    <w:right w:w="90" w:type="dxa"/>
                  </w:tcMar>
                  <w:vAlign w:val="center"/>
                  <w:hideMark/>
                </w:tcPr>
                <w:p w14:paraId="02212EC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0.0 </w:t>
                  </w:r>
                </w:p>
              </w:tc>
              <w:tc>
                <w:tcPr>
                  <w:tcW w:w="0" w:type="auto"/>
                  <w:tcMar>
                    <w:top w:w="45" w:type="dxa"/>
                    <w:left w:w="90" w:type="dxa"/>
                    <w:bottom w:w="45" w:type="dxa"/>
                    <w:right w:w="90" w:type="dxa"/>
                  </w:tcMar>
                  <w:vAlign w:val="center"/>
                  <w:hideMark/>
                </w:tcPr>
                <w:p w14:paraId="4E0CAF62"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0.3 </w:t>
                  </w:r>
                </w:p>
              </w:tc>
              <w:tc>
                <w:tcPr>
                  <w:tcW w:w="0" w:type="auto"/>
                  <w:tcMar>
                    <w:top w:w="45" w:type="dxa"/>
                    <w:left w:w="90" w:type="dxa"/>
                    <w:bottom w:w="45" w:type="dxa"/>
                    <w:right w:w="90" w:type="dxa"/>
                  </w:tcMar>
                  <w:vAlign w:val="center"/>
                  <w:hideMark/>
                </w:tcPr>
                <w:p w14:paraId="57B11EB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0.3 </w:t>
                  </w:r>
                </w:p>
              </w:tc>
              <w:tc>
                <w:tcPr>
                  <w:tcW w:w="0" w:type="auto"/>
                  <w:vAlign w:val="center"/>
                  <w:hideMark/>
                </w:tcPr>
                <w:p w14:paraId="40F33FD9"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4EE52F9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960745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45B694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1E2631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500603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A7714C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5654CD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A40DA0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4F9DC6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088E6F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F111DC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EB0D80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15C51D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DBD9CE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E37EE1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2B551A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10A4C1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315A85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0E89D0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6DC9A1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810869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D0798E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781DE8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C42267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0C9E1F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BEEB8F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03BB03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CE3A31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3F582C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CA6CDD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63421E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90652F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2AAC89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CDD4AE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08F4CC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482069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B44094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C24CB2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A91D3E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77A5A9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BF25CB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BDC077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316328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59DFD0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901AD8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06B94D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A3928A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DD8C1B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F8C74C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A68D45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1C0EC834" w14:textId="77777777">
              <w:trPr>
                <w:tblCellSpacing w:w="0" w:type="dxa"/>
              </w:trPr>
              <w:tc>
                <w:tcPr>
                  <w:tcW w:w="0" w:type="auto"/>
                  <w:shd w:val="clear" w:color="auto" w:fill="EFEFEF"/>
                  <w:tcMar>
                    <w:top w:w="45" w:type="dxa"/>
                    <w:left w:w="90" w:type="dxa"/>
                    <w:bottom w:w="45" w:type="dxa"/>
                    <w:right w:w="90" w:type="dxa"/>
                  </w:tcMar>
                  <w:vAlign w:val="center"/>
                  <w:hideMark/>
                </w:tcPr>
                <w:p w14:paraId="568E3B72"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Real investment growth</w:t>
                  </w:r>
                </w:p>
              </w:tc>
              <w:tc>
                <w:tcPr>
                  <w:tcW w:w="0" w:type="auto"/>
                  <w:shd w:val="clear" w:color="auto" w:fill="EFEFEF"/>
                  <w:tcMar>
                    <w:top w:w="45" w:type="dxa"/>
                    <w:left w:w="90" w:type="dxa"/>
                    <w:bottom w:w="45" w:type="dxa"/>
                    <w:right w:w="90" w:type="dxa"/>
                  </w:tcMar>
                  <w:vAlign w:val="center"/>
                  <w:hideMark/>
                </w:tcPr>
                <w:p w14:paraId="298B679F"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7.2 </w:t>
                  </w:r>
                </w:p>
              </w:tc>
              <w:tc>
                <w:tcPr>
                  <w:tcW w:w="0" w:type="auto"/>
                  <w:shd w:val="clear" w:color="auto" w:fill="EFEFEF"/>
                  <w:tcMar>
                    <w:top w:w="45" w:type="dxa"/>
                    <w:left w:w="90" w:type="dxa"/>
                    <w:bottom w:w="45" w:type="dxa"/>
                    <w:right w:w="90" w:type="dxa"/>
                  </w:tcMar>
                  <w:vAlign w:val="center"/>
                  <w:hideMark/>
                </w:tcPr>
                <w:p w14:paraId="6413051E"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0.7 </w:t>
                  </w:r>
                </w:p>
              </w:tc>
              <w:tc>
                <w:tcPr>
                  <w:tcW w:w="0" w:type="auto"/>
                  <w:shd w:val="clear" w:color="auto" w:fill="EFEFEF"/>
                  <w:tcMar>
                    <w:top w:w="45" w:type="dxa"/>
                    <w:left w:w="90" w:type="dxa"/>
                    <w:bottom w:w="45" w:type="dxa"/>
                    <w:right w:w="90" w:type="dxa"/>
                  </w:tcMar>
                  <w:vAlign w:val="center"/>
                  <w:hideMark/>
                </w:tcPr>
                <w:p w14:paraId="48B83F3E"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2.5 </w:t>
                  </w:r>
                </w:p>
              </w:tc>
              <w:tc>
                <w:tcPr>
                  <w:tcW w:w="0" w:type="auto"/>
                  <w:shd w:val="clear" w:color="auto" w:fill="EFEFEF"/>
                  <w:tcMar>
                    <w:top w:w="45" w:type="dxa"/>
                    <w:left w:w="90" w:type="dxa"/>
                    <w:bottom w:w="45" w:type="dxa"/>
                    <w:right w:w="90" w:type="dxa"/>
                  </w:tcMar>
                  <w:vAlign w:val="center"/>
                  <w:hideMark/>
                </w:tcPr>
                <w:p w14:paraId="5F5F0437"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(3.5)</w:t>
                  </w:r>
                </w:p>
              </w:tc>
              <w:tc>
                <w:tcPr>
                  <w:tcW w:w="0" w:type="auto"/>
                  <w:shd w:val="clear" w:color="auto" w:fill="EFEFEF"/>
                  <w:tcMar>
                    <w:top w:w="45" w:type="dxa"/>
                    <w:left w:w="90" w:type="dxa"/>
                    <w:bottom w:w="45" w:type="dxa"/>
                    <w:right w:w="90" w:type="dxa"/>
                  </w:tcMar>
                  <w:vAlign w:val="center"/>
                  <w:hideMark/>
                </w:tcPr>
                <w:p w14:paraId="5B3191E3"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1.0 </w:t>
                  </w:r>
                </w:p>
              </w:tc>
              <w:tc>
                <w:tcPr>
                  <w:tcW w:w="0" w:type="auto"/>
                  <w:shd w:val="clear" w:color="auto" w:fill="EFEFEF"/>
                  <w:tcMar>
                    <w:top w:w="45" w:type="dxa"/>
                    <w:left w:w="90" w:type="dxa"/>
                    <w:bottom w:w="45" w:type="dxa"/>
                    <w:right w:w="90" w:type="dxa"/>
                  </w:tcMar>
                  <w:vAlign w:val="center"/>
                  <w:hideMark/>
                </w:tcPr>
                <w:p w14:paraId="17B69E7D"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(1.4)</w:t>
                  </w:r>
                </w:p>
              </w:tc>
              <w:tc>
                <w:tcPr>
                  <w:tcW w:w="0" w:type="auto"/>
                  <w:shd w:val="clear" w:color="auto" w:fill="EFEFEF"/>
                  <w:tcMar>
                    <w:top w:w="45" w:type="dxa"/>
                    <w:left w:w="90" w:type="dxa"/>
                    <w:bottom w:w="45" w:type="dxa"/>
                    <w:right w:w="90" w:type="dxa"/>
                  </w:tcMar>
                  <w:vAlign w:val="center"/>
                  <w:hideMark/>
                </w:tcPr>
                <w:p w14:paraId="53EADFE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(0.5)</w:t>
                  </w:r>
                </w:p>
              </w:tc>
              <w:tc>
                <w:tcPr>
                  <w:tcW w:w="0" w:type="auto"/>
                  <w:shd w:val="clear" w:color="auto" w:fill="EFEFEF"/>
                  <w:tcMar>
                    <w:top w:w="45" w:type="dxa"/>
                    <w:left w:w="90" w:type="dxa"/>
                    <w:bottom w:w="45" w:type="dxa"/>
                    <w:right w:w="90" w:type="dxa"/>
                  </w:tcMar>
                  <w:vAlign w:val="center"/>
                  <w:hideMark/>
                </w:tcPr>
                <w:p w14:paraId="749C671F"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1.4 </w:t>
                  </w:r>
                </w:p>
              </w:tc>
              <w:tc>
                <w:tcPr>
                  <w:tcW w:w="0" w:type="auto"/>
                  <w:shd w:val="clear" w:color="auto" w:fill="EFEFEF"/>
                  <w:tcMar>
                    <w:top w:w="45" w:type="dxa"/>
                    <w:left w:w="90" w:type="dxa"/>
                    <w:bottom w:w="45" w:type="dxa"/>
                    <w:right w:w="90" w:type="dxa"/>
                  </w:tcMar>
                  <w:vAlign w:val="center"/>
                  <w:hideMark/>
                </w:tcPr>
                <w:p w14:paraId="2F2D1808"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1.8 </w:t>
                  </w:r>
                </w:p>
              </w:tc>
              <w:tc>
                <w:tcPr>
                  <w:tcW w:w="0" w:type="auto"/>
                  <w:shd w:val="clear" w:color="auto" w:fill="EFEFEF"/>
                  <w:tcMar>
                    <w:top w:w="45" w:type="dxa"/>
                    <w:left w:w="90" w:type="dxa"/>
                    <w:bottom w:w="45" w:type="dxa"/>
                    <w:right w:w="90" w:type="dxa"/>
                  </w:tcMar>
                  <w:vAlign w:val="center"/>
                  <w:hideMark/>
                </w:tcPr>
                <w:p w14:paraId="6FFFC9D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2.1 </w:t>
                  </w:r>
                </w:p>
              </w:tc>
              <w:tc>
                <w:tcPr>
                  <w:tcW w:w="0" w:type="auto"/>
                  <w:shd w:val="clear" w:color="auto" w:fill="EFEFEF"/>
                  <w:vAlign w:val="center"/>
                  <w:hideMark/>
                </w:tcPr>
                <w:p w14:paraId="42EF1C44"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6A1C2A8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59958D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6F2D08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C35C3D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5A8282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F18B6A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224331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1C9782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9149A1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6671C5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CB84A1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4FE5B3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CFD721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20ECFF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D4D415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7D0CE8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08FB75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478AEB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4D45C5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1E7E4C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840785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C55777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5D53CF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08FB72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4731A1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EBC5E3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B771B8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366EE3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ECCAED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D5C03D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E0BF64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BF4750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C39BEC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E594F5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34544C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36C322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8CBD96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F6128B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D634FD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5FACBC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167DDD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8B57CE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586A6C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9B904D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9FBC98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B6F31F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3DB7B4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614803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B87DE1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6606BA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5A2B4FBA" w14:textId="77777777">
              <w:trPr>
                <w:tblCellSpacing w:w="0" w:type="dxa"/>
              </w:trPr>
              <w:tc>
                <w:tcPr>
                  <w:tcW w:w="0" w:type="auto"/>
                  <w:tcMar>
                    <w:top w:w="45" w:type="dxa"/>
                    <w:left w:w="90" w:type="dxa"/>
                    <w:bottom w:w="45" w:type="dxa"/>
                    <w:right w:w="90" w:type="dxa"/>
                  </w:tcMar>
                  <w:vAlign w:val="center"/>
                  <w:hideMark/>
                </w:tcPr>
                <w:p w14:paraId="7E2320E5"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Investment/GDP</w:t>
                  </w:r>
                </w:p>
              </w:tc>
              <w:tc>
                <w:tcPr>
                  <w:tcW w:w="0" w:type="auto"/>
                  <w:tcMar>
                    <w:top w:w="45" w:type="dxa"/>
                    <w:left w:w="90" w:type="dxa"/>
                    <w:bottom w:w="45" w:type="dxa"/>
                    <w:right w:w="90" w:type="dxa"/>
                  </w:tcMar>
                  <w:vAlign w:val="center"/>
                  <w:hideMark/>
                </w:tcPr>
                <w:p w14:paraId="24B1DF43"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21.2 </w:t>
                  </w:r>
                </w:p>
              </w:tc>
              <w:tc>
                <w:tcPr>
                  <w:tcW w:w="0" w:type="auto"/>
                  <w:tcMar>
                    <w:top w:w="45" w:type="dxa"/>
                    <w:left w:w="90" w:type="dxa"/>
                    <w:bottom w:w="45" w:type="dxa"/>
                    <w:right w:w="90" w:type="dxa"/>
                  </w:tcMar>
                  <w:vAlign w:val="center"/>
                  <w:hideMark/>
                </w:tcPr>
                <w:p w14:paraId="56CEE0B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20.7 </w:t>
                  </w:r>
                </w:p>
              </w:tc>
              <w:tc>
                <w:tcPr>
                  <w:tcW w:w="0" w:type="auto"/>
                  <w:tcMar>
                    <w:top w:w="45" w:type="dxa"/>
                    <w:left w:w="90" w:type="dxa"/>
                    <w:bottom w:w="45" w:type="dxa"/>
                    <w:right w:w="90" w:type="dxa"/>
                  </w:tcMar>
                  <w:vAlign w:val="center"/>
                  <w:hideMark/>
                </w:tcPr>
                <w:p w14:paraId="59906C8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21.1 </w:t>
                  </w:r>
                </w:p>
              </w:tc>
              <w:tc>
                <w:tcPr>
                  <w:tcW w:w="0" w:type="auto"/>
                  <w:tcMar>
                    <w:top w:w="45" w:type="dxa"/>
                    <w:left w:w="90" w:type="dxa"/>
                    <w:bottom w:w="45" w:type="dxa"/>
                    <w:right w:w="90" w:type="dxa"/>
                  </w:tcMar>
                  <w:vAlign w:val="center"/>
                  <w:hideMark/>
                </w:tcPr>
                <w:p w14:paraId="149F736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19.4 </w:t>
                  </w:r>
                </w:p>
              </w:tc>
              <w:tc>
                <w:tcPr>
                  <w:tcW w:w="0" w:type="auto"/>
                  <w:tcMar>
                    <w:top w:w="45" w:type="dxa"/>
                    <w:left w:w="90" w:type="dxa"/>
                    <w:bottom w:w="45" w:type="dxa"/>
                    <w:right w:w="90" w:type="dxa"/>
                  </w:tcMar>
                  <w:vAlign w:val="center"/>
                  <w:hideMark/>
                </w:tcPr>
                <w:p w14:paraId="441ABE10"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18.7 </w:t>
                  </w:r>
                </w:p>
              </w:tc>
              <w:tc>
                <w:tcPr>
                  <w:tcW w:w="0" w:type="auto"/>
                  <w:tcMar>
                    <w:top w:w="45" w:type="dxa"/>
                    <w:left w:w="90" w:type="dxa"/>
                    <w:bottom w:w="45" w:type="dxa"/>
                    <w:right w:w="90" w:type="dxa"/>
                  </w:tcMar>
                  <w:vAlign w:val="center"/>
                  <w:hideMark/>
                </w:tcPr>
                <w:p w14:paraId="50FA3385"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18.4 </w:t>
                  </w:r>
                </w:p>
              </w:tc>
              <w:tc>
                <w:tcPr>
                  <w:tcW w:w="0" w:type="auto"/>
                  <w:tcMar>
                    <w:top w:w="45" w:type="dxa"/>
                    <w:left w:w="90" w:type="dxa"/>
                    <w:bottom w:w="45" w:type="dxa"/>
                    <w:right w:w="90" w:type="dxa"/>
                  </w:tcMar>
                  <w:vAlign w:val="center"/>
                  <w:hideMark/>
                </w:tcPr>
                <w:p w14:paraId="299748A3"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18.1 </w:t>
                  </w:r>
                </w:p>
              </w:tc>
              <w:tc>
                <w:tcPr>
                  <w:tcW w:w="0" w:type="auto"/>
                  <w:tcMar>
                    <w:top w:w="45" w:type="dxa"/>
                    <w:left w:w="90" w:type="dxa"/>
                    <w:bottom w:w="45" w:type="dxa"/>
                    <w:right w:w="90" w:type="dxa"/>
                  </w:tcMar>
                  <w:vAlign w:val="center"/>
                  <w:hideMark/>
                </w:tcPr>
                <w:p w14:paraId="2BCA6E75"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17.9 </w:t>
                  </w:r>
                </w:p>
              </w:tc>
              <w:tc>
                <w:tcPr>
                  <w:tcW w:w="0" w:type="auto"/>
                  <w:tcMar>
                    <w:top w:w="45" w:type="dxa"/>
                    <w:left w:w="90" w:type="dxa"/>
                    <w:bottom w:w="45" w:type="dxa"/>
                    <w:right w:w="90" w:type="dxa"/>
                  </w:tcMar>
                  <w:vAlign w:val="center"/>
                  <w:hideMark/>
                </w:tcPr>
                <w:p w14:paraId="0FFC3EC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17.8 </w:t>
                  </w:r>
                </w:p>
              </w:tc>
              <w:tc>
                <w:tcPr>
                  <w:tcW w:w="0" w:type="auto"/>
                  <w:tcMar>
                    <w:top w:w="45" w:type="dxa"/>
                    <w:left w:w="90" w:type="dxa"/>
                    <w:bottom w:w="45" w:type="dxa"/>
                    <w:right w:w="90" w:type="dxa"/>
                  </w:tcMar>
                  <w:vAlign w:val="center"/>
                  <w:hideMark/>
                </w:tcPr>
                <w:p w14:paraId="5B01C5BD"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17.7 </w:t>
                  </w:r>
                </w:p>
              </w:tc>
              <w:tc>
                <w:tcPr>
                  <w:tcW w:w="0" w:type="auto"/>
                  <w:vAlign w:val="center"/>
                  <w:hideMark/>
                </w:tcPr>
                <w:p w14:paraId="6E0BD540"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5700E02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7A4F5C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E761F3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4999E0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4518E2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7C631F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977065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63A903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FBA932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3ACE3F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AB3350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807333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745FDE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32B920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98D754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2D8E5C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5F3097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7BEC05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BE6C17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E98107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ABBE41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52B32A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543361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E7FE3A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B4C834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156562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833D19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6FC42E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69F88D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151496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6795E6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926ECE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55A69A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894E7F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392D71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351DB8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65FABE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F5278E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9F6559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A3F84B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1D30CB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89A9C3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E67F9D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5E8A3B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8DD91E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73400E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1133C3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9F8E5F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C9AF71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007113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08818F57" w14:textId="77777777">
              <w:trPr>
                <w:tblCellSpacing w:w="0" w:type="dxa"/>
              </w:trPr>
              <w:tc>
                <w:tcPr>
                  <w:tcW w:w="0" w:type="auto"/>
                  <w:shd w:val="clear" w:color="auto" w:fill="EFEFEF"/>
                  <w:tcMar>
                    <w:top w:w="45" w:type="dxa"/>
                    <w:left w:w="90" w:type="dxa"/>
                    <w:bottom w:w="45" w:type="dxa"/>
                    <w:right w:w="90" w:type="dxa"/>
                  </w:tcMar>
                  <w:vAlign w:val="center"/>
                  <w:hideMark/>
                </w:tcPr>
                <w:p w14:paraId="4A9E84FC"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Savings/GDP</w:t>
                  </w:r>
                </w:p>
              </w:tc>
              <w:tc>
                <w:tcPr>
                  <w:tcW w:w="0" w:type="auto"/>
                  <w:shd w:val="clear" w:color="auto" w:fill="EFEFEF"/>
                  <w:tcMar>
                    <w:top w:w="45" w:type="dxa"/>
                    <w:left w:w="90" w:type="dxa"/>
                    <w:bottom w:w="45" w:type="dxa"/>
                    <w:right w:w="90" w:type="dxa"/>
                  </w:tcMar>
                  <w:vAlign w:val="center"/>
                  <w:hideMark/>
                </w:tcPr>
                <w:p w14:paraId="3E609F6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15.4 </w:t>
                  </w:r>
                </w:p>
              </w:tc>
              <w:tc>
                <w:tcPr>
                  <w:tcW w:w="0" w:type="auto"/>
                  <w:shd w:val="clear" w:color="auto" w:fill="EFEFEF"/>
                  <w:tcMar>
                    <w:top w:w="45" w:type="dxa"/>
                    <w:left w:w="90" w:type="dxa"/>
                    <w:bottom w:w="45" w:type="dxa"/>
                    <w:right w:w="90" w:type="dxa"/>
                  </w:tcMar>
                  <w:vAlign w:val="center"/>
                  <w:hideMark/>
                </w:tcPr>
                <w:p w14:paraId="1BCFDC75"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15.7 </w:t>
                  </w:r>
                </w:p>
              </w:tc>
              <w:tc>
                <w:tcPr>
                  <w:tcW w:w="0" w:type="auto"/>
                  <w:shd w:val="clear" w:color="auto" w:fill="EFEFEF"/>
                  <w:tcMar>
                    <w:top w:w="45" w:type="dxa"/>
                    <w:left w:w="90" w:type="dxa"/>
                    <w:bottom w:w="45" w:type="dxa"/>
                    <w:right w:w="90" w:type="dxa"/>
                  </w:tcMar>
                  <w:vAlign w:val="center"/>
                  <w:hideMark/>
                </w:tcPr>
                <w:p w14:paraId="10492429"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16.5 </w:t>
                  </w:r>
                </w:p>
              </w:tc>
              <w:tc>
                <w:tcPr>
                  <w:tcW w:w="0" w:type="auto"/>
                  <w:shd w:val="clear" w:color="auto" w:fill="EFEFEF"/>
                  <w:tcMar>
                    <w:top w:w="45" w:type="dxa"/>
                    <w:left w:w="90" w:type="dxa"/>
                    <w:bottom w:w="45" w:type="dxa"/>
                    <w:right w:w="90" w:type="dxa"/>
                  </w:tcMar>
                  <w:vAlign w:val="center"/>
                  <w:hideMark/>
                </w:tcPr>
                <w:p w14:paraId="60FD0073"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16.5 </w:t>
                  </w:r>
                </w:p>
              </w:tc>
              <w:tc>
                <w:tcPr>
                  <w:tcW w:w="0" w:type="auto"/>
                  <w:shd w:val="clear" w:color="auto" w:fill="EFEFEF"/>
                  <w:tcMar>
                    <w:top w:w="45" w:type="dxa"/>
                    <w:left w:w="90" w:type="dxa"/>
                    <w:bottom w:w="45" w:type="dxa"/>
                    <w:right w:w="90" w:type="dxa"/>
                  </w:tcMar>
                  <w:vAlign w:val="center"/>
                  <w:hideMark/>
                </w:tcPr>
                <w:p w14:paraId="6507278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16.1 </w:t>
                  </w:r>
                </w:p>
              </w:tc>
              <w:tc>
                <w:tcPr>
                  <w:tcW w:w="0" w:type="auto"/>
                  <w:shd w:val="clear" w:color="auto" w:fill="EFEFEF"/>
                  <w:tcMar>
                    <w:top w:w="45" w:type="dxa"/>
                    <w:left w:w="90" w:type="dxa"/>
                    <w:bottom w:w="45" w:type="dxa"/>
                    <w:right w:w="90" w:type="dxa"/>
                  </w:tcMar>
                  <w:vAlign w:val="center"/>
                  <w:hideMark/>
                </w:tcPr>
                <w:p w14:paraId="5E842129"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14.9 </w:t>
                  </w:r>
                </w:p>
              </w:tc>
              <w:tc>
                <w:tcPr>
                  <w:tcW w:w="0" w:type="auto"/>
                  <w:shd w:val="clear" w:color="auto" w:fill="EFEFEF"/>
                  <w:tcMar>
                    <w:top w:w="45" w:type="dxa"/>
                    <w:left w:w="90" w:type="dxa"/>
                    <w:bottom w:w="45" w:type="dxa"/>
                    <w:right w:w="90" w:type="dxa"/>
                  </w:tcMar>
                  <w:vAlign w:val="center"/>
                  <w:hideMark/>
                </w:tcPr>
                <w:p w14:paraId="0DF907CD"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14.2 </w:t>
                  </w:r>
                </w:p>
              </w:tc>
              <w:tc>
                <w:tcPr>
                  <w:tcW w:w="0" w:type="auto"/>
                  <w:shd w:val="clear" w:color="auto" w:fill="EFEFEF"/>
                  <w:tcMar>
                    <w:top w:w="45" w:type="dxa"/>
                    <w:left w:w="90" w:type="dxa"/>
                    <w:bottom w:w="45" w:type="dxa"/>
                    <w:right w:w="90" w:type="dxa"/>
                  </w:tcMar>
                  <w:vAlign w:val="center"/>
                  <w:hideMark/>
                </w:tcPr>
                <w:p w14:paraId="25ACF82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14.3 </w:t>
                  </w:r>
                </w:p>
              </w:tc>
              <w:tc>
                <w:tcPr>
                  <w:tcW w:w="0" w:type="auto"/>
                  <w:shd w:val="clear" w:color="auto" w:fill="EFEFEF"/>
                  <w:tcMar>
                    <w:top w:w="45" w:type="dxa"/>
                    <w:left w:w="90" w:type="dxa"/>
                    <w:bottom w:w="45" w:type="dxa"/>
                    <w:right w:w="90" w:type="dxa"/>
                  </w:tcMar>
                  <w:vAlign w:val="center"/>
                  <w:hideMark/>
                </w:tcPr>
                <w:p w14:paraId="77B897E0"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14.0 </w:t>
                  </w:r>
                </w:p>
              </w:tc>
              <w:tc>
                <w:tcPr>
                  <w:tcW w:w="0" w:type="auto"/>
                  <w:shd w:val="clear" w:color="auto" w:fill="EFEFEF"/>
                  <w:tcMar>
                    <w:top w:w="45" w:type="dxa"/>
                    <w:left w:w="90" w:type="dxa"/>
                    <w:bottom w:w="45" w:type="dxa"/>
                    <w:right w:w="90" w:type="dxa"/>
                  </w:tcMar>
                  <w:vAlign w:val="center"/>
                  <w:hideMark/>
                </w:tcPr>
                <w:p w14:paraId="7FA776E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13.6 </w:t>
                  </w:r>
                </w:p>
              </w:tc>
              <w:tc>
                <w:tcPr>
                  <w:tcW w:w="0" w:type="auto"/>
                  <w:shd w:val="clear" w:color="auto" w:fill="EFEFEF"/>
                  <w:vAlign w:val="center"/>
                  <w:hideMark/>
                </w:tcPr>
                <w:p w14:paraId="5689E9AA"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03D605F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4AE803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57A528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0BD62A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C7F927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521BBD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A2EEE5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57A0F9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6B3FB9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1C8193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47B22E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2F6B0F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CEEC9C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FC04C1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F33C29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FBC98D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14000E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F6EF8A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F46FA7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10447A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C3CCA7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331504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5E10A4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554543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F3057B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CA2D4B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DC6346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7D57D2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42E44C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E11BF2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9DEA60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D949EE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9A1ED5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41C385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9AA51D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612CF6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AAC10B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609217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755401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C88DAB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93BA44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01B07B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8031CD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A75602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3F6BD6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BCC7D8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EF8292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14F0B0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0676AF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A7FEBB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340E8185" w14:textId="77777777">
              <w:trPr>
                <w:tblCellSpacing w:w="0" w:type="dxa"/>
              </w:trPr>
              <w:tc>
                <w:tcPr>
                  <w:tcW w:w="0" w:type="auto"/>
                  <w:tcMar>
                    <w:top w:w="45" w:type="dxa"/>
                    <w:left w:w="90" w:type="dxa"/>
                    <w:bottom w:w="45" w:type="dxa"/>
                    <w:right w:w="90" w:type="dxa"/>
                  </w:tcMar>
                  <w:vAlign w:val="center"/>
                  <w:hideMark/>
                </w:tcPr>
                <w:p w14:paraId="6D64AC42"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Exports/GDP</w:t>
                  </w:r>
                </w:p>
              </w:tc>
              <w:tc>
                <w:tcPr>
                  <w:tcW w:w="0" w:type="auto"/>
                  <w:tcMar>
                    <w:top w:w="45" w:type="dxa"/>
                    <w:left w:w="90" w:type="dxa"/>
                    <w:bottom w:w="45" w:type="dxa"/>
                    <w:right w:w="90" w:type="dxa"/>
                  </w:tcMar>
                  <w:vAlign w:val="center"/>
                  <w:hideMark/>
                </w:tcPr>
                <w:p w14:paraId="4A314DE5"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31.0 </w:t>
                  </w:r>
                </w:p>
              </w:tc>
              <w:tc>
                <w:tcPr>
                  <w:tcW w:w="0" w:type="auto"/>
                  <w:tcMar>
                    <w:top w:w="45" w:type="dxa"/>
                    <w:left w:w="90" w:type="dxa"/>
                    <w:bottom w:w="45" w:type="dxa"/>
                    <w:right w:w="90" w:type="dxa"/>
                  </w:tcMar>
                  <w:vAlign w:val="center"/>
                  <w:hideMark/>
                </w:tcPr>
                <w:p w14:paraId="60863603"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31.5 </w:t>
                  </w:r>
                </w:p>
              </w:tc>
              <w:tc>
                <w:tcPr>
                  <w:tcW w:w="0" w:type="auto"/>
                  <w:tcMar>
                    <w:top w:w="45" w:type="dxa"/>
                    <w:left w:w="90" w:type="dxa"/>
                    <w:bottom w:w="45" w:type="dxa"/>
                    <w:right w:w="90" w:type="dxa"/>
                  </w:tcMar>
                  <w:vAlign w:val="center"/>
                  <w:hideMark/>
                </w:tcPr>
                <w:p w14:paraId="17D2F98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30.2 </w:t>
                  </w:r>
                </w:p>
              </w:tc>
              <w:tc>
                <w:tcPr>
                  <w:tcW w:w="0" w:type="auto"/>
                  <w:tcMar>
                    <w:top w:w="45" w:type="dxa"/>
                    <w:left w:w="90" w:type="dxa"/>
                    <w:bottom w:w="45" w:type="dxa"/>
                    <w:right w:w="90" w:type="dxa"/>
                  </w:tcMar>
                  <w:vAlign w:val="center"/>
                  <w:hideMark/>
                </w:tcPr>
                <w:p w14:paraId="13BC04E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30.6 </w:t>
                  </w:r>
                </w:p>
              </w:tc>
              <w:tc>
                <w:tcPr>
                  <w:tcW w:w="0" w:type="auto"/>
                  <w:tcMar>
                    <w:top w:w="45" w:type="dxa"/>
                    <w:left w:w="90" w:type="dxa"/>
                    <w:bottom w:w="45" w:type="dxa"/>
                    <w:right w:w="90" w:type="dxa"/>
                  </w:tcMar>
                  <w:vAlign w:val="center"/>
                  <w:hideMark/>
                </w:tcPr>
                <w:p w14:paraId="2F15606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29.6 </w:t>
                  </w:r>
                </w:p>
              </w:tc>
              <w:tc>
                <w:tcPr>
                  <w:tcW w:w="0" w:type="auto"/>
                  <w:tcMar>
                    <w:top w:w="45" w:type="dxa"/>
                    <w:left w:w="90" w:type="dxa"/>
                    <w:bottom w:w="45" w:type="dxa"/>
                    <w:right w:w="90" w:type="dxa"/>
                  </w:tcMar>
                  <w:vAlign w:val="center"/>
                  <w:hideMark/>
                </w:tcPr>
                <w:p w14:paraId="6220D9C9"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29.9 </w:t>
                  </w:r>
                </w:p>
              </w:tc>
              <w:tc>
                <w:tcPr>
                  <w:tcW w:w="0" w:type="auto"/>
                  <w:tcMar>
                    <w:top w:w="45" w:type="dxa"/>
                    <w:left w:w="90" w:type="dxa"/>
                    <w:bottom w:w="45" w:type="dxa"/>
                    <w:right w:w="90" w:type="dxa"/>
                  </w:tcMar>
                  <w:vAlign w:val="center"/>
                  <w:hideMark/>
                </w:tcPr>
                <w:p w14:paraId="214FE9F5"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29.7 </w:t>
                  </w:r>
                </w:p>
              </w:tc>
              <w:tc>
                <w:tcPr>
                  <w:tcW w:w="0" w:type="auto"/>
                  <w:tcMar>
                    <w:top w:w="45" w:type="dxa"/>
                    <w:left w:w="90" w:type="dxa"/>
                    <w:bottom w:w="45" w:type="dxa"/>
                    <w:right w:w="90" w:type="dxa"/>
                  </w:tcMar>
                  <w:vAlign w:val="center"/>
                  <w:hideMark/>
                </w:tcPr>
                <w:p w14:paraId="11CF321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30.1 </w:t>
                  </w:r>
                </w:p>
              </w:tc>
              <w:tc>
                <w:tcPr>
                  <w:tcW w:w="0" w:type="auto"/>
                  <w:tcMar>
                    <w:top w:w="45" w:type="dxa"/>
                    <w:left w:w="90" w:type="dxa"/>
                    <w:bottom w:w="45" w:type="dxa"/>
                    <w:right w:w="90" w:type="dxa"/>
                  </w:tcMar>
                  <w:vAlign w:val="center"/>
                  <w:hideMark/>
                </w:tcPr>
                <w:p w14:paraId="54C1B79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30.1 </w:t>
                  </w:r>
                </w:p>
              </w:tc>
              <w:tc>
                <w:tcPr>
                  <w:tcW w:w="0" w:type="auto"/>
                  <w:tcMar>
                    <w:top w:w="45" w:type="dxa"/>
                    <w:left w:w="90" w:type="dxa"/>
                    <w:bottom w:w="45" w:type="dxa"/>
                    <w:right w:w="90" w:type="dxa"/>
                  </w:tcMar>
                  <w:vAlign w:val="center"/>
                  <w:hideMark/>
                </w:tcPr>
                <w:p w14:paraId="26AD9CF0"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30.2 </w:t>
                  </w:r>
                </w:p>
              </w:tc>
              <w:tc>
                <w:tcPr>
                  <w:tcW w:w="0" w:type="auto"/>
                  <w:vAlign w:val="center"/>
                  <w:hideMark/>
                </w:tcPr>
                <w:p w14:paraId="6D6A5EAE"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24BF1B9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2925CB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3FC227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AC3E3D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8094F9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83EC6B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B5B490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80D81D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93BB97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3474E0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188E15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B39CA6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316BEA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A9D5EB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2468B8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763DB7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CE63B4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77C88E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F9CE0A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06365A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0404CD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DD0369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7CADC9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C7DDE2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3BF7E3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458EE5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2BCB04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BC3C63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09758A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93125D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D853F6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BDF6F9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5C823C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A109CB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A59377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BB22E1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D9F225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CF5325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599A34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21A9D6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2168AB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5D4245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683B8C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653D46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9092D4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01B6BF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709B4C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A690C2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B0460E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205655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3FFE51BD" w14:textId="77777777">
              <w:trPr>
                <w:tblCellSpacing w:w="0" w:type="dxa"/>
              </w:trPr>
              <w:tc>
                <w:tcPr>
                  <w:tcW w:w="0" w:type="auto"/>
                  <w:shd w:val="clear" w:color="auto" w:fill="EFEFEF"/>
                  <w:tcMar>
                    <w:top w:w="45" w:type="dxa"/>
                    <w:left w:w="90" w:type="dxa"/>
                    <w:bottom w:w="45" w:type="dxa"/>
                    <w:right w:w="90" w:type="dxa"/>
                  </w:tcMar>
                  <w:vAlign w:val="center"/>
                  <w:hideMark/>
                </w:tcPr>
                <w:p w14:paraId="2B8B91E7"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Real exports growth</w:t>
                  </w:r>
                </w:p>
              </w:tc>
              <w:tc>
                <w:tcPr>
                  <w:tcW w:w="0" w:type="auto"/>
                  <w:shd w:val="clear" w:color="auto" w:fill="EFEFEF"/>
                  <w:tcMar>
                    <w:top w:w="45" w:type="dxa"/>
                    <w:left w:w="90" w:type="dxa"/>
                    <w:bottom w:w="45" w:type="dxa"/>
                    <w:right w:w="90" w:type="dxa"/>
                  </w:tcMar>
                  <w:vAlign w:val="center"/>
                  <w:hideMark/>
                </w:tcPr>
                <w:p w14:paraId="2469027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4.0 </w:t>
                  </w:r>
                </w:p>
              </w:tc>
              <w:tc>
                <w:tcPr>
                  <w:tcW w:w="0" w:type="auto"/>
                  <w:shd w:val="clear" w:color="auto" w:fill="EFEFEF"/>
                  <w:tcMar>
                    <w:top w:w="45" w:type="dxa"/>
                    <w:left w:w="90" w:type="dxa"/>
                    <w:bottom w:w="45" w:type="dxa"/>
                    <w:right w:w="90" w:type="dxa"/>
                  </w:tcMar>
                  <w:vAlign w:val="center"/>
                  <w:hideMark/>
                </w:tcPr>
                <w:p w14:paraId="6B8F736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3.6 </w:t>
                  </w:r>
                </w:p>
              </w:tc>
              <w:tc>
                <w:tcPr>
                  <w:tcW w:w="0" w:type="auto"/>
                  <w:shd w:val="clear" w:color="auto" w:fill="EFEFEF"/>
                  <w:tcMar>
                    <w:top w:w="45" w:type="dxa"/>
                    <w:left w:w="90" w:type="dxa"/>
                    <w:bottom w:w="45" w:type="dxa"/>
                    <w:right w:w="90" w:type="dxa"/>
                  </w:tcMar>
                  <w:vAlign w:val="center"/>
                  <w:hideMark/>
                </w:tcPr>
                <w:p w14:paraId="794A3144"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2.9 </w:t>
                  </w:r>
                </w:p>
              </w:tc>
              <w:tc>
                <w:tcPr>
                  <w:tcW w:w="0" w:type="auto"/>
                  <w:shd w:val="clear" w:color="auto" w:fill="EFEFEF"/>
                  <w:tcMar>
                    <w:top w:w="45" w:type="dxa"/>
                    <w:left w:w="90" w:type="dxa"/>
                    <w:bottom w:w="45" w:type="dxa"/>
                    <w:right w:w="90" w:type="dxa"/>
                  </w:tcMar>
                  <w:vAlign w:val="center"/>
                  <w:hideMark/>
                </w:tcPr>
                <w:p w14:paraId="2E510699"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0.4 </w:t>
                  </w:r>
                </w:p>
              </w:tc>
              <w:tc>
                <w:tcPr>
                  <w:tcW w:w="0" w:type="auto"/>
                  <w:shd w:val="clear" w:color="auto" w:fill="EFEFEF"/>
                  <w:tcMar>
                    <w:top w:w="45" w:type="dxa"/>
                    <w:left w:w="90" w:type="dxa"/>
                    <w:bottom w:w="45" w:type="dxa"/>
                    <w:right w:w="90" w:type="dxa"/>
                  </w:tcMar>
                  <w:vAlign w:val="center"/>
                  <w:hideMark/>
                </w:tcPr>
                <w:p w14:paraId="7576F00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(0.7)</w:t>
                  </w:r>
                </w:p>
              </w:tc>
              <w:tc>
                <w:tcPr>
                  <w:tcW w:w="0" w:type="auto"/>
                  <w:shd w:val="clear" w:color="auto" w:fill="EFEFEF"/>
                  <w:tcMar>
                    <w:top w:w="45" w:type="dxa"/>
                    <w:left w:w="90" w:type="dxa"/>
                    <w:bottom w:w="45" w:type="dxa"/>
                    <w:right w:w="90" w:type="dxa"/>
                  </w:tcMar>
                  <w:vAlign w:val="center"/>
                  <w:hideMark/>
                </w:tcPr>
                <w:p w14:paraId="6EE30B37"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2.6 </w:t>
                  </w:r>
                </w:p>
              </w:tc>
              <w:tc>
                <w:tcPr>
                  <w:tcW w:w="0" w:type="auto"/>
                  <w:shd w:val="clear" w:color="auto" w:fill="EFEFEF"/>
                  <w:tcMar>
                    <w:top w:w="45" w:type="dxa"/>
                    <w:left w:w="90" w:type="dxa"/>
                    <w:bottom w:w="45" w:type="dxa"/>
                    <w:right w:w="90" w:type="dxa"/>
                  </w:tcMar>
                  <w:vAlign w:val="center"/>
                  <w:hideMark/>
                </w:tcPr>
                <w:p w14:paraId="173232B2"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(1.8)</w:t>
                  </w:r>
                </w:p>
              </w:tc>
              <w:tc>
                <w:tcPr>
                  <w:tcW w:w="0" w:type="auto"/>
                  <w:shd w:val="clear" w:color="auto" w:fill="EFEFEF"/>
                  <w:tcMar>
                    <w:top w:w="45" w:type="dxa"/>
                    <w:left w:w="90" w:type="dxa"/>
                    <w:bottom w:w="45" w:type="dxa"/>
                    <w:right w:w="90" w:type="dxa"/>
                  </w:tcMar>
                  <w:vAlign w:val="center"/>
                  <w:hideMark/>
                </w:tcPr>
                <w:p w14:paraId="7BCF97E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2.6 </w:t>
                  </w:r>
                </w:p>
              </w:tc>
              <w:tc>
                <w:tcPr>
                  <w:tcW w:w="0" w:type="auto"/>
                  <w:shd w:val="clear" w:color="auto" w:fill="EFEFEF"/>
                  <w:tcMar>
                    <w:top w:w="45" w:type="dxa"/>
                    <w:left w:w="90" w:type="dxa"/>
                    <w:bottom w:w="45" w:type="dxa"/>
                    <w:right w:w="90" w:type="dxa"/>
                  </w:tcMar>
                  <w:vAlign w:val="center"/>
                  <w:hideMark/>
                </w:tcPr>
                <w:p w14:paraId="660440F4"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2.7 </w:t>
                  </w:r>
                </w:p>
              </w:tc>
              <w:tc>
                <w:tcPr>
                  <w:tcW w:w="0" w:type="auto"/>
                  <w:shd w:val="clear" w:color="auto" w:fill="EFEFEF"/>
                  <w:tcMar>
                    <w:top w:w="45" w:type="dxa"/>
                    <w:left w:w="90" w:type="dxa"/>
                    <w:bottom w:w="45" w:type="dxa"/>
                    <w:right w:w="90" w:type="dxa"/>
                  </w:tcMar>
                  <w:vAlign w:val="center"/>
                  <w:hideMark/>
                </w:tcPr>
                <w:p w14:paraId="4C3CB32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2.8 </w:t>
                  </w:r>
                </w:p>
              </w:tc>
              <w:tc>
                <w:tcPr>
                  <w:tcW w:w="0" w:type="auto"/>
                  <w:shd w:val="clear" w:color="auto" w:fill="EFEFEF"/>
                  <w:vAlign w:val="center"/>
                  <w:hideMark/>
                </w:tcPr>
                <w:p w14:paraId="4FB2735A"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0C0031C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E81FF8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C3490E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7A86E1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394900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566E37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731348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5B9194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90A8FE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53F811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047FF9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525DC9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88D3DD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D89476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6860BF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F860E1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4D7A93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083EF3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07DB07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0E836C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78B2CC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14224D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18B1AE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093D38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225CF8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F9876A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70D502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4C9577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B2E366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6E98E5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9059A2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6F7DD7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DF86F3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ECF0EA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8722B0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EE9B03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61B084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61A3A4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73A9A8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E45D8C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899E73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348075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D4D7C3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0A29F3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9C225D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833944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DCC77C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81CF80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A63BE0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F7D965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4EEC2F3D" w14:textId="77777777">
              <w:trPr>
                <w:tblCellSpacing w:w="0" w:type="dxa"/>
              </w:trPr>
              <w:tc>
                <w:tcPr>
                  <w:tcW w:w="0" w:type="auto"/>
                  <w:tcMar>
                    <w:top w:w="45" w:type="dxa"/>
                    <w:left w:w="90" w:type="dxa"/>
                    <w:bottom w:w="45" w:type="dxa"/>
                    <w:right w:w="90" w:type="dxa"/>
                  </w:tcMar>
                  <w:vAlign w:val="center"/>
                  <w:hideMark/>
                </w:tcPr>
                <w:p w14:paraId="1A92A57E"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Unemployment rate</w:t>
                  </w:r>
                </w:p>
              </w:tc>
              <w:tc>
                <w:tcPr>
                  <w:tcW w:w="0" w:type="auto"/>
                  <w:tcMar>
                    <w:top w:w="45" w:type="dxa"/>
                    <w:left w:w="90" w:type="dxa"/>
                    <w:bottom w:w="45" w:type="dxa"/>
                    <w:right w:w="90" w:type="dxa"/>
                  </w:tcMar>
                  <w:vAlign w:val="center"/>
                  <w:hideMark/>
                </w:tcPr>
                <w:p w14:paraId="06E3807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24.7 </w:t>
                  </w:r>
                </w:p>
              </w:tc>
              <w:tc>
                <w:tcPr>
                  <w:tcW w:w="0" w:type="auto"/>
                  <w:tcMar>
                    <w:top w:w="45" w:type="dxa"/>
                    <w:left w:w="90" w:type="dxa"/>
                    <w:bottom w:w="45" w:type="dxa"/>
                    <w:right w:w="90" w:type="dxa"/>
                  </w:tcMar>
                  <w:vAlign w:val="center"/>
                  <w:hideMark/>
                </w:tcPr>
                <w:p w14:paraId="60C4C0E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25.1 </w:t>
                  </w:r>
                </w:p>
              </w:tc>
              <w:tc>
                <w:tcPr>
                  <w:tcW w:w="0" w:type="auto"/>
                  <w:tcMar>
                    <w:top w:w="45" w:type="dxa"/>
                    <w:left w:w="90" w:type="dxa"/>
                    <w:bottom w:w="45" w:type="dxa"/>
                    <w:right w:w="90" w:type="dxa"/>
                  </w:tcMar>
                  <w:vAlign w:val="center"/>
                  <w:hideMark/>
                </w:tcPr>
                <w:p w14:paraId="77285B8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25.4 </w:t>
                  </w:r>
                </w:p>
              </w:tc>
              <w:tc>
                <w:tcPr>
                  <w:tcW w:w="0" w:type="auto"/>
                  <w:tcMar>
                    <w:top w:w="45" w:type="dxa"/>
                    <w:left w:w="90" w:type="dxa"/>
                    <w:bottom w:w="45" w:type="dxa"/>
                    <w:right w:w="90" w:type="dxa"/>
                  </w:tcMar>
                  <w:vAlign w:val="center"/>
                  <w:hideMark/>
                </w:tcPr>
                <w:p w14:paraId="624CBB3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26.7 </w:t>
                  </w:r>
                </w:p>
              </w:tc>
              <w:tc>
                <w:tcPr>
                  <w:tcW w:w="0" w:type="auto"/>
                  <w:tcMar>
                    <w:top w:w="45" w:type="dxa"/>
                    <w:left w:w="90" w:type="dxa"/>
                    <w:bottom w:w="45" w:type="dxa"/>
                    <w:right w:w="90" w:type="dxa"/>
                  </w:tcMar>
                  <w:vAlign w:val="center"/>
                  <w:hideMark/>
                </w:tcPr>
                <w:p w14:paraId="34B7E19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27.5 </w:t>
                  </w:r>
                </w:p>
              </w:tc>
              <w:tc>
                <w:tcPr>
                  <w:tcW w:w="0" w:type="auto"/>
                  <w:tcMar>
                    <w:top w:w="45" w:type="dxa"/>
                    <w:left w:w="90" w:type="dxa"/>
                    <w:bottom w:w="45" w:type="dxa"/>
                    <w:right w:w="90" w:type="dxa"/>
                  </w:tcMar>
                  <w:vAlign w:val="center"/>
                  <w:hideMark/>
                </w:tcPr>
                <w:p w14:paraId="0D56FE55"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27.1 </w:t>
                  </w:r>
                </w:p>
              </w:tc>
              <w:tc>
                <w:tcPr>
                  <w:tcW w:w="0" w:type="auto"/>
                  <w:tcMar>
                    <w:top w:w="45" w:type="dxa"/>
                    <w:left w:w="90" w:type="dxa"/>
                    <w:bottom w:w="45" w:type="dxa"/>
                    <w:right w:w="90" w:type="dxa"/>
                  </w:tcMar>
                  <w:vAlign w:val="center"/>
                  <w:hideMark/>
                </w:tcPr>
                <w:p w14:paraId="5D67C27E"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28.4 </w:t>
                  </w:r>
                </w:p>
              </w:tc>
              <w:tc>
                <w:tcPr>
                  <w:tcW w:w="0" w:type="auto"/>
                  <w:tcMar>
                    <w:top w:w="45" w:type="dxa"/>
                    <w:left w:w="90" w:type="dxa"/>
                    <w:bottom w:w="45" w:type="dxa"/>
                    <w:right w:w="90" w:type="dxa"/>
                  </w:tcMar>
                  <w:vAlign w:val="center"/>
                  <w:hideMark/>
                </w:tcPr>
                <w:p w14:paraId="709D3DC7"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28.5 </w:t>
                  </w:r>
                </w:p>
              </w:tc>
              <w:tc>
                <w:tcPr>
                  <w:tcW w:w="0" w:type="auto"/>
                  <w:tcMar>
                    <w:top w:w="45" w:type="dxa"/>
                    <w:left w:w="90" w:type="dxa"/>
                    <w:bottom w:w="45" w:type="dxa"/>
                    <w:right w:w="90" w:type="dxa"/>
                  </w:tcMar>
                  <w:vAlign w:val="center"/>
                  <w:hideMark/>
                </w:tcPr>
                <w:p w14:paraId="5B57EB9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28.4 </w:t>
                  </w:r>
                </w:p>
              </w:tc>
              <w:tc>
                <w:tcPr>
                  <w:tcW w:w="0" w:type="auto"/>
                  <w:tcMar>
                    <w:top w:w="45" w:type="dxa"/>
                    <w:left w:w="90" w:type="dxa"/>
                    <w:bottom w:w="45" w:type="dxa"/>
                    <w:right w:w="90" w:type="dxa"/>
                  </w:tcMar>
                  <w:vAlign w:val="center"/>
                  <w:hideMark/>
                </w:tcPr>
                <w:p w14:paraId="56F6A44D"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28.2 </w:t>
                  </w:r>
                </w:p>
              </w:tc>
              <w:tc>
                <w:tcPr>
                  <w:tcW w:w="0" w:type="auto"/>
                  <w:vAlign w:val="center"/>
                  <w:hideMark/>
                </w:tcPr>
                <w:p w14:paraId="4F09F5A3"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4C215BF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6D2B05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BC47CC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BF3E9C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75D8C4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ADB771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0741AB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131161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329AB7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0A349F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3599E3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01765C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CA7FC7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38D99D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A542F9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AB377B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203C37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56E002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809795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E7FF06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D360F9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E01A11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F8D21B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453D5E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F40F58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A17048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016288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D1EA42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B8D555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80F181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61CC49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8AF77C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E93D94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904330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126FF3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018DE9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520B80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341991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69B2DE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A3D886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5A6EE2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00B9D8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8A6EF9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741C8B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1BD3CE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3D5C3B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AC1B85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4C8D2C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74B87A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79F8CD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1AF0B50C" w14:textId="77777777">
              <w:trPr>
                <w:tblCellSpacing w:w="0" w:type="dxa"/>
              </w:trPr>
              <w:tc>
                <w:tcPr>
                  <w:tcW w:w="0" w:type="auto"/>
                  <w:gridSpan w:val="62"/>
                  <w:shd w:val="clear" w:color="auto" w:fill="EFEFEF"/>
                  <w:tcMar>
                    <w:top w:w="45" w:type="dxa"/>
                    <w:left w:w="90" w:type="dxa"/>
                    <w:bottom w:w="45" w:type="dxa"/>
                    <w:right w:w="90" w:type="dxa"/>
                  </w:tcMar>
                  <w:vAlign w:val="center"/>
                  <w:hideMark/>
                </w:tcPr>
                <w:p w14:paraId="55DD0409" w14:textId="77777777" w:rsidR="006439CC" w:rsidRPr="006439CC" w:rsidRDefault="006439CC" w:rsidP="006439CC">
                  <w:pPr>
                    <w:spacing w:after="180" w:line="240" w:lineRule="auto"/>
                    <w:rPr>
                      <w:rFonts w:ascii="Arial" w:eastAsia="Calibri" w:hAnsi="Arial" w:cs="Arial"/>
                      <w:b/>
                      <w:bCs/>
                      <w:sz w:val="18"/>
                      <w:szCs w:val="18"/>
                      <w:lang w:eastAsia="en-ZA"/>
                    </w:rPr>
                  </w:pPr>
                  <w:r w:rsidRPr="006439CC">
                    <w:rPr>
                      <w:rFonts w:ascii="Arial" w:eastAsia="Calibri" w:hAnsi="Arial" w:cs="Arial"/>
                      <w:b/>
                      <w:bCs/>
                      <w:color w:val="000000"/>
                      <w:sz w:val="18"/>
                      <w:szCs w:val="18"/>
                      <w:lang w:eastAsia="en-ZA"/>
                    </w:rPr>
                    <w:t>External indicators (%)</w:t>
                  </w:r>
                </w:p>
              </w:tc>
            </w:tr>
            <w:tr w:rsidR="006439CC" w:rsidRPr="006439CC" w14:paraId="223EABCF" w14:textId="77777777">
              <w:trPr>
                <w:tblCellSpacing w:w="0" w:type="dxa"/>
              </w:trPr>
              <w:tc>
                <w:tcPr>
                  <w:tcW w:w="0" w:type="auto"/>
                  <w:tcMar>
                    <w:top w:w="45" w:type="dxa"/>
                    <w:left w:w="90" w:type="dxa"/>
                    <w:bottom w:w="45" w:type="dxa"/>
                    <w:right w:w="90" w:type="dxa"/>
                  </w:tcMar>
                  <w:vAlign w:val="center"/>
                  <w:hideMark/>
                </w:tcPr>
                <w:p w14:paraId="1F5E56CB"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Current account balance/GDP</w:t>
                  </w:r>
                </w:p>
              </w:tc>
              <w:tc>
                <w:tcPr>
                  <w:tcW w:w="0" w:type="auto"/>
                  <w:tcMar>
                    <w:top w:w="45" w:type="dxa"/>
                    <w:left w:w="90" w:type="dxa"/>
                    <w:bottom w:w="45" w:type="dxa"/>
                    <w:right w:w="90" w:type="dxa"/>
                  </w:tcMar>
                  <w:vAlign w:val="center"/>
                  <w:hideMark/>
                </w:tcPr>
                <w:p w14:paraId="01345D87"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(5.8)</w:t>
                  </w:r>
                </w:p>
              </w:tc>
              <w:tc>
                <w:tcPr>
                  <w:tcW w:w="0" w:type="auto"/>
                  <w:tcMar>
                    <w:top w:w="45" w:type="dxa"/>
                    <w:left w:w="90" w:type="dxa"/>
                    <w:bottom w:w="45" w:type="dxa"/>
                    <w:right w:w="90" w:type="dxa"/>
                  </w:tcMar>
                  <w:vAlign w:val="center"/>
                  <w:hideMark/>
                </w:tcPr>
                <w:p w14:paraId="50F4A4D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(5.1)</w:t>
                  </w:r>
                </w:p>
              </w:tc>
              <w:tc>
                <w:tcPr>
                  <w:tcW w:w="0" w:type="auto"/>
                  <w:tcMar>
                    <w:top w:w="45" w:type="dxa"/>
                    <w:left w:w="90" w:type="dxa"/>
                    <w:bottom w:w="45" w:type="dxa"/>
                    <w:right w:w="90" w:type="dxa"/>
                  </w:tcMar>
                  <w:vAlign w:val="center"/>
                  <w:hideMark/>
                </w:tcPr>
                <w:p w14:paraId="54657B3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(4.6)</w:t>
                  </w:r>
                </w:p>
              </w:tc>
              <w:tc>
                <w:tcPr>
                  <w:tcW w:w="0" w:type="auto"/>
                  <w:tcMar>
                    <w:top w:w="45" w:type="dxa"/>
                    <w:left w:w="90" w:type="dxa"/>
                    <w:bottom w:w="45" w:type="dxa"/>
                    <w:right w:w="90" w:type="dxa"/>
                  </w:tcMar>
                  <w:vAlign w:val="center"/>
                  <w:hideMark/>
                </w:tcPr>
                <w:p w14:paraId="5433E1FD"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(2.9)</w:t>
                  </w:r>
                </w:p>
              </w:tc>
              <w:tc>
                <w:tcPr>
                  <w:tcW w:w="0" w:type="auto"/>
                  <w:tcMar>
                    <w:top w:w="45" w:type="dxa"/>
                    <w:left w:w="90" w:type="dxa"/>
                    <w:bottom w:w="45" w:type="dxa"/>
                    <w:right w:w="90" w:type="dxa"/>
                  </w:tcMar>
                  <w:vAlign w:val="center"/>
                  <w:hideMark/>
                </w:tcPr>
                <w:p w14:paraId="657182E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(2.5)</w:t>
                  </w:r>
                </w:p>
              </w:tc>
              <w:tc>
                <w:tcPr>
                  <w:tcW w:w="0" w:type="auto"/>
                  <w:tcMar>
                    <w:top w:w="45" w:type="dxa"/>
                    <w:left w:w="90" w:type="dxa"/>
                    <w:bottom w:w="45" w:type="dxa"/>
                    <w:right w:w="90" w:type="dxa"/>
                  </w:tcMar>
                  <w:vAlign w:val="center"/>
                  <w:hideMark/>
                </w:tcPr>
                <w:p w14:paraId="4EB873A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(3.5)</w:t>
                  </w:r>
                </w:p>
              </w:tc>
              <w:tc>
                <w:tcPr>
                  <w:tcW w:w="0" w:type="auto"/>
                  <w:tcMar>
                    <w:top w:w="45" w:type="dxa"/>
                    <w:left w:w="90" w:type="dxa"/>
                    <w:bottom w:w="45" w:type="dxa"/>
                    <w:right w:w="90" w:type="dxa"/>
                  </w:tcMar>
                  <w:vAlign w:val="center"/>
                  <w:hideMark/>
                </w:tcPr>
                <w:p w14:paraId="153A6275"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(3.9)</w:t>
                  </w:r>
                </w:p>
              </w:tc>
              <w:tc>
                <w:tcPr>
                  <w:tcW w:w="0" w:type="auto"/>
                  <w:tcMar>
                    <w:top w:w="45" w:type="dxa"/>
                    <w:left w:w="90" w:type="dxa"/>
                    <w:bottom w:w="45" w:type="dxa"/>
                    <w:right w:w="90" w:type="dxa"/>
                  </w:tcMar>
                  <w:vAlign w:val="center"/>
                  <w:hideMark/>
                </w:tcPr>
                <w:p w14:paraId="7BDFD53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(3.6)</w:t>
                  </w:r>
                </w:p>
              </w:tc>
              <w:tc>
                <w:tcPr>
                  <w:tcW w:w="0" w:type="auto"/>
                  <w:tcMar>
                    <w:top w:w="45" w:type="dxa"/>
                    <w:left w:w="90" w:type="dxa"/>
                    <w:bottom w:w="45" w:type="dxa"/>
                    <w:right w:w="90" w:type="dxa"/>
                  </w:tcMar>
                  <w:vAlign w:val="center"/>
                  <w:hideMark/>
                </w:tcPr>
                <w:p w14:paraId="5504112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(3.8)</w:t>
                  </w:r>
                </w:p>
              </w:tc>
              <w:tc>
                <w:tcPr>
                  <w:tcW w:w="0" w:type="auto"/>
                  <w:tcMar>
                    <w:top w:w="45" w:type="dxa"/>
                    <w:left w:w="90" w:type="dxa"/>
                    <w:bottom w:w="45" w:type="dxa"/>
                    <w:right w:w="90" w:type="dxa"/>
                  </w:tcMar>
                  <w:vAlign w:val="center"/>
                  <w:hideMark/>
                </w:tcPr>
                <w:p w14:paraId="1812BB0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(4.1)</w:t>
                  </w:r>
                </w:p>
              </w:tc>
              <w:tc>
                <w:tcPr>
                  <w:tcW w:w="0" w:type="auto"/>
                  <w:vAlign w:val="center"/>
                  <w:hideMark/>
                </w:tcPr>
                <w:p w14:paraId="219E5F7A"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53C193E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454C55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3225C3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8386EC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7FE254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BE9F27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9084E0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EA600E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17CF3F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1A7E2A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0AE389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6BDED9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F50B9E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6F8EED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6EFAE1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3F63EC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8D27E3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E416A8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EA0E01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CC18F6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8A7FD7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FB4D41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73A5AC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4B9D3B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7FB251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8CB8E0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414308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597903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284D65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D1F963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FD2377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EA76DC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82B746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61DC96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FC4EF9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127D53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02B474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75AD77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3080A0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67591A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762593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306466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2C80E6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FDD3A3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510388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A55BBB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60EE3B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443094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AC8815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916296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7C72E36D" w14:textId="77777777">
              <w:trPr>
                <w:tblCellSpacing w:w="0" w:type="dxa"/>
              </w:trPr>
              <w:tc>
                <w:tcPr>
                  <w:tcW w:w="0" w:type="auto"/>
                  <w:shd w:val="clear" w:color="auto" w:fill="EFEFEF"/>
                  <w:tcMar>
                    <w:top w:w="45" w:type="dxa"/>
                    <w:left w:w="90" w:type="dxa"/>
                    <w:bottom w:w="45" w:type="dxa"/>
                    <w:right w:w="90" w:type="dxa"/>
                  </w:tcMar>
                  <w:vAlign w:val="center"/>
                  <w:hideMark/>
                </w:tcPr>
                <w:p w14:paraId="5951ECCE"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Current account balance/CARs</w:t>
                  </w:r>
                </w:p>
              </w:tc>
              <w:tc>
                <w:tcPr>
                  <w:tcW w:w="0" w:type="auto"/>
                  <w:shd w:val="clear" w:color="auto" w:fill="EFEFEF"/>
                  <w:tcMar>
                    <w:top w:w="45" w:type="dxa"/>
                    <w:left w:w="90" w:type="dxa"/>
                    <w:bottom w:w="45" w:type="dxa"/>
                    <w:right w:w="90" w:type="dxa"/>
                  </w:tcMar>
                  <w:vAlign w:val="center"/>
                  <w:hideMark/>
                </w:tcPr>
                <w:p w14:paraId="36F6750D"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(17.6)</w:t>
                  </w:r>
                </w:p>
              </w:tc>
              <w:tc>
                <w:tcPr>
                  <w:tcW w:w="0" w:type="auto"/>
                  <w:shd w:val="clear" w:color="auto" w:fill="EFEFEF"/>
                  <w:tcMar>
                    <w:top w:w="45" w:type="dxa"/>
                    <w:left w:w="90" w:type="dxa"/>
                    <w:bottom w:w="45" w:type="dxa"/>
                    <w:right w:w="90" w:type="dxa"/>
                  </w:tcMar>
                  <w:vAlign w:val="center"/>
                  <w:hideMark/>
                </w:tcPr>
                <w:p w14:paraId="27F541E0"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(15.1)</w:t>
                  </w:r>
                </w:p>
              </w:tc>
              <w:tc>
                <w:tcPr>
                  <w:tcW w:w="0" w:type="auto"/>
                  <w:shd w:val="clear" w:color="auto" w:fill="EFEFEF"/>
                  <w:tcMar>
                    <w:top w:w="45" w:type="dxa"/>
                    <w:left w:w="90" w:type="dxa"/>
                    <w:bottom w:w="45" w:type="dxa"/>
                    <w:right w:w="90" w:type="dxa"/>
                  </w:tcMar>
                  <w:vAlign w:val="center"/>
                  <w:hideMark/>
                </w:tcPr>
                <w:p w14:paraId="06ECF32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(14.2)</w:t>
                  </w:r>
                </w:p>
              </w:tc>
              <w:tc>
                <w:tcPr>
                  <w:tcW w:w="0" w:type="auto"/>
                  <w:shd w:val="clear" w:color="auto" w:fill="EFEFEF"/>
                  <w:tcMar>
                    <w:top w:w="45" w:type="dxa"/>
                    <w:left w:w="90" w:type="dxa"/>
                    <w:bottom w:w="45" w:type="dxa"/>
                    <w:right w:w="90" w:type="dxa"/>
                  </w:tcMar>
                  <w:vAlign w:val="center"/>
                  <w:hideMark/>
                </w:tcPr>
                <w:p w14:paraId="4B393BFE"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(8.8)</w:t>
                  </w:r>
                </w:p>
              </w:tc>
              <w:tc>
                <w:tcPr>
                  <w:tcW w:w="0" w:type="auto"/>
                  <w:shd w:val="clear" w:color="auto" w:fill="EFEFEF"/>
                  <w:tcMar>
                    <w:top w:w="45" w:type="dxa"/>
                    <w:left w:w="90" w:type="dxa"/>
                    <w:bottom w:w="45" w:type="dxa"/>
                    <w:right w:w="90" w:type="dxa"/>
                  </w:tcMar>
                  <w:vAlign w:val="center"/>
                  <w:hideMark/>
                </w:tcPr>
                <w:p w14:paraId="6DBF5FC7"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(8.1)</w:t>
                  </w:r>
                </w:p>
              </w:tc>
              <w:tc>
                <w:tcPr>
                  <w:tcW w:w="0" w:type="auto"/>
                  <w:shd w:val="clear" w:color="auto" w:fill="EFEFEF"/>
                  <w:tcMar>
                    <w:top w:w="45" w:type="dxa"/>
                    <w:left w:w="90" w:type="dxa"/>
                    <w:bottom w:w="45" w:type="dxa"/>
                    <w:right w:w="90" w:type="dxa"/>
                  </w:tcMar>
                  <w:vAlign w:val="center"/>
                  <w:hideMark/>
                </w:tcPr>
                <w:p w14:paraId="61CA53B2"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(11.1)</w:t>
                  </w:r>
                </w:p>
              </w:tc>
              <w:tc>
                <w:tcPr>
                  <w:tcW w:w="0" w:type="auto"/>
                  <w:shd w:val="clear" w:color="auto" w:fill="EFEFEF"/>
                  <w:tcMar>
                    <w:top w:w="45" w:type="dxa"/>
                    <w:left w:w="90" w:type="dxa"/>
                    <w:bottom w:w="45" w:type="dxa"/>
                    <w:right w:w="90" w:type="dxa"/>
                  </w:tcMar>
                  <w:vAlign w:val="center"/>
                  <w:hideMark/>
                </w:tcPr>
                <w:p w14:paraId="29F9BDFD"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(12.3)</w:t>
                  </w:r>
                </w:p>
              </w:tc>
              <w:tc>
                <w:tcPr>
                  <w:tcW w:w="0" w:type="auto"/>
                  <w:shd w:val="clear" w:color="auto" w:fill="EFEFEF"/>
                  <w:tcMar>
                    <w:top w:w="45" w:type="dxa"/>
                    <w:left w:w="90" w:type="dxa"/>
                    <w:bottom w:w="45" w:type="dxa"/>
                    <w:right w:w="90" w:type="dxa"/>
                  </w:tcMar>
                  <w:vAlign w:val="center"/>
                  <w:hideMark/>
                </w:tcPr>
                <w:p w14:paraId="6CFA6315"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(11.4)</w:t>
                  </w:r>
                </w:p>
              </w:tc>
              <w:tc>
                <w:tcPr>
                  <w:tcW w:w="0" w:type="auto"/>
                  <w:shd w:val="clear" w:color="auto" w:fill="EFEFEF"/>
                  <w:tcMar>
                    <w:top w:w="45" w:type="dxa"/>
                    <w:left w:w="90" w:type="dxa"/>
                    <w:bottom w:w="45" w:type="dxa"/>
                    <w:right w:w="90" w:type="dxa"/>
                  </w:tcMar>
                  <w:vAlign w:val="center"/>
                  <w:hideMark/>
                </w:tcPr>
                <w:p w14:paraId="5CB8041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(11.9)</w:t>
                  </w:r>
                </w:p>
              </w:tc>
              <w:tc>
                <w:tcPr>
                  <w:tcW w:w="0" w:type="auto"/>
                  <w:shd w:val="clear" w:color="auto" w:fill="EFEFEF"/>
                  <w:tcMar>
                    <w:top w:w="45" w:type="dxa"/>
                    <w:left w:w="90" w:type="dxa"/>
                    <w:bottom w:w="45" w:type="dxa"/>
                    <w:right w:w="90" w:type="dxa"/>
                  </w:tcMar>
                  <w:vAlign w:val="center"/>
                  <w:hideMark/>
                </w:tcPr>
                <w:p w14:paraId="1A8253CE"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(12.7)</w:t>
                  </w:r>
                </w:p>
              </w:tc>
              <w:tc>
                <w:tcPr>
                  <w:tcW w:w="0" w:type="auto"/>
                  <w:shd w:val="clear" w:color="auto" w:fill="EFEFEF"/>
                  <w:vAlign w:val="center"/>
                  <w:hideMark/>
                </w:tcPr>
                <w:p w14:paraId="14D5D111"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69C23AB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B543C0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98FAA7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78A78F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6501D6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A85120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E11319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4A85DA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A1D837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948739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B877D7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7E5F42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BD3A06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0BC95E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DCEE77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5930E3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594EDC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D71F18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74BE83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619535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49EE8A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F50236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06B5DB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1F6346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D44485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F98853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93C63E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CD1809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C3EFB5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73E2F2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7A485A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DA8030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189EA1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2E5F1E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A7D452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2D342D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DB7EFC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476453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84A10F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C7ABB1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B681A8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3CE773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2C098F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1B89AE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21BC76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EBE3E7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37053D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74C764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B627DA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C7B2CC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09952919" w14:textId="77777777">
              <w:trPr>
                <w:tblCellSpacing w:w="0" w:type="dxa"/>
              </w:trPr>
              <w:tc>
                <w:tcPr>
                  <w:tcW w:w="0" w:type="auto"/>
                  <w:tcMar>
                    <w:top w:w="45" w:type="dxa"/>
                    <w:left w:w="90" w:type="dxa"/>
                    <w:bottom w:w="45" w:type="dxa"/>
                    <w:right w:w="90" w:type="dxa"/>
                  </w:tcMar>
                  <w:vAlign w:val="center"/>
                  <w:hideMark/>
                </w:tcPr>
                <w:p w14:paraId="5E8BD1D2"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CARs/GDP</w:t>
                  </w:r>
                </w:p>
              </w:tc>
              <w:tc>
                <w:tcPr>
                  <w:tcW w:w="0" w:type="auto"/>
                  <w:tcMar>
                    <w:top w:w="45" w:type="dxa"/>
                    <w:left w:w="90" w:type="dxa"/>
                    <w:bottom w:w="45" w:type="dxa"/>
                    <w:right w:w="90" w:type="dxa"/>
                  </w:tcMar>
                  <w:vAlign w:val="center"/>
                  <w:hideMark/>
                </w:tcPr>
                <w:p w14:paraId="34FD3DA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32.8 </w:t>
                  </w:r>
                </w:p>
              </w:tc>
              <w:tc>
                <w:tcPr>
                  <w:tcW w:w="0" w:type="auto"/>
                  <w:tcMar>
                    <w:top w:w="45" w:type="dxa"/>
                    <w:left w:w="90" w:type="dxa"/>
                    <w:bottom w:w="45" w:type="dxa"/>
                    <w:right w:w="90" w:type="dxa"/>
                  </w:tcMar>
                  <w:vAlign w:val="center"/>
                  <w:hideMark/>
                </w:tcPr>
                <w:p w14:paraId="7232293E"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33.6 </w:t>
                  </w:r>
                </w:p>
              </w:tc>
              <w:tc>
                <w:tcPr>
                  <w:tcW w:w="0" w:type="auto"/>
                  <w:tcMar>
                    <w:top w:w="45" w:type="dxa"/>
                    <w:left w:w="90" w:type="dxa"/>
                    <w:bottom w:w="45" w:type="dxa"/>
                    <w:right w:w="90" w:type="dxa"/>
                  </w:tcMar>
                  <w:vAlign w:val="center"/>
                  <w:hideMark/>
                </w:tcPr>
                <w:p w14:paraId="096534F9"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32.6 </w:t>
                  </w:r>
                </w:p>
              </w:tc>
              <w:tc>
                <w:tcPr>
                  <w:tcW w:w="0" w:type="auto"/>
                  <w:tcMar>
                    <w:top w:w="45" w:type="dxa"/>
                    <w:left w:w="90" w:type="dxa"/>
                    <w:bottom w:w="45" w:type="dxa"/>
                    <w:right w:w="90" w:type="dxa"/>
                  </w:tcMar>
                  <w:vAlign w:val="center"/>
                  <w:hideMark/>
                </w:tcPr>
                <w:p w14:paraId="0AADFB45"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32.6 </w:t>
                  </w:r>
                </w:p>
              </w:tc>
              <w:tc>
                <w:tcPr>
                  <w:tcW w:w="0" w:type="auto"/>
                  <w:tcMar>
                    <w:top w:w="45" w:type="dxa"/>
                    <w:left w:w="90" w:type="dxa"/>
                    <w:bottom w:w="45" w:type="dxa"/>
                    <w:right w:w="90" w:type="dxa"/>
                  </w:tcMar>
                  <w:vAlign w:val="center"/>
                  <w:hideMark/>
                </w:tcPr>
                <w:p w14:paraId="4F8D2C2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31.4 </w:t>
                  </w:r>
                </w:p>
              </w:tc>
              <w:tc>
                <w:tcPr>
                  <w:tcW w:w="0" w:type="auto"/>
                  <w:tcMar>
                    <w:top w:w="45" w:type="dxa"/>
                    <w:left w:w="90" w:type="dxa"/>
                    <w:bottom w:w="45" w:type="dxa"/>
                    <w:right w:w="90" w:type="dxa"/>
                  </w:tcMar>
                  <w:vAlign w:val="center"/>
                  <w:hideMark/>
                </w:tcPr>
                <w:p w14:paraId="75E2D250"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31.9 </w:t>
                  </w:r>
                </w:p>
              </w:tc>
              <w:tc>
                <w:tcPr>
                  <w:tcW w:w="0" w:type="auto"/>
                  <w:tcMar>
                    <w:top w:w="45" w:type="dxa"/>
                    <w:left w:w="90" w:type="dxa"/>
                    <w:bottom w:w="45" w:type="dxa"/>
                    <w:right w:w="90" w:type="dxa"/>
                  </w:tcMar>
                  <w:vAlign w:val="center"/>
                  <w:hideMark/>
                </w:tcPr>
                <w:p w14:paraId="19AB4F9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31.8 </w:t>
                  </w:r>
                </w:p>
              </w:tc>
              <w:tc>
                <w:tcPr>
                  <w:tcW w:w="0" w:type="auto"/>
                  <w:tcMar>
                    <w:top w:w="45" w:type="dxa"/>
                    <w:left w:w="90" w:type="dxa"/>
                    <w:bottom w:w="45" w:type="dxa"/>
                    <w:right w:w="90" w:type="dxa"/>
                  </w:tcMar>
                  <w:vAlign w:val="center"/>
                  <w:hideMark/>
                </w:tcPr>
                <w:p w14:paraId="5C18DF2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32.1 </w:t>
                  </w:r>
                </w:p>
              </w:tc>
              <w:tc>
                <w:tcPr>
                  <w:tcW w:w="0" w:type="auto"/>
                  <w:tcMar>
                    <w:top w:w="45" w:type="dxa"/>
                    <w:left w:w="90" w:type="dxa"/>
                    <w:bottom w:w="45" w:type="dxa"/>
                    <w:right w:w="90" w:type="dxa"/>
                  </w:tcMar>
                  <w:vAlign w:val="center"/>
                  <w:hideMark/>
                </w:tcPr>
                <w:p w14:paraId="41365EDF"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32.1 </w:t>
                  </w:r>
                </w:p>
              </w:tc>
              <w:tc>
                <w:tcPr>
                  <w:tcW w:w="0" w:type="auto"/>
                  <w:tcMar>
                    <w:top w:w="45" w:type="dxa"/>
                    <w:left w:w="90" w:type="dxa"/>
                    <w:bottom w:w="45" w:type="dxa"/>
                    <w:right w:w="90" w:type="dxa"/>
                  </w:tcMar>
                  <w:vAlign w:val="center"/>
                  <w:hideMark/>
                </w:tcPr>
                <w:p w14:paraId="5DE25A37"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32.1 </w:t>
                  </w:r>
                </w:p>
              </w:tc>
              <w:tc>
                <w:tcPr>
                  <w:tcW w:w="0" w:type="auto"/>
                  <w:vAlign w:val="center"/>
                  <w:hideMark/>
                </w:tcPr>
                <w:p w14:paraId="4FABDB94"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0F13905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C9414D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7F07CC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FEEF3A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D06D51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A2AAC4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21EF09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80176F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B3D1FD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2FC6E7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92613B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4CEF01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1DDFE2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C6ABB9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5AB388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4A4F82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7D19B8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F4796C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87128B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834B49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900440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A3F2F4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505124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E9C02A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21E324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B7BD2C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852790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EFA061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8C8868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FDEEC7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623A82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0F73FE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85B694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5E33D0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9AA537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65194E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2CA98D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155728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6176E6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BF3123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70F065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674596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896BE0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A04E4E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8CDCA3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9D322E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3EED4F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C6D6BB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CCB013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2FB310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29C34A41" w14:textId="77777777">
              <w:trPr>
                <w:tblCellSpacing w:w="0" w:type="dxa"/>
              </w:trPr>
              <w:tc>
                <w:tcPr>
                  <w:tcW w:w="0" w:type="auto"/>
                  <w:shd w:val="clear" w:color="auto" w:fill="EFEFEF"/>
                  <w:tcMar>
                    <w:top w:w="45" w:type="dxa"/>
                    <w:left w:w="90" w:type="dxa"/>
                    <w:bottom w:w="45" w:type="dxa"/>
                    <w:right w:w="90" w:type="dxa"/>
                  </w:tcMar>
                  <w:vAlign w:val="center"/>
                  <w:hideMark/>
                </w:tcPr>
                <w:p w14:paraId="3A565D1A"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Trade balance/GDP</w:t>
                  </w:r>
                </w:p>
              </w:tc>
              <w:tc>
                <w:tcPr>
                  <w:tcW w:w="0" w:type="auto"/>
                  <w:shd w:val="clear" w:color="auto" w:fill="EFEFEF"/>
                  <w:tcMar>
                    <w:top w:w="45" w:type="dxa"/>
                    <w:left w:w="90" w:type="dxa"/>
                    <w:bottom w:w="45" w:type="dxa"/>
                    <w:right w:w="90" w:type="dxa"/>
                  </w:tcMar>
                  <w:vAlign w:val="center"/>
                  <w:hideMark/>
                </w:tcPr>
                <w:p w14:paraId="1E3E910E"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(2.0)</w:t>
                  </w:r>
                </w:p>
              </w:tc>
              <w:tc>
                <w:tcPr>
                  <w:tcW w:w="0" w:type="auto"/>
                  <w:shd w:val="clear" w:color="auto" w:fill="EFEFEF"/>
                  <w:tcMar>
                    <w:top w:w="45" w:type="dxa"/>
                    <w:left w:w="90" w:type="dxa"/>
                    <w:bottom w:w="45" w:type="dxa"/>
                    <w:right w:w="90" w:type="dxa"/>
                  </w:tcMar>
                  <w:vAlign w:val="center"/>
                  <w:hideMark/>
                </w:tcPr>
                <w:p w14:paraId="614F7B0F"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(1.4)</w:t>
                  </w:r>
                </w:p>
              </w:tc>
              <w:tc>
                <w:tcPr>
                  <w:tcW w:w="0" w:type="auto"/>
                  <w:shd w:val="clear" w:color="auto" w:fill="EFEFEF"/>
                  <w:tcMar>
                    <w:top w:w="45" w:type="dxa"/>
                    <w:left w:w="90" w:type="dxa"/>
                    <w:bottom w:w="45" w:type="dxa"/>
                    <w:right w:w="90" w:type="dxa"/>
                  </w:tcMar>
                  <w:vAlign w:val="center"/>
                  <w:hideMark/>
                </w:tcPr>
                <w:p w14:paraId="4130D86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(1.2)</w:t>
                  </w:r>
                </w:p>
              </w:tc>
              <w:tc>
                <w:tcPr>
                  <w:tcW w:w="0" w:type="auto"/>
                  <w:shd w:val="clear" w:color="auto" w:fill="EFEFEF"/>
                  <w:tcMar>
                    <w:top w:w="45" w:type="dxa"/>
                    <w:left w:w="90" w:type="dxa"/>
                    <w:bottom w:w="45" w:type="dxa"/>
                    <w:right w:w="90" w:type="dxa"/>
                  </w:tcMar>
                  <w:vAlign w:val="center"/>
                  <w:hideMark/>
                </w:tcPr>
                <w:p w14:paraId="09EA94C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0.7 </w:t>
                  </w:r>
                </w:p>
              </w:tc>
              <w:tc>
                <w:tcPr>
                  <w:tcW w:w="0" w:type="auto"/>
                  <w:shd w:val="clear" w:color="auto" w:fill="EFEFEF"/>
                  <w:tcMar>
                    <w:top w:w="45" w:type="dxa"/>
                    <w:left w:w="90" w:type="dxa"/>
                    <w:bottom w:w="45" w:type="dxa"/>
                    <w:right w:w="90" w:type="dxa"/>
                  </w:tcMar>
                  <w:vAlign w:val="center"/>
                  <w:hideMark/>
                </w:tcPr>
                <w:p w14:paraId="07595F79"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1.4 </w:t>
                  </w:r>
                </w:p>
              </w:tc>
              <w:tc>
                <w:tcPr>
                  <w:tcW w:w="0" w:type="auto"/>
                  <w:shd w:val="clear" w:color="auto" w:fill="EFEFEF"/>
                  <w:tcMar>
                    <w:top w:w="45" w:type="dxa"/>
                    <w:left w:w="90" w:type="dxa"/>
                    <w:bottom w:w="45" w:type="dxa"/>
                    <w:right w:w="90" w:type="dxa"/>
                  </w:tcMar>
                  <w:vAlign w:val="center"/>
                  <w:hideMark/>
                </w:tcPr>
                <w:p w14:paraId="0AB050A5"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0.5 </w:t>
                  </w:r>
                </w:p>
              </w:tc>
              <w:tc>
                <w:tcPr>
                  <w:tcW w:w="0" w:type="auto"/>
                  <w:shd w:val="clear" w:color="auto" w:fill="EFEFEF"/>
                  <w:tcMar>
                    <w:top w:w="45" w:type="dxa"/>
                    <w:left w:w="90" w:type="dxa"/>
                    <w:bottom w:w="45" w:type="dxa"/>
                    <w:right w:w="90" w:type="dxa"/>
                  </w:tcMar>
                  <w:vAlign w:val="center"/>
                  <w:hideMark/>
                </w:tcPr>
                <w:p w14:paraId="29127973"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0.4 </w:t>
                  </w:r>
                </w:p>
              </w:tc>
              <w:tc>
                <w:tcPr>
                  <w:tcW w:w="0" w:type="auto"/>
                  <w:shd w:val="clear" w:color="auto" w:fill="EFEFEF"/>
                  <w:tcMar>
                    <w:top w:w="45" w:type="dxa"/>
                    <w:left w:w="90" w:type="dxa"/>
                    <w:bottom w:w="45" w:type="dxa"/>
                    <w:right w:w="90" w:type="dxa"/>
                  </w:tcMar>
                  <w:vAlign w:val="center"/>
                  <w:hideMark/>
                </w:tcPr>
                <w:p w14:paraId="44C9EA6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0.7 </w:t>
                  </w:r>
                </w:p>
              </w:tc>
              <w:tc>
                <w:tcPr>
                  <w:tcW w:w="0" w:type="auto"/>
                  <w:shd w:val="clear" w:color="auto" w:fill="EFEFEF"/>
                  <w:tcMar>
                    <w:top w:w="45" w:type="dxa"/>
                    <w:left w:w="90" w:type="dxa"/>
                    <w:bottom w:w="45" w:type="dxa"/>
                    <w:right w:w="90" w:type="dxa"/>
                  </w:tcMar>
                  <w:vAlign w:val="center"/>
                  <w:hideMark/>
                </w:tcPr>
                <w:p w14:paraId="113218AF"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0.7 </w:t>
                  </w:r>
                </w:p>
              </w:tc>
              <w:tc>
                <w:tcPr>
                  <w:tcW w:w="0" w:type="auto"/>
                  <w:shd w:val="clear" w:color="auto" w:fill="EFEFEF"/>
                  <w:tcMar>
                    <w:top w:w="45" w:type="dxa"/>
                    <w:left w:w="90" w:type="dxa"/>
                    <w:bottom w:w="45" w:type="dxa"/>
                    <w:right w:w="90" w:type="dxa"/>
                  </w:tcMar>
                  <w:vAlign w:val="center"/>
                  <w:hideMark/>
                </w:tcPr>
                <w:p w14:paraId="49E9ABF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0.5 </w:t>
                  </w:r>
                </w:p>
              </w:tc>
              <w:tc>
                <w:tcPr>
                  <w:tcW w:w="0" w:type="auto"/>
                  <w:shd w:val="clear" w:color="auto" w:fill="EFEFEF"/>
                  <w:vAlign w:val="center"/>
                  <w:hideMark/>
                </w:tcPr>
                <w:p w14:paraId="24762980"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6422CB0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5D36F8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B69AF4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075596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0F4C4B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92BDF6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3261F0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8801FC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64F50B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BD90E6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10AFBB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D672A9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9DABD6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7A0CF5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F3F1BE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31EBBA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D11887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4AD7A7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E41539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B30D8E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BFE7C0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CE8C50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8DC59A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868B5C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412B07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C09AEE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A87F20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C5C675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FF5069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60A991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FA0A14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059413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B28D6F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8CAB93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430286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68AE4D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978E0E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D58892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892A6C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D1646E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AAA5DB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4D9000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3E202C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090582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C9329F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4BE838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BC7FFB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2A937F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0D4D29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F9F350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2DD5D7AE" w14:textId="77777777">
              <w:trPr>
                <w:tblCellSpacing w:w="0" w:type="dxa"/>
              </w:trPr>
              <w:tc>
                <w:tcPr>
                  <w:tcW w:w="0" w:type="auto"/>
                  <w:tcMar>
                    <w:top w:w="45" w:type="dxa"/>
                    <w:left w:w="90" w:type="dxa"/>
                    <w:bottom w:w="45" w:type="dxa"/>
                    <w:right w:w="90" w:type="dxa"/>
                  </w:tcMar>
                  <w:vAlign w:val="center"/>
                  <w:hideMark/>
                </w:tcPr>
                <w:p w14:paraId="4404763B"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Net FDI/GDP</w:t>
                  </w:r>
                </w:p>
              </w:tc>
              <w:tc>
                <w:tcPr>
                  <w:tcW w:w="0" w:type="auto"/>
                  <w:tcMar>
                    <w:top w:w="45" w:type="dxa"/>
                    <w:left w:w="90" w:type="dxa"/>
                    <w:bottom w:w="45" w:type="dxa"/>
                    <w:right w:w="90" w:type="dxa"/>
                  </w:tcMar>
                  <w:vAlign w:val="center"/>
                  <w:hideMark/>
                </w:tcPr>
                <w:p w14:paraId="7A388E5F"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0.5 </w:t>
                  </w:r>
                </w:p>
              </w:tc>
              <w:tc>
                <w:tcPr>
                  <w:tcW w:w="0" w:type="auto"/>
                  <w:tcMar>
                    <w:top w:w="45" w:type="dxa"/>
                    <w:left w:w="90" w:type="dxa"/>
                    <w:bottom w:w="45" w:type="dxa"/>
                    <w:right w:w="90" w:type="dxa"/>
                  </w:tcMar>
                  <w:vAlign w:val="center"/>
                  <w:hideMark/>
                </w:tcPr>
                <w:p w14:paraId="66BAC3A7"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(0.5)</w:t>
                  </w:r>
                </w:p>
              </w:tc>
              <w:tc>
                <w:tcPr>
                  <w:tcW w:w="0" w:type="auto"/>
                  <w:tcMar>
                    <w:top w:w="45" w:type="dxa"/>
                    <w:left w:w="90" w:type="dxa"/>
                    <w:bottom w:w="45" w:type="dxa"/>
                    <w:right w:w="90" w:type="dxa"/>
                  </w:tcMar>
                  <w:vAlign w:val="center"/>
                  <w:hideMark/>
                </w:tcPr>
                <w:p w14:paraId="25F0C24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(1.3)</w:t>
                  </w:r>
                </w:p>
              </w:tc>
              <w:tc>
                <w:tcPr>
                  <w:tcW w:w="0" w:type="auto"/>
                  <w:tcMar>
                    <w:top w:w="45" w:type="dxa"/>
                    <w:left w:w="90" w:type="dxa"/>
                    <w:bottom w:w="45" w:type="dxa"/>
                    <w:right w:w="90" w:type="dxa"/>
                  </w:tcMar>
                  <w:vAlign w:val="center"/>
                  <w:hideMark/>
                </w:tcPr>
                <w:p w14:paraId="205AB547"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(0.8)</w:t>
                  </w:r>
                </w:p>
              </w:tc>
              <w:tc>
                <w:tcPr>
                  <w:tcW w:w="0" w:type="auto"/>
                  <w:tcMar>
                    <w:top w:w="45" w:type="dxa"/>
                    <w:left w:w="90" w:type="dxa"/>
                    <w:bottom w:w="45" w:type="dxa"/>
                    <w:right w:w="90" w:type="dxa"/>
                  </w:tcMar>
                  <w:vAlign w:val="center"/>
                  <w:hideMark/>
                </w:tcPr>
                <w:p w14:paraId="52E92C33"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(1.5)</w:t>
                  </w:r>
                </w:p>
              </w:tc>
              <w:tc>
                <w:tcPr>
                  <w:tcW w:w="0" w:type="auto"/>
                  <w:tcMar>
                    <w:top w:w="45" w:type="dxa"/>
                    <w:left w:w="90" w:type="dxa"/>
                    <w:bottom w:w="45" w:type="dxa"/>
                    <w:right w:w="90" w:type="dxa"/>
                  </w:tcMar>
                  <w:vAlign w:val="center"/>
                  <w:hideMark/>
                </w:tcPr>
                <w:p w14:paraId="56517E5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0.2 </w:t>
                  </w:r>
                </w:p>
              </w:tc>
              <w:tc>
                <w:tcPr>
                  <w:tcW w:w="0" w:type="auto"/>
                  <w:tcMar>
                    <w:top w:w="45" w:type="dxa"/>
                    <w:left w:w="90" w:type="dxa"/>
                    <w:bottom w:w="45" w:type="dxa"/>
                    <w:right w:w="90" w:type="dxa"/>
                  </w:tcMar>
                  <w:vAlign w:val="center"/>
                  <w:hideMark/>
                </w:tcPr>
                <w:p w14:paraId="0F6892F8"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0.5 </w:t>
                  </w:r>
                </w:p>
              </w:tc>
              <w:tc>
                <w:tcPr>
                  <w:tcW w:w="0" w:type="auto"/>
                  <w:tcMar>
                    <w:top w:w="45" w:type="dxa"/>
                    <w:left w:w="90" w:type="dxa"/>
                    <w:bottom w:w="45" w:type="dxa"/>
                    <w:right w:w="90" w:type="dxa"/>
                  </w:tcMar>
                  <w:vAlign w:val="center"/>
                  <w:hideMark/>
                </w:tcPr>
                <w:p w14:paraId="39DAF2E2"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0.0 </w:t>
                  </w:r>
                </w:p>
              </w:tc>
              <w:tc>
                <w:tcPr>
                  <w:tcW w:w="0" w:type="auto"/>
                  <w:tcMar>
                    <w:top w:w="45" w:type="dxa"/>
                    <w:left w:w="90" w:type="dxa"/>
                    <w:bottom w:w="45" w:type="dxa"/>
                    <w:right w:w="90" w:type="dxa"/>
                  </w:tcMar>
                  <w:vAlign w:val="center"/>
                  <w:hideMark/>
                </w:tcPr>
                <w:p w14:paraId="1FA4AA2F"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0.2 </w:t>
                  </w:r>
                </w:p>
              </w:tc>
              <w:tc>
                <w:tcPr>
                  <w:tcW w:w="0" w:type="auto"/>
                  <w:tcMar>
                    <w:top w:w="45" w:type="dxa"/>
                    <w:left w:w="90" w:type="dxa"/>
                    <w:bottom w:w="45" w:type="dxa"/>
                    <w:right w:w="90" w:type="dxa"/>
                  </w:tcMar>
                  <w:vAlign w:val="center"/>
                  <w:hideMark/>
                </w:tcPr>
                <w:p w14:paraId="0B219E00"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0.5 </w:t>
                  </w:r>
                </w:p>
              </w:tc>
              <w:tc>
                <w:tcPr>
                  <w:tcW w:w="0" w:type="auto"/>
                  <w:vAlign w:val="center"/>
                  <w:hideMark/>
                </w:tcPr>
                <w:p w14:paraId="23B72012"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4356239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AA1060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E719CD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79A39C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2A722C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0EE92A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B7BC58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656088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D93567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868675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850A41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8B2A32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82AB30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92266B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7CC22A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D5AFB4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667722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992BFB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DD0E9B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2A36B2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2525DE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CE9639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09EDF0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9DE6EA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547BA1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BBB9BE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7592E7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3581F2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6B04DE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4A8460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692F7C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F38251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7F4E6F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94D36E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23FCCA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49A035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38026E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661897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6E4803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718795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0F45FB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A07D5A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99C450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B1103D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6CC66C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A90CCA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008A22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6425AF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AA8553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6D96A7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1448BD8C" w14:textId="77777777">
              <w:trPr>
                <w:tblCellSpacing w:w="0" w:type="dxa"/>
              </w:trPr>
              <w:tc>
                <w:tcPr>
                  <w:tcW w:w="0" w:type="auto"/>
                  <w:shd w:val="clear" w:color="auto" w:fill="EFEFEF"/>
                  <w:tcMar>
                    <w:top w:w="45" w:type="dxa"/>
                    <w:left w:w="90" w:type="dxa"/>
                    <w:bottom w:w="45" w:type="dxa"/>
                    <w:right w:w="90" w:type="dxa"/>
                  </w:tcMar>
                  <w:vAlign w:val="center"/>
                  <w:hideMark/>
                </w:tcPr>
                <w:p w14:paraId="7FC00B7E"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Net portfolio equity inflow/GDP</w:t>
                  </w:r>
                </w:p>
              </w:tc>
              <w:tc>
                <w:tcPr>
                  <w:tcW w:w="0" w:type="auto"/>
                  <w:shd w:val="clear" w:color="auto" w:fill="EFEFEF"/>
                  <w:tcMar>
                    <w:top w:w="45" w:type="dxa"/>
                    <w:left w:w="90" w:type="dxa"/>
                    <w:bottom w:w="45" w:type="dxa"/>
                    <w:right w:w="90" w:type="dxa"/>
                  </w:tcMar>
                  <w:vAlign w:val="center"/>
                  <w:hideMark/>
                </w:tcPr>
                <w:p w14:paraId="0585E673"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1.3 </w:t>
                  </w:r>
                </w:p>
              </w:tc>
              <w:tc>
                <w:tcPr>
                  <w:tcW w:w="0" w:type="auto"/>
                  <w:shd w:val="clear" w:color="auto" w:fill="EFEFEF"/>
                  <w:tcMar>
                    <w:top w:w="45" w:type="dxa"/>
                    <w:left w:w="90" w:type="dxa"/>
                    <w:bottom w:w="45" w:type="dxa"/>
                    <w:right w:w="90" w:type="dxa"/>
                  </w:tcMar>
                  <w:vAlign w:val="center"/>
                  <w:hideMark/>
                </w:tcPr>
                <w:p w14:paraId="7CE67F0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2.9 </w:t>
                  </w:r>
                </w:p>
              </w:tc>
              <w:tc>
                <w:tcPr>
                  <w:tcW w:w="0" w:type="auto"/>
                  <w:shd w:val="clear" w:color="auto" w:fill="EFEFEF"/>
                  <w:tcMar>
                    <w:top w:w="45" w:type="dxa"/>
                    <w:left w:w="90" w:type="dxa"/>
                    <w:bottom w:w="45" w:type="dxa"/>
                    <w:right w:w="90" w:type="dxa"/>
                  </w:tcMar>
                  <w:vAlign w:val="center"/>
                  <w:hideMark/>
                </w:tcPr>
                <w:p w14:paraId="31A4F52F"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3.1 </w:t>
                  </w:r>
                </w:p>
              </w:tc>
              <w:tc>
                <w:tcPr>
                  <w:tcW w:w="0" w:type="auto"/>
                  <w:shd w:val="clear" w:color="auto" w:fill="EFEFEF"/>
                  <w:tcMar>
                    <w:top w:w="45" w:type="dxa"/>
                    <w:left w:w="90" w:type="dxa"/>
                    <w:bottom w:w="45" w:type="dxa"/>
                    <w:right w:w="90" w:type="dxa"/>
                  </w:tcMar>
                  <w:vAlign w:val="center"/>
                  <w:hideMark/>
                </w:tcPr>
                <w:p w14:paraId="205ECF70"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3.1 </w:t>
                  </w:r>
                </w:p>
              </w:tc>
              <w:tc>
                <w:tcPr>
                  <w:tcW w:w="0" w:type="auto"/>
                  <w:shd w:val="clear" w:color="auto" w:fill="EFEFEF"/>
                  <w:tcMar>
                    <w:top w:w="45" w:type="dxa"/>
                    <w:left w:w="90" w:type="dxa"/>
                    <w:bottom w:w="45" w:type="dxa"/>
                    <w:right w:w="90" w:type="dxa"/>
                  </w:tcMar>
                  <w:vAlign w:val="center"/>
                  <w:hideMark/>
                </w:tcPr>
                <w:p w14:paraId="7048BA7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1.6 </w:t>
                  </w:r>
                </w:p>
              </w:tc>
              <w:tc>
                <w:tcPr>
                  <w:tcW w:w="0" w:type="auto"/>
                  <w:shd w:val="clear" w:color="auto" w:fill="EFEFEF"/>
                  <w:tcMar>
                    <w:top w:w="45" w:type="dxa"/>
                    <w:left w:w="90" w:type="dxa"/>
                    <w:bottom w:w="45" w:type="dxa"/>
                    <w:right w:w="90" w:type="dxa"/>
                  </w:tcMar>
                  <w:vAlign w:val="center"/>
                  <w:hideMark/>
                </w:tcPr>
                <w:p w14:paraId="3126BC67"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(0.1)</w:t>
                  </w:r>
                </w:p>
              </w:tc>
              <w:tc>
                <w:tcPr>
                  <w:tcW w:w="0" w:type="auto"/>
                  <w:shd w:val="clear" w:color="auto" w:fill="EFEFEF"/>
                  <w:tcMar>
                    <w:top w:w="45" w:type="dxa"/>
                    <w:left w:w="90" w:type="dxa"/>
                    <w:bottom w:w="45" w:type="dxa"/>
                    <w:right w:w="90" w:type="dxa"/>
                  </w:tcMar>
                  <w:vAlign w:val="center"/>
                  <w:hideMark/>
                </w:tcPr>
                <w:p w14:paraId="36168C6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1.0 </w:t>
                  </w:r>
                </w:p>
              </w:tc>
              <w:tc>
                <w:tcPr>
                  <w:tcW w:w="0" w:type="auto"/>
                  <w:shd w:val="clear" w:color="auto" w:fill="EFEFEF"/>
                  <w:tcMar>
                    <w:top w:w="45" w:type="dxa"/>
                    <w:left w:w="90" w:type="dxa"/>
                    <w:bottom w:w="45" w:type="dxa"/>
                    <w:right w:w="90" w:type="dxa"/>
                  </w:tcMar>
                  <w:vAlign w:val="center"/>
                  <w:hideMark/>
                </w:tcPr>
                <w:p w14:paraId="1A15A5E9"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1.5 </w:t>
                  </w:r>
                </w:p>
              </w:tc>
              <w:tc>
                <w:tcPr>
                  <w:tcW w:w="0" w:type="auto"/>
                  <w:shd w:val="clear" w:color="auto" w:fill="EFEFEF"/>
                  <w:tcMar>
                    <w:top w:w="45" w:type="dxa"/>
                    <w:left w:w="90" w:type="dxa"/>
                    <w:bottom w:w="45" w:type="dxa"/>
                    <w:right w:w="90" w:type="dxa"/>
                  </w:tcMar>
                  <w:vAlign w:val="center"/>
                  <w:hideMark/>
                </w:tcPr>
                <w:p w14:paraId="4B8AA898"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2.0 </w:t>
                  </w:r>
                </w:p>
              </w:tc>
              <w:tc>
                <w:tcPr>
                  <w:tcW w:w="0" w:type="auto"/>
                  <w:shd w:val="clear" w:color="auto" w:fill="EFEFEF"/>
                  <w:tcMar>
                    <w:top w:w="45" w:type="dxa"/>
                    <w:left w:w="90" w:type="dxa"/>
                    <w:bottom w:w="45" w:type="dxa"/>
                    <w:right w:w="90" w:type="dxa"/>
                  </w:tcMar>
                  <w:vAlign w:val="center"/>
                  <w:hideMark/>
                </w:tcPr>
                <w:p w14:paraId="2172BDF7"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2.5 </w:t>
                  </w:r>
                </w:p>
              </w:tc>
              <w:tc>
                <w:tcPr>
                  <w:tcW w:w="0" w:type="auto"/>
                  <w:shd w:val="clear" w:color="auto" w:fill="EFEFEF"/>
                  <w:vAlign w:val="center"/>
                  <w:hideMark/>
                </w:tcPr>
                <w:p w14:paraId="49EE720A"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5B99C42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506A97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BA014E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74E66C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5CA25C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719222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A41307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1ECA1A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E01DFB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8EFCF0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2E6738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DEA9AB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C3D6F4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BE32E7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579869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22DD52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3581CA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64F1AF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3C949D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C22C97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D96FC6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45E853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92866F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E03EEF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7F3921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6372DD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DE6ED5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F2B36A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7DBC88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5A7ED0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63D228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262479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F62699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D7A977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31235A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CA13E2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0D9588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D24D82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986209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99D56E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41D085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8D67CE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78173D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C45F07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22724F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2C26E8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817E7F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82BF42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941ACA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78A00A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4455D022" w14:textId="77777777">
              <w:trPr>
                <w:tblCellSpacing w:w="0" w:type="dxa"/>
              </w:trPr>
              <w:tc>
                <w:tcPr>
                  <w:tcW w:w="0" w:type="auto"/>
                  <w:tcMar>
                    <w:top w:w="45" w:type="dxa"/>
                    <w:left w:w="90" w:type="dxa"/>
                    <w:bottom w:w="45" w:type="dxa"/>
                    <w:right w:w="90" w:type="dxa"/>
                  </w:tcMar>
                  <w:vAlign w:val="center"/>
                  <w:hideMark/>
                </w:tcPr>
                <w:p w14:paraId="459C6F63"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Gross external financing needs/CARs plus usable reserves</w:t>
                  </w:r>
                </w:p>
              </w:tc>
              <w:tc>
                <w:tcPr>
                  <w:tcW w:w="0" w:type="auto"/>
                  <w:tcMar>
                    <w:top w:w="45" w:type="dxa"/>
                    <w:left w:w="90" w:type="dxa"/>
                    <w:bottom w:w="45" w:type="dxa"/>
                    <w:right w:w="90" w:type="dxa"/>
                  </w:tcMar>
                  <w:vAlign w:val="center"/>
                  <w:hideMark/>
                </w:tcPr>
                <w:p w14:paraId="1D6A0667"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109.4 </w:t>
                  </w:r>
                </w:p>
              </w:tc>
              <w:tc>
                <w:tcPr>
                  <w:tcW w:w="0" w:type="auto"/>
                  <w:tcMar>
                    <w:top w:w="45" w:type="dxa"/>
                    <w:left w:w="90" w:type="dxa"/>
                    <w:bottom w:w="45" w:type="dxa"/>
                    <w:right w:w="90" w:type="dxa"/>
                  </w:tcMar>
                  <w:vAlign w:val="center"/>
                  <w:hideMark/>
                </w:tcPr>
                <w:p w14:paraId="0784644E"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107.0 </w:t>
                  </w:r>
                </w:p>
              </w:tc>
              <w:tc>
                <w:tcPr>
                  <w:tcW w:w="0" w:type="auto"/>
                  <w:tcMar>
                    <w:top w:w="45" w:type="dxa"/>
                    <w:left w:w="90" w:type="dxa"/>
                    <w:bottom w:w="45" w:type="dxa"/>
                    <w:right w:w="90" w:type="dxa"/>
                  </w:tcMar>
                  <w:vAlign w:val="center"/>
                  <w:hideMark/>
                </w:tcPr>
                <w:p w14:paraId="7D08B15D"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110.9 </w:t>
                  </w:r>
                </w:p>
              </w:tc>
              <w:tc>
                <w:tcPr>
                  <w:tcW w:w="0" w:type="auto"/>
                  <w:tcMar>
                    <w:top w:w="45" w:type="dxa"/>
                    <w:left w:w="90" w:type="dxa"/>
                    <w:bottom w:w="45" w:type="dxa"/>
                    <w:right w:w="90" w:type="dxa"/>
                  </w:tcMar>
                  <w:vAlign w:val="center"/>
                  <w:hideMark/>
                </w:tcPr>
                <w:p w14:paraId="5189435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105.4 </w:t>
                  </w:r>
                </w:p>
              </w:tc>
              <w:tc>
                <w:tcPr>
                  <w:tcW w:w="0" w:type="auto"/>
                  <w:tcMar>
                    <w:top w:w="45" w:type="dxa"/>
                    <w:left w:w="90" w:type="dxa"/>
                    <w:bottom w:w="45" w:type="dxa"/>
                    <w:right w:w="90" w:type="dxa"/>
                  </w:tcMar>
                  <w:vAlign w:val="center"/>
                  <w:hideMark/>
                </w:tcPr>
                <w:p w14:paraId="19E9DC98"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104.3 </w:t>
                  </w:r>
                </w:p>
              </w:tc>
              <w:tc>
                <w:tcPr>
                  <w:tcW w:w="0" w:type="auto"/>
                  <w:tcMar>
                    <w:top w:w="45" w:type="dxa"/>
                    <w:left w:w="90" w:type="dxa"/>
                    <w:bottom w:w="45" w:type="dxa"/>
                    <w:right w:w="90" w:type="dxa"/>
                  </w:tcMar>
                  <w:vAlign w:val="center"/>
                  <w:hideMark/>
                </w:tcPr>
                <w:p w14:paraId="3BC0613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108.9 </w:t>
                  </w:r>
                </w:p>
              </w:tc>
              <w:tc>
                <w:tcPr>
                  <w:tcW w:w="0" w:type="auto"/>
                  <w:tcMar>
                    <w:top w:w="45" w:type="dxa"/>
                    <w:left w:w="90" w:type="dxa"/>
                    <w:bottom w:w="45" w:type="dxa"/>
                    <w:right w:w="90" w:type="dxa"/>
                  </w:tcMar>
                  <w:vAlign w:val="center"/>
                  <w:hideMark/>
                </w:tcPr>
                <w:p w14:paraId="5E5EB5C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110.9 </w:t>
                  </w:r>
                </w:p>
              </w:tc>
              <w:tc>
                <w:tcPr>
                  <w:tcW w:w="0" w:type="auto"/>
                  <w:tcMar>
                    <w:top w:w="45" w:type="dxa"/>
                    <w:left w:w="90" w:type="dxa"/>
                    <w:bottom w:w="45" w:type="dxa"/>
                    <w:right w:w="90" w:type="dxa"/>
                  </w:tcMar>
                  <w:vAlign w:val="center"/>
                  <w:hideMark/>
                </w:tcPr>
                <w:p w14:paraId="7270669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110.8 </w:t>
                  </w:r>
                </w:p>
              </w:tc>
              <w:tc>
                <w:tcPr>
                  <w:tcW w:w="0" w:type="auto"/>
                  <w:tcMar>
                    <w:top w:w="45" w:type="dxa"/>
                    <w:left w:w="90" w:type="dxa"/>
                    <w:bottom w:w="45" w:type="dxa"/>
                    <w:right w:w="90" w:type="dxa"/>
                  </w:tcMar>
                  <w:vAlign w:val="center"/>
                  <w:hideMark/>
                </w:tcPr>
                <w:p w14:paraId="5D1D6E4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112.8 </w:t>
                  </w:r>
                </w:p>
              </w:tc>
              <w:tc>
                <w:tcPr>
                  <w:tcW w:w="0" w:type="auto"/>
                  <w:tcMar>
                    <w:top w:w="45" w:type="dxa"/>
                    <w:left w:w="90" w:type="dxa"/>
                    <w:bottom w:w="45" w:type="dxa"/>
                    <w:right w:w="90" w:type="dxa"/>
                  </w:tcMar>
                  <w:vAlign w:val="center"/>
                  <w:hideMark/>
                </w:tcPr>
                <w:p w14:paraId="4D1C5A28"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114.8 </w:t>
                  </w:r>
                </w:p>
              </w:tc>
              <w:tc>
                <w:tcPr>
                  <w:tcW w:w="0" w:type="auto"/>
                  <w:vAlign w:val="center"/>
                  <w:hideMark/>
                </w:tcPr>
                <w:p w14:paraId="53BB8B7E"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5CE34E3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73D88D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EB6DA8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7E91DC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528BE8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722FDD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470FA0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D35692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50F483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6516FE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D3E73D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FEEDC2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981280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AE9564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49EE0E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E27610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7C2123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B41F60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C88B5A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3AE71D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650E25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8093DF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59BE6D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8F33DA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690824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0E21B5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D3F614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3847D2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CC1DAD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3F65C1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D38293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E90E4D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7A6D94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6E9565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0A275F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394523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C228E0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4B0578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C1B72F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417720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27D9A9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7A10B0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830891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907519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8D2678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ADA4CB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3BD8B1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98E4C0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306508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44C0B2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7EC64F56" w14:textId="77777777">
              <w:trPr>
                <w:tblCellSpacing w:w="0" w:type="dxa"/>
              </w:trPr>
              <w:tc>
                <w:tcPr>
                  <w:tcW w:w="0" w:type="auto"/>
                  <w:shd w:val="clear" w:color="auto" w:fill="EFEFEF"/>
                  <w:tcMar>
                    <w:top w:w="45" w:type="dxa"/>
                    <w:left w:w="90" w:type="dxa"/>
                    <w:bottom w:w="45" w:type="dxa"/>
                    <w:right w:w="90" w:type="dxa"/>
                  </w:tcMar>
                  <w:vAlign w:val="center"/>
                  <w:hideMark/>
                </w:tcPr>
                <w:p w14:paraId="2B1E7BD3"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Narrow net external debt/CARs</w:t>
                  </w:r>
                </w:p>
              </w:tc>
              <w:tc>
                <w:tcPr>
                  <w:tcW w:w="0" w:type="auto"/>
                  <w:shd w:val="clear" w:color="auto" w:fill="EFEFEF"/>
                  <w:tcMar>
                    <w:top w:w="45" w:type="dxa"/>
                    <w:left w:w="90" w:type="dxa"/>
                    <w:bottom w:w="45" w:type="dxa"/>
                    <w:right w:w="90" w:type="dxa"/>
                  </w:tcMar>
                  <w:vAlign w:val="center"/>
                  <w:hideMark/>
                </w:tcPr>
                <w:p w14:paraId="4B810E77"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9.6 </w:t>
                  </w:r>
                </w:p>
              </w:tc>
              <w:tc>
                <w:tcPr>
                  <w:tcW w:w="0" w:type="auto"/>
                  <w:shd w:val="clear" w:color="auto" w:fill="EFEFEF"/>
                  <w:tcMar>
                    <w:top w:w="45" w:type="dxa"/>
                    <w:left w:w="90" w:type="dxa"/>
                    <w:bottom w:w="45" w:type="dxa"/>
                    <w:right w:w="90" w:type="dxa"/>
                  </w:tcMar>
                  <w:vAlign w:val="center"/>
                  <w:hideMark/>
                </w:tcPr>
                <w:p w14:paraId="3114C9A4"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17.9 </w:t>
                  </w:r>
                </w:p>
              </w:tc>
              <w:tc>
                <w:tcPr>
                  <w:tcW w:w="0" w:type="auto"/>
                  <w:shd w:val="clear" w:color="auto" w:fill="EFEFEF"/>
                  <w:tcMar>
                    <w:top w:w="45" w:type="dxa"/>
                    <w:left w:w="90" w:type="dxa"/>
                    <w:bottom w:w="45" w:type="dxa"/>
                    <w:right w:w="90" w:type="dxa"/>
                  </w:tcMar>
                  <w:vAlign w:val="center"/>
                  <w:hideMark/>
                </w:tcPr>
                <w:p w14:paraId="05886D53"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8.4 </w:t>
                  </w:r>
                </w:p>
              </w:tc>
              <w:tc>
                <w:tcPr>
                  <w:tcW w:w="0" w:type="auto"/>
                  <w:shd w:val="clear" w:color="auto" w:fill="EFEFEF"/>
                  <w:tcMar>
                    <w:top w:w="45" w:type="dxa"/>
                    <w:left w:w="90" w:type="dxa"/>
                    <w:bottom w:w="45" w:type="dxa"/>
                    <w:right w:w="90" w:type="dxa"/>
                  </w:tcMar>
                  <w:vAlign w:val="center"/>
                  <w:hideMark/>
                </w:tcPr>
                <w:p w14:paraId="5DD6CD5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29.6 </w:t>
                  </w:r>
                </w:p>
              </w:tc>
              <w:tc>
                <w:tcPr>
                  <w:tcW w:w="0" w:type="auto"/>
                  <w:shd w:val="clear" w:color="auto" w:fill="EFEFEF"/>
                  <w:tcMar>
                    <w:top w:w="45" w:type="dxa"/>
                    <w:left w:w="90" w:type="dxa"/>
                    <w:bottom w:w="45" w:type="dxa"/>
                    <w:right w:w="90" w:type="dxa"/>
                  </w:tcMar>
                  <w:vAlign w:val="center"/>
                  <w:hideMark/>
                </w:tcPr>
                <w:p w14:paraId="14904153"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45.6 </w:t>
                  </w:r>
                </w:p>
              </w:tc>
              <w:tc>
                <w:tcPr>
                  <w:tcW w:w="0" w:type="auto"/>
                  <w:shd w:val="clear" w:color="auto" w:fill="EFEFEF"/>
                  <w:tcMar>
                    <w:top w:w="45" w:type="dxa"/>
                    <w:left w:w="90" w:type="dxa"/>
                    <w:bottom w:w="45" w:type="dxa"/>
                    <w:right w:w="90" w:type="dxa"/>
                  </w:tcMar>
                  <w:vAlign w:val="center"/>
                  <w:hideMark/>
                </w:tcPr>
                <w:p w14:paraId="7D26C1E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40.6 </w:t>
                  </w:r>
                </w:p>
              </w:tc>
              <w:tc>
                <w:tcPr>
                  <w:tcW w:w="0" w:type="auto"/>
                  <w:shd w:val="clear" w:color="auto" w:fill="EFEFEF"/>
                  <w:tcMar>
                    <w:top w:w="45" w:type="dxa"/>
                    <w:left w:w="90" w:type="dxa"/>
                    <w:bottom w:w="45" w:type="dxa"/>
                    <w:right w:w="90" w:type="dxa"/>
                  </w:tcMar>
                  <w:vAlign w:val="center"/>
                  <w:hideMark/>
                </w:tcPr>
                <w:p w14:paraId="52E98FF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49.0 </w:t>
                  </w:r>
                </w:p>
              </w:tc>
              <w:tc>
                <w:tcPr>
                  <w:tcW w:w="0" w:type="auto"/>
                  <w:shd w:val="clear" w:color="auto" w:fill="EFEFEF"/>
                  <w:tcMar>
                    <w:top w:w="45" w:type="dxa"/>
                    <w:left w:w="90" w:type="dxa"/>
                    <w:bottom w:w="45" w:type="dxa"/>
                    <w:right w:w="90" w:type="dxa"/>
                  </w:tcMar>
                  <w:vAlign w:val="center"/>
                  <w:hideMark/>
                </w:tcPr>
                <w:p w14:paraId="6544B080"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52.4 </w:t>
                  </w:r>
                </w:p>
              </w:tc>
              <w:tc>
                <w:tcPr>
                  <w:tcW w:w="0" w:type="auto"/>
                  <w:shd w:val="clear" w:color="auto" w:fill="EFEFEF"/>
                  <w:tcMar>
                    <w:top w:w="45" w:type="dxa"/>
                    <w:left w:w="90" w:type="dxa"/>
                    <w:bottom w:w="45" w:type="dxa"/>
                    <w:right w:w="90" w:type="dxa"/>
                  </w:tcMar>
                  <w:vAlign w:val="center"/>
                  <w:hideMark/>
                </w:tcPr>
                <w:p w14:paraId="1733FA1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54.8 </w:t>
                  </w:r>
                </w:p>
              </w:tc>
              <w:tc>
                <w:tcPr>
                  <w:tcW w:w="0" w:type="auto"/>
                  <w:shd w:val="clear" w:color="auto" w:fill="EFEFEF"/>
                  <w:tcMar>
                    <w:top w:w="45" w:type="dxa"/>
                    <w:left w:w="90" w:type="dxa"/>
                    <w:bottom w:w="45" w:type="dxa"/>
                    <w:right w:w="90" w:type="dxa"/>
                  </w:tcMar>
                  <w:vAlign w:val="center"/>
                  <w:hideMark/>
                </w:tcPr>
                <w:p w14:paraId="400D104E"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56.0 </w:t>
                  </w:r>
                </w:p>
              </w:tc>
              <w:tc>
                <w:tcPr>
                  <w:tcW w:w="0" w:type="auto"/>
                  <w:shd w:val="clear" w:color="auto" w:fill="EFEFEF"/>
                  <w:vAlign w:val="center"/>
                  <w:hideMark/>
                </w:tcPr>
                <w:p w14:paraId="503747AB"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73C541F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180683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62AC48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1C2FC1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04EA26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3BA0AC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33C9D0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761263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50475A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72382B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85B16B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982B80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6DBC18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79D67F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CA9259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01530E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8012C1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004331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C29961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26F867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B8626B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4894B2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213C70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BC6CDB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4CF3A4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CFB8A3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8F314D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073251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C62CAE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50F012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BACC09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D651EE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B5F205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B67974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02315B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D05242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9491D7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4FBA3D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4CA1C0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8A1B14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E1AB2F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150236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A6A8A9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454C0B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271125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6D9EE8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1A1414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25156F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5833C3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6A90F8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5ED20CCF" w14:textId="77777777">
              <w:trPr>
                <w:tblCellSpacing w:w="0" w:type="dxa"/>
              </w:trPr>
              <w:tc>
                <w:tcPr>
                  <w:tcW w:w="0" w:type="auto"/>
                  <w:tcMar>
                    <w:top w:w="45" w:type="dxa"/>
                    <w:left w:w="90" w:type="dxa"/>
                    <w:bottom w:w="45" w:type="dxa"/>
                    <w:right w:w="90" w:type="dxa"/>
                  </w:tcMar>
                  <w:vAlign w:val="center"/>
                  <w:hideMark/>
                </w:tcPr>
                <w:p w14:paraId="18DEA283"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Narrow net external debt/CAPs</w:t>
                  </w:r>
                </w:p>
              </w:tc>
              <w:tc>
                <w:tcPr>
                  <w:tcW w:w="0" w:type="auto"/>
                  <w:tcMar>
                    <w:top w:w="45" w:type="dxa"/>
                    <w:left w:w="90" w:type="dxa"/>
                    <w:bottom w:w="45" w:type="dxa"/>
                    <w:right w:w="90" w:type="dxa"/>
                  </w:tcMar>
                  <w:vAlign w:val="center"/>
                  <w:hideMark/>
                </w:tcPr>
                <w:p w14:paraId="300D3044"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8.1 </w:t>
                  </w:r>
                </w:p>
              </w:tc>
              <w:tc>
                <w:tcPr>
                  <w:tcW w:w="0" w:type="auto"/>
                  <w:tcMar>
                    <w:top w:w="45" w:type="dxa"/>
                    <w:left w:w="90" w:type="dxa"/>
                    <w:bottom w:w="45" w:type="dxa"/>
                    <w:right w:w="90" w:type="dxa"/>
                  </w:tcMar>
                  <w:vAlign w:val="center"/>
                  <w:hideMark/>
                </w:tcPr>
                <w:p w14:paraId="05016EC8"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15.5 </w:t>
                  </w:r>
                </w:p>
              </w:tc>
              <w:tc>
                <w:tcPr>
                  <w:tcW w:w="0" w:type="auto"/>
                  <w:tcMar>
                    <w:top w:w="45" w:type="dxa"/>
                    <w:left w:w="90" w:type="dxa"/>
                    <w:bottom w:w="45" w:type="dxa"/>
                    <w:right w:w="90" w:type="dxa"/>
                  </w:tcMar>
                  <w:vAlign w:val="center"/>
                  <w:hideMark/>
                </w:tcPr>
                <w:p w14:paraId="2303AC79"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7.3 </w:t>
                  </w:r>
                </w:p>
              </w:tc>
              <w:tc>
                <w:tcPr>
                  <w:tcW w:w="0" w:type="auto"/>
                  <w:tcMar>
                    <w:top w:w="45" w:type="dxa"/>
                    <w:left w:w="90" w:type="dxa"/>
                    <w:bottom w:w="45" w:type="dxa"/>
                    <w:right w:w="90" w:type="dxa"/>
                  </w:tcMar>
                  <w:vAlign w:val="center"/>
                  <w:hideMark/>
                </w:tcPr>
                <w:p w14:paraId="5EFC722D"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27.2 </w:t>
                  </w:r>
                </w:p>
              </w:tc>
              <w:tc>
                <w:tcPr>
                  <w:tcW w:w="0" w:type="auto"/>
                  <w:tcMar>
                    <w:top w:w="45" w:type="dxa"/>
                    <w:left w:w="90" w:type="dxa"/>
                    <w:bottom w:w="45" w:type="dxa"/>
                    <w:right w:w="90" w:type="dxa"/>
                  </w:tcMar>
                  <w:vAlign w:val="center"/>
                  <w:hideMark/>
                </w:tcPr>
                <w:p w14:paraId="15B5087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42.2 </w:t>
                  </w:r>
                </w:p>
              </w:tc>
              <w:tc>
                <w:tcPr>
                  <w:tcW w:w="0" w:type="auto"/>
                  <w:tcMar>
                    <w:top w:w="45" w:type="dxa"/>
                    <w:left w:w="90" w:type="dxa"/>
                    <w:bottom w:w="45" w:type="dxa"/>
                    <w:right w:w="90" w:type="dxa"/>
                  </w:tcMar>
                  <w:vAlign w:val="center"/>
                  <w:hideMark/>
                </w:tcPr>
                <w:p w14:paraId="5D13323F"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36.5 </w:t>
                  </w:r>
                </w:p>
              </w:tc>
              <w:tc>
                <w:tcPr>
                  <w:tcW w:w="0" w:type="auto"/>
                  <w:tcMar>
                    <w:top w:w="45" w:type="dxa"/>
                    <w:left w:w="90" w:type="dxa"/>
                    <w:bottom w:w="45" w:type="dxa"/>
                    <w:right w:w="90" w:type="dxa"/>
                  </w:tcMar>
                  <w:vAlign w:val="center"/>
                  <w:hideMark/>
                </w:tcPr>
                <w:p w14:paraId="447B736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43.6 </w:t>
                  </w:r>
                </w:p>
              </w:tc>
              <w:tc>
                <w:tcPr>
                  <w:tcW w:w="0" w:type="auto"/>
                  <w:tcMar>
                    <w:top w:w="45" w:type="dxa"/>
                    <w:left w:w="90" w:type="dxa"/>
                    <w:bottom w:w="45" w:type="dxa"/>
                    <w:right w:w="90" w:type="dxa"/>
                  </w:tcMar>
                  <w:vAlign w:val="center"/>
                  <w:hideMark/>
                </w:tcPr>
                <w:p w14:paraId="4F061792"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47.0 </w:t>
                  </w:r>
                </w:p>
              </w:tc>
              <w:tc>
                <w:tcPr>
                  <w:tcW w:w="0" w:type="auto"/>
                  <w:tcMar>
                    <w:top w:w="45" w:type="dxa"/>
                    <w:left w:w="90" w:type="dxa"/>
                    <w:bottom w:w="45" w:type="dxa"/>
                    <w:right w:w="90" w:type="dxa"/>
                  </w:tcMar>
                  <w:vAlign w:val="center"/>
                  <w:hideMark/>
                </w:tcPr>
                <w:p w14:paraId="37C312E2"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48.9 </w:t>
                  </w:r>
                </w:p>
              </w:tc>
              <w:tc>
                <w:tcPr>
                  <w:tcW w:w="0" w:type="auto"/>
                  <w:tcMar>
                    <w:top w:w="45" w:type="dxa"/>
                    <w:left w:w="90" w:type="dxa"/>
                    <w:bottom w:w="45" w:type="dxa"/>
                    <w:right w:w="90" w:type="dxa"/>
                  </w:tcMar>
                  <w:vAlign w:val="center"/>
                  <w:hideMark/>
                </w:tcPr>
                <w:p w14:paraId="51B82F95"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49.6 </w:t>
                  </w:r>
                </w:p>
              </w:tc>
              <w:tc>
                <w:tcPr>
                  <w:tcW w:w="0" w:type="auto"/>
                  <w:vAlign w:val="center"/>
                  <w:hideMark/>
                </w:tcPr>
                <w:p w14:paraId="22064BE9"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669AE8E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FE50BA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0FBFE0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E4DF50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FBE630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5E956E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3B7126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14A3F1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862C28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FCE5E5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B06BFA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CF3F19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58717A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AA227C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9DC97D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EB9124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D000AF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5B143E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C87BCA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E5D3F8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A5B680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FB3892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5A23DB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C26826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C666D7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082F87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B823BD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E3EFF8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1DC9B2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739163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415F6C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9A9E08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5167A0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A5404C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447526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F302D2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64109C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8221F7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01E0D3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BECFF6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E0EA36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2A07DB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204A04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6860E8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FE8FEA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87D444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8B2015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FE9FF0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EE9B7F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74435D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574860AC" w14:textId="77777777">
              <w:trPr>
                <w:tblCellSpacing w:w="0" w:type="dxa"/>
              </w:trPr>
              <w:tc>
                <w:tcPr>
                  <w:tcW w:w="0" w:type="auto"/>
                  <w:shd w:val="clear" w:color="auto" w:fill="EFEFEF"/>
                  <w:tcMar>
                    <w:top w:w="45" w:type="dxa"/>
                    <w:left w:w="90" w:type="dxa"/>
                    <w:bottom w:w="45" w:type="dxa"/>
                    <w:right w:w="90" w:type="dxa"/>
                  </w:tcMar>
                  <w:vAlign w:val="center"/>
                  <w:hideMark/>
                </w:tcPr>
                <w:p w14:paraId="3B4258A3"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Net external liabilities/CARs</w:t>
                  </w:r>
                </w:p>
              </w:tc>
              <w:tc>
                <w:tcPr>
                  <w:tcW w:w="0" w:type="auto"/>
                  <w:shd w:val="clear" w:color="auto" w:fill="EFEFEF"/>
                  <w:tcMar>
                    <w:top w:w="45" w:type="dxa"/>
                    <w:left w:w="90" w:type="dxa"/>
                    <w:bottom w:w="45" w:type="dxa"/>
                    <w:right w:w="90" w:type="dxa"/>
                  </w:tcMar>
                  <w:vAlign w:val="center"/>
                  <w:hideMark/>
                </w:tcPr>
                <w:p w14:paraId="7B4F2D38"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1.7 </w:t>
                  </w:r>
                </w:p>
              </w:tc>
              <w:tc>
                <w:tcPr>
                  <w:tcW w:w="0" w:type="auto"/>
                  <w:shd w:val="clear" w:color="auto" w:fill="EFEFEF"/>
                  <w:tcMar>
                    <w:top w:w="45" w:type="dxa"/>
                    <w:left w:w="90" w:type="dxa"/>
                    <w:bottom w:w="45" w:type="dxa"/>
                    <w:right w:w="90" w:type="dxa"/>
                  </w:tcMar>
                  <w:vAlign w:val="center"/>
                  <w:hideMark/>
                </w:tcPr>
                <w:p w14:paraId="2786AC8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11.7 </w:t>
                  </w:r>
                </w:p>
              </w:tc>
              <w:tc>
                <w:tcPr>
                  <w:tcW w:w="0" w:type="auto"/>
                  <w:shd w:val="clear" w:color="auto" w:fill="EFEFEF"/>
                  <w:tcMar>
                    <w:top w:w="45" w:type="dxa"/>
                    <w:left w:w="90" w:type="dxa"/>
                    <w:bottom w:w="45" w:type="dxa"/>
                    <w:right w:w="90" w:type="dxa"/>
                  </w:tcMar>
                  <w:vAlign w:val="center"/>
                  <w:hideMark/>
                </w:tcPr>
                <w:p w14:paraId="7495F2E3"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(54.4)</w:t>
                  </w:r>
                </w:p>
              </w:tc>
              <w:tc>
                <w:tcPr>
                  <w:tcW w:w="0" w:type="auto"/>
                  <w:shd w:val="clear" w:color="auto" w:fill="EFEFEF"/>
                  <w:tcMar>
                    <w:top w:w="45" w:type="dxa"/>
                    <w:left w:w="90" w:type="dxa"/>
                    <w:bottom w:w="45" w:type="dxa"/>
                    <w:right w:w="90" w:type="dxa"/>
                  </w:tcMar>
                  <w:vAlign w:val="center"/>
                  <w:hideMark/>
                </w:tcPr>
                <w:p w14:paraId="3793D69E"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(32.9)</w:t>
                  </w:r>
                </w:p>
              </w:tc>
              <w:tc>
                <w:tcPr>
                  <w:tcW w:w="0" w:type="auto"/>
                  <w:shd w:val="clear" w:color="auto" w:fill="EFEFEF"/>
                  <w:tcMar>
                    <w:top w:w="45" w:type="dxa"/>
                    <w:left w:w="90" w:type="dxa"/>
                    <w:bottom w:w="45" w:type="dxa"/>
                    <w:right w:w="90" w:type="dxa"/>
                  </w:tcMar>
                  <w:vAlign w:val="center"/>
                  <w:hideMark/>
                </w:tcPr>
                <w:p w14:paraId="3D9D3175"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(38.6)</w:t>
                  </w:r>
                </w:p>
              </w:tc>
              <w:tc>
                <w:tcPr>
                  <w:tcW w:w="0" w:type="auto"/>
                  <w:shd w:val="clear" w:color="auto" w:fill="EFEFEF"/>
                  <w:tcMar>
                    <w:top w:w="45" w:type="dxa"/>
                    <w:left w:w="90" w:type="dxa"/>
                    <w:bottom w:w="45" w:type="dxa"/>
                    <w:right w:w="90" w:type="dxa"/>
                  </w:tcMar>
                  <w:vAlign w:val="center"/>
                  <w:hideMark/>
                </w:tcPr>
                <w:p w14:paraId="527F28F9"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(44.6)</w:t>
                  </w:r>
                </w:p>
              </w:tc>
              <w:tc>
                <w:tcPr>
                  <w:tcW w:w="0" w:type="auto"/>
                  <w:shd w:val="clear" w:color="auto" w:fill="EFEFEF"/>
                  <w:tcMar>
                    <w:top w:w="45" w:type="dxa"/>
                    <w:left w:w="90" w:type="dxa"/>
                    <w:bottom w:w="45" w:type="dxa"/>
                    <w:right w:w="90" w:type="dxa"/>
                  </w:tcMar>
                  <w:vAlign w:val="center"/>
                  <w:hideMark/>
                </w:tcPr>
                <w:p w14:paraId="7353BFA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(34.4)</w:t>
                  </w:r>
                </w:p>
              </w:tc>
              <w:tc>
                <w:tcPr>
                  <w:tcW w:w="0" w:type="auto"/>
                  <w:shd w:val="clear" w:color="auto" w:fill="EFEFEF"/>
                  <w:tcMar>
                    <w:top w:w="45" w:type="dxa"/>
                    <w:left w:w="90" w:type="dxa"/>
                    <w:bottom w:w="45" w:type="dxa"/>
                    <w:right w:w="90" w:type="dxa"/>
                  </w:tcMar>
                  <w:vAlign w:val="center"/>
                  <w:hideMark/>
                </w:tcPr>
                <w:p w14:paraId="6EEB8842"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(21.5)</w:t>
                  </w:r>
                </w:p>
              </w:tc>
              <w:tc>
                <w:tcPr>
                  <w:tcW w:w="0" w:type="auto"/>
                  <w:shd w:val="clear" w:color="auto" w:fill="EFEFEF"/>
                  <w:tcMar>
                    <w:top w:w="45" w:type="dxa"/>
                    <w:left w:w="90" w:type="dxa"/>
                    <w:bottom w:w="45" w:type="dxa"/>
                    <w:right w:w="90" w:type="dxa"/>
                  </w:tcMar>
                  <w:vAlign w:val="center"/>
                  <w:hideMark/>
                </w:tcPr>
                <w:p w14:paraId="5CD74715"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(8.6)</w:t>
                  </w:r>
                </w:p>
              </w:tc>
              <w:tc>
                <w:tcPr>
                  <w:tcW w:w="0" w:type="auto"/>
                  <w:shd w:val="clear" w:color="auto" w:fill="EFEFEF"/>
                  <w:tcMar>
                    <w:top w:w="45" w:type="dxa"/>
                    <w:left w:w="90" w:type="dxa"/>
                    <w:bottom w:w="45" w:type="dxa"/>
                    <w:right w:w="90" w:type="dxa"/>
                  </w:tcMar>
                  <w:vAlign w:val="center"/>
                  <w:hideMark/>
                </w:tcPr>
                <w:p w14:paraId="49CEDB40"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4.6 </w:t>
                  </w:r>
                </w:p>
              </w:tc>
              <w:tc>
                <w:tcPr>
                  <w:tcW w:w="0" w:type="auto"/>
                  <w:shd w:val="clear" w:color="auto" w:fill="EFEFEF"/>
                  <w:vAlign w:val="center"/>
                  <w:hideMark/>
                </w:tcPr>
                <w:p w14:paraId="1FBE124D"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59D0C49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9131D5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D5A555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D88112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806709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A19201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0F14C7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40FC5A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C1E6FA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6AD7D2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8A64EA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F252E1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0653FA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748D99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0CF641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F40C80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345F14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D45469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5B30CD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1006E1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88C6E6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E743D9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C6C5B7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3FED81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2B5236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A1CFF9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586FCE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6A1261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F3E7FE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BBE2C1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9AF5B4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74CBD3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6045A8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010A0B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8F2598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4609F9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9D6B1F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C75B88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B34F98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A5635E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85F4BE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AF03E2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D8D387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DBBB5A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5337BC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320C4D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B2CE28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3FBD85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FA8813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E72DB0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58AEF1EE" w14:textId="77777777">
              <w:trPr>
                <w:tblCellSpacing w:w="0" w:type="dxa"/>
              </w:trPr>
              <w:tc>
                <w:tcPr>
                  <w:tcW w:w="0" w:type="auto"/>
                  <w:tcMar>
                    <w:top w:w="45" w:type="dxa"/>
                    <w:left w:w="90" w:type="dxa"/>
                    <w:bottom w:w="45" w:type="dxa"/>
                    <w:right w:w="90" w:type="dxa"/>
                  </w:tcMar>
                  <w:vAlign w:val="center"/>
                  <w:hideMark/>
                </w:tcPr>
                <w:p w14:paraId="0EB17FE1"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Net external liabilities/CAPs</w:t>
                  </w:r>
                </w:p>
              </w:tc>
              <w:tc>
                <w:tcPr>
                  <w:tcW w:w="0" w:type="auto"/>
                  <w:tcMar>
                    <w:top w:w="45" w:type="dxa"/>
                    <w:left w:w="90" w:type="dxa"/>
                    <w:bottom w:w="45" w:type="dxa"/>
                    <w:right w:w="90" w:type="dxa"/>
                  </w:tcMar>
                  <w:vAlign w:val="center"/>
                  <w:hideMark/>
                </w:tcPr>
                <w:p w14:paraId="4A83829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1.5 </w:t>
                  </w:r>
                </w:p>
              </w:tc>
              <w:tc>
                <w:tcPr>
                  <w:tcW w:w="0" w:type="auto"/>
                  <w:tcMar>
                    <w:top w:w="45" w:type="dxa"/>
                    <w:left w:w="90" w:type="dxa"/>
                    <w:bottom w:w="45" w:type="dxa"/>
                    <w:right w:w="90" w:type="dxa"/>
                  </w:tcMar>
                  <w:vAlign w:val="center"/>
                  <w:hideMark/>
                </w:tcPr>
                <w:p w14:paraId="323619B3"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10.2 </w:t>
                  </w:r>
                </w:p>
              </w:tc>
              <w:tc>
                <w:tcPr>
                  <w:tcW w:w="0" w:type="auto"/>
                  <w:tcMar>
                    <w:top w:w="45" w:type="dxa"/>
                    <w:left w:w="90" w:type="dxa"/>
                    <w:bottom w:w="45" w:type="dxa"/>
                    <w:right w:w="90" w:type="dxa"/>
                  </w:tcMar>
                  <w:vAlign w:val="center"/>
                  <w:hideMark/>
                </w:tcPr>
                <w:p w14:paraId="6084B40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(47.7)</w:t>
                  </w:r>
                </w:p>
              </w:tc>
              <w:tc>
                <w:tcPr>
                  <w:tcW w:w="0" w:type="auto"/>
                  <w:tcMar>
                    <w:top w:w="45" w:type="dxa"/>
                    <w:left w:w="90" w:type="dxa"/>
                    <w:bottom w:w="45" w:type="dxa"/>
                    <w:right w:w="90" w:type="dxa"/>
                  </w:tcMar>
                  <w:vAlign w:val="center"/>
                  <w:hideMark/>
                </w:tcPr>
                <w:p w14:paraId="5DFA6B3E"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(30.2)</w:t>
                  </w:r>
                </w:p>
              </w:tc>
              <w:tc>
                <w:tcPr>
                  <w:tcW w:w="0" w:type="auto"/>
                  <w:tcMar>
                    <w:top w:w="45" w:type="dxa"/>
                    <w:left w:w="90" w:type="dxa"/>
                    <w:bottom w:w="45" w:type="dxa"/>
                    <w:right w:w="90" w:type="dxa"/>
                  </w:tcMar>
                  <w:vAlign w:val="center"/>
                  <w:hideMark/>
                </w:tcPr>
                <w:p w14:paraId="6AF12467"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(35.7)</w:t>
                  </w:r>
                </w:p>
              </w:tc>
              <w:tc>
                <w:tcPr>
                  <w:tcW w:w="0" w:type="auto"/>
                  <w:tcMar>
                    <w:top w:w="45" w:type="dxa"/>
                    <w:left w:w="90" w:type="dxa"/>
                    <w:bottom w:w="45" w:type="dxa"/>
                    <w:right w:w="90" w:type="dxa"/>
                  </w:tcMar>
                  <w:vAlign w:val="center"/>
                  <w:hideMark/>
                </w:tcPr>
                <w:p w14:paraId="400E7F6D"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(40.1)</w:t>
                  </w:r>
                </w:p>
              </w:tc>
              <w:tc>
                <w:tcPr>
                  <w:tcW w:w="0" w:type="auto"/>
                  <w:tcMar>
                    <w:top w:w="45" w:type="dxa"/>
                    <w:left w:w="90" w:type="dxa"/>
                    <w:bottom w:w="45" w:type="dxa"/>
                    <w:right w:w="90" w:type="dxa"/>
                  </w:tcMar>
                  <w:vAlign w:val="center"/>
                  <w:hideMark/>
                </w:tcPr>
                <w:p w14:paraId="073B43C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(30.6)</w:t>
                  </w:r>
                </w:p>
              </w:tc>
              <w:tc>
                <w:tcPr>
                  <w:tcW w:w="0" w:type="auto"/>
                  <w:tcMar>
                    <w:top w:w="45" w:type="dxa"/>
                    <w:left w:w="90" w:type="dxa"/>
                    <w:bottom w:w="45" w:type="dxa"/>
                    <w:right w:w="90" w:type="dxa"/>
                  </w:tcMar>
                  <w:vAlign w:val="center"/>
                  <w:hideMark/>
                </w:tcPr>
                <w:p w14:paraId="07A2FDB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(19.3)</w:t>
                  </w:r>
                </w:p>
              </w:tc>
              <w:tc>
                <w:tcPr>
                  <w:tcW w:w="0" w:type="auto"/>
                  <w:tcMar>
                    <w:top w:w="45" w:type="dxa"/>
                    <w:left w:w="90" w:type="dxa"/>
                    <w:bottom w:w="45" w:type="dxa"/>
                    <w:right w:w="90" w:type="dxa"/>
                  </w:tcMar>
                  <w:vAlign w:val="center"/>
                  <w:hideMark/>
                </w:tcPr>
                <w:p w14:paraId="12EBE43F"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(7.7)</w:t>
                  </w:r>
                </w:p>
              </w:tc>
              <w:tc>
                <w:tcPr>
                  <w:tcW w:w="0" w:type="auto"/>
                  <w:tcMar>
                    <w:top w:w="45" w:type="dxa"/>
                    <w:left w:w="90" w:type="dxa"/>
                    <w:bottom w:w="45" w:type="dxa"/>
                    <w:right w:w="90" w:type="dxa"/>
                  </w:tcMar>
                  <w:vAlign w:val="center"/>
                  <w:hideMark/>
                </w:tcPr>
                <w:p w14:paraId="7E9FF00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4.1 </w:t>
                  </w:r>
                </w:p>
              </w:tc>
              <w:tc>
                <w:tcPr>
                  <w:tcW w:w="0" w:type="auto"/>
                  <w:vAlign w:val="center"/>
                  <w:hideMark/>
                </w:tcPr>
                <w:p w14:paraId="58C8C7D0"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29A64D1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BE8D6C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E84858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D047CC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0333F6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914F25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3A2DBB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9D3AD9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8B8010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60B5A3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C906AD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B5E72F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16C8F6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CC5FB9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251D14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7D59F2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94679C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FBA710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E8EFA0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E1B9CC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459CF1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46A6EB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2260F4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925555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8479AB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E07034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E154F0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28574A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4D995A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A4EA66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652473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D839AC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CD5467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CFD276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6DDBB7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36C9EC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91482D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2EBB18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705FF2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C19573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334156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026C9D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B1A35B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78C7E7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3DB3BF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C9781A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B562CE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40655B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214251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9E0306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572F8330" w14:textId="77777777">
              <w:trPr>
                <w:tblCellSpacing w:w="0" w:type="dxa"/>
              </w:trPr>
              <w:tc>
                <w:tcPr>
                  <w:tcW w:w="0" w:type="auto"/>
                  <w:shd w:val="clear" w:color="auto" w:fill="EFEFEF"/>
                  <w:tcMar>
                    <w:top w:w="45" w:type="dxa"/>
                    <w:left w:w="90" w:type="dxa"/>
                    <w:bottom w:w="45" w:type="dxa"/>
                    <w:right w:w="90" w:type="dxa"/>
                  </w:tcMar>
                  <w:vAlign w:val="center"/>
                  <w:hideMark/>
                </w:tcPr>
                <w:p w14:paraId="4A842EF9"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Short-term external debt by remaining maturity/CARs</w:t>
                  </w:r>
                </w:p>
              </w:tc>
              <w:tc>
                <w:tcPr>
                  <w:tcW w:w="0" w:type="auto"/>
                  <w:shd w:val="clear" w:color="auto" w:fill="EFEFEF"/>
                  <w:tcMar>
                    <w:top w:w="45" w:type="dxa"/>
                    <w:left w:w="90" w:type="dxa"/>
                    <w:bottom w:w="45" w:type="dxa"/>
                    <w:right w:w="90" w:type="dxa"/>
                  </w:tcMar>
                  <w:vAlign w:val="center"/>
                  <w:hideMark/>
                </w:tcPr>
                <w:p w14:paraId="4C0AD56E"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37.8 </w:t>
                  </w:r>
                </w:p>
              </w:tc>
              <w:tc>
                <w:tcPr>
                  <w:tcW w:w="0" w:type="auto"/>
                  <w:shd w:val="clear" w:color="auto" w:fill="EFEFEF"/>
                  <w:tcMar>
                    <w:top w:w="45" w:type="dxa"/>
                    <w:left w:w="90" w:type="dxa"/>
                    <w:bottom w:w="45" w:type="dxa"/>
                    <w:right w:w="90" w:type="dxa"/>
                  </w:tcMar>
                  <w:vAlign w:val="center"/>
                  <w:hideMark/>
                </w:tcPr>
                <w:p w14:paraId="56AAC808"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37.0 </w:t>
                  </w:r>
                </w:p>
              </w:tc>
              <w:tc>
                <w:tcPr>
                  <w:tcW w:w="0" w:type="auto"/>
                  <w:shd w:val="clear" w:color="auto" w:fill="EFEFEF"/>
                  <w:tcMar>
                    <w:top w:w="45" w:type="dxa"/>
                    <w:left w:w="90" w:type="dxa"/>
                    <w:bottom w:w="45" w:type="dxa"/>
                    <w:right w:w="90" w:type="dxa"/>
                  </w:tcMar>
                  <w:vAlign w:val="center"/>
                  <w:hideMark/>
                </w:tcPr>
                <w:p w14:paraId="70C8CA6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49.4 </w:t>
                  </w:r>
                </w:p>
              </w:tc>
              <w:tc>
                <w:tcPr>
                  <w:tcW w:w="0" w:type="auto"/>
                  <w:shd w:val="clear" w:color="auto" w:fill="EFEFEF"/>
                  <w:tcMar>
                    <w:top w:w="45" w:type="dxa"/>
                    <w:left w:w="90" w:type="dxa"/>
                    <w:bottom w:w="45" w:type="dxa"/>
                    <w:right w:w="90" w:type="dxa"/>
                  </w:tcMar>
                  <w:vAlign w:val="center"/>
                  <w:hideMark/>
                </w:tcPr>
                <w:p w14:paraId="62098FAE"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46.6 </w:t>
                  </w:r>
                </w:p>
              </w:tc>
              <w:tc>
                <w:tcPr>
                  <w:tcW w:w="0" w:type="auto"/>
                  <w:shd w:val="clear" w:color="auto" w:fill="EFEFEF"/>
                  <w:tcMar>
                    <w:top w:w="45" w:type="dxa"/>
                    <w:left w:w="90" w:type="dxa"/>
                    <w:bottom w:w="45" w:type="dxa"/>
                    <w:right w:w="90" w:type="dxa"/>
                  </w:tcMar>
                  <w:vAlign w:val="center"/>
                  <w:hideMark/>
                </w:tcPr>
                <w:p w14:paraId="23DA045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41.1 </w:t>
                  </w:r>
                </w:p>
              </w:tc>
              <w:tc>
                <w:tcPr>
                  <w:tcW w:w="0" w:type="auto"/>
                  <w:shd w:val="clear" w:color="auto" w:fill="EFEFEF"/>
                  <w:tcMar>
                    <w:top w:w="45" w:type="dxa"/>
                    <w:left w:w="90" w:type="dxa"/>
                    <w:bottom w:w="45" w:type="dxa"/>
                    <w:right w:w="90" w:type="dxa"/>
                  </w:tcMar>
                  <w:vAlign w:val="center"/>
                  <w:hideMark/>
                </w:tcPr>
                <w:p w14:paraId="7DE465C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44.8 </w:t>
                  </w:r>
                </w:p>
              </w:tc>
              <w:tc>
                <w:tcPr>
                  <w:tcW w:w="0" w:type="auto"/>
                  <w:shd w:val="clear" w:color="auto" w:fill="EFEFEF"/>
                  <w:tcMar>
                    <w:top w:w="45" w:type="dxa"/>
                    <w:left w:w="90" w:type="dxa"/>
                    <w:bottom w:w="45" w:type="dxa"/>
                    <w:right w:w="90" w:type="dxa"/>
                  </w:tcMar>
                  <w:vAlign w:val="center"/>
                  <w:hideMark/>
                </w:tcPr>
                <w:p w14:paraId="3E22432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49.6 </w:t>
                  </w:r>
                </w:p>
              </w:tc>
              <w:tc>
                <w:tcPr>
                  <w:tcW w:w="0" w:type="auto"/>
                  <w:shd w:val="clear" w:color="auto" w:fill="EFEFEF"/>
                  <w:tcMar>
                    <w:top w:w="45" w:type="dxa"/>
                    <w:left w:w="90" w:type="dxa"/>
                    <w:bottom w:w="45" w:type="dxa"/>
                    <w:right w:w="90" w:type="dxa"/>
                  </w:tcMar>
                  <w:vAlign w:val="center"/>
                  <w:hideMark/>
                </w:tcPr>
                <w:p w14:paraId="4377661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48.1 </w:t>
                  </w:r>
                </w:p>
              </w:tc>
              <w:tc>
                <w:tcPr>
                  <w:tcW w:w="0" w:type="auto"/>
                  <w:shd w:val="clear" w:color="auto" w:fill="EFEFEF"/>
                  <w:tcMar>
                    <w:top w:w="45" w:type="dxa"/>
                    <w:left w:w="90" w:type="dxa"/>
                    <w:bottom w:w="45" w:type="dxa"/>
                    <w:right w:w="90" w:type="dxa"/>
                  </w:tcMar>
                  <w:vAlign w:val="center"/>
                  <w:hideMark/>
                </w:tcPr>
                <w:p w14:paraId="569382C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48.2 </w:t>
                  </w:r>
                </w:p>
              </w:tc>
              <w:tc>
                <w:tcPr>
                  <w:tcW w:w="0" w:type="auto"/>
                  <w:shd w:val="clear" w:color="auto" w:fill="EFEFEF"/>
                  <w:tcMar>
                    <w:top w:w="45" w:type="dxa"/>
                    <w:left w:w="90" w:type="dxa"/>
                    <w:bottom w:w="45" w:type="dxa"/>
                    <w:right w:w="90" w:type="dxa"/>
                  </w:tcMar>
                  <w:vAlign w:val="center"/>
                  <w:hideMark/>
                </w:tcPr>
                <w:p w14:paraId="740CD5A5"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47.7 </w:t>
                  </w:r>
                </w:p>
              </w:tc>
              <w:tc>
                <w:tcPr>
                  <w:tcW w:w="0" w:type="auto"/>
                  <w:shd w:val="clear" w:color="auto" w:fill="EFEFEF"/>
                  <w:vAlign w:val="center"/>
                  <w:hideMark/>
                </w:tcPr>
                <w:p w14:paraId="2B6D147A"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12B757C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EAF1D6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F079D0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2211B7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B27AE5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C5776E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27A34B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546445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3B8F6C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9DF1D9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F7EC44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D3DC2B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564EE2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C10528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93B36D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FB3FE0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724E1D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CF85DF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F392E9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FBDEFC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4A3E48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E83F7D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7C7242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DC1F51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4E4F4F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E96474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639345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B99439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1C215B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DC74FF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2538BB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A232B1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239F6B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4B9A12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067CEC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9756E7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91AF01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97A8D8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D94842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59DCB2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187062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40423D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DDEE95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BAB3F7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3AFB34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67E1B1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EE208D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079DE8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E5A79E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00411E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6775BC46" w14:textId="77777777">
              <w:trPr>
                <w:tblCellSpacing w:w="0" w:type="dxa"/>
              </w:trPr>
              <w:tc>
                <w:tcPr>
                  <w:tcW w:w="0" w:type="auto"/>
                  <w:tcMar>
                    <w:top w:w="45" w:type="dxa"/>
                    <w:left w:w="90" w:type="dxa"/>
                    <w:bottom w:w="45" w:type="dxa"/>
                    <w:right w:w="90" w:type="dxa"/>
                  </w:tcMar>
                  <w:vAlign w:val="center"/>
                  <w:hideMark/>
                </w:tcPr>
                <w:p w14:paraId="54C8B216"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Usable reserves/CAPs (months)</w:t>
                  </w:r>
                </w:p>
              </w:tc>
              <w:tc>
                <w:tcPr>
                  <w:tcW w:w="0" w:type="auto"/>
                  <w:tcMar>
                    <w:top w:w="45" w:type="dxa"/>
                    <w:left w:w="90" w:type="dxa"/>
                    <w:bottom w:w="45" w:type="dxa"/>
                    <w:right w:w="90" w:type="dxa"/>
                  </w:tcMar>
                  <w:vAlign w:val="center"/>
                  <w:hideMark/>
                </w:tcPr>
                <w:p w14:paraId="3264D42E"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4.3 </w:t>
                  </w:r>
                </w:p>
              </w:tc>
              <w:tc>
                <w:tcPr>
                  <w:tcW w:w="0" w:type="auto"/>
                  <w:tcMar>
                    <w:top w:w="45" w:type="dxa"/>
                    <w:left w:w="90" w:type="dxa"/>
                    <w:bottom w:w="45" w:type="dxa"/>
                    <w:right w:w="90" w:type="dxa"/>
                  </w:tcMar>
                  <w:vAlign w:val="center"/>
                  <w:hideMark/>
                </w:tcPr>
                <w:p w14:paraId="612CA88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4.4 </w:t>
                  </w:r>
                </w:p>
              </w:tc>
              <w:tc>
                <w:tcPr>
                  <w:tcW w:w="0" w:type="auto"/>
                  <w:tcMar>
                    <w:top w:w="45" w:type="dxa"/>
                    <w:left w:w="90" w:type="dxa"/>
                    <w:bottom w:w="45" w:type="dxa"/>
                    <w:right w:w="90" w:type="dxa"/>
                  </w:tcMar>
                  <w:vAlign w:val="center"/>
                  <w:hideMark/>
                </w:tcPr>
                <w:p w14:paraId="094AF9C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5.0 </w:t>
                  </w:r>
                </w:p>
              </w:tc>
              <w:tc>
                <w:tcPr>
                  <w:tcW w:w="0" w:type="auto"/>
                  <w:tcMar>
                    <w:top w:w="45" w:type="dxa"/>
                    <w:left w:w="90" w:type="dxa"/>
                    <w:bottom w:w="45" w:type="dxa"/>
                    <w:right w:w="90" w:type="dxa"/>
                  </w:tcMar>
                  <w:vAlign w:val="center"/>
                  <w:hideMark/>
                </w:tcPr>
                <w:p w14:paraId="1C5CDE8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5.2 </w:t>
                  </w:r>
                </w:p>
              </w:tc>
              <w:tc>
                <w:tcPr>
                  <w:tcW w:w="0" w:type="auto"/>
                  <w:tcMar>
                    <w:top w:w="45" w:type="dxa"/>
                    <w:left w:w="90" w:type="dxa"/>
                    <w:bottom w:w="45" w:type="dxa"/>
                    <w:right w:w="90" w:type="dxa"/>
                  </w:tcMar>
                  <w:vAlign w:val="center"/>
                  <w:hideMark/>
                </w:tcPr>
                <w:p w14:paraId="31D179FF"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4.8 </w:t>
                  </w:r>
                </w:p>
              </w:tc>
              <w:tc>
                <w:tcPr>
                  <w:tcW w:w="0" w:type="auto"/>
                  <w:tcMar>
                    <w:top w:w="45" w:type="dxa"/>
                    <w:left w:w="90" w:type="dxa"/>
                    <w:bottom w:w="45" w:type="dxa"/>
                    <w:right w:w="90" w:type="dxa"/>
                  </w:tcMar>
                  <w:vAlign w:val="center"/>
                  <w:hideMark/>
                </w:tcPr>
                <w:p w14:paraId="4C41F1C5"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4.7 </w:t>
                  </w:r>
                </w:p>
              </w:tc>
              <w:tc>
                <w:tcPr>
                  <w:tcW w:w="0" w:type="auto"/>
                  <w:tcMar>
                    <w:top w:w="45" w:type="dxa"/>
                    <w:left w:w="90" w:type="dxa"/>
                    <w:bottom w:w="45" w:type="dxa"/>
                    <w:right w:w="90" w:type="dxa"/>
                  </w:tcMar>
                  <w:vAlign w:val="center"/>
                  <w:hideMark/>
                </w:tcPr>
                <w:p w14:paraId="18E4ED02"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4.9 </w:t>
                  </w:r>
                </w:p>
              </w:tc>
              <w:tc>
                <w:tcPr>
                  <w:tcW w:w="0" w:type="auto"/>
                  <w:tcMar>
                    <w:top w:w="45" w:type="dxa"/>
                    <w:left w:w="90" w:type="dxa"/>
                    <w:bottom w:w="45" w:type="dxa"/>
                    <w:right w:w="90" w:type="dxa"/>
                  </w:tcMar>
                  <w:vAlign w:val="center"/>
                  <w:hideMark/>
                </w:tcPr>
                <w:p w14:paraId="2165226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4.7 </w:t>
                  </w:r>
                </w:p>
              </w:tc>
              <w:tc>
                <w:tcPr>
                  <w:tcW w:w="0" w:type="auto"/>
                  <w:tcMar>
                    <w:top w:w="45" w:type="dxa"/>
                    <w:left w:w="90" w:type="dxa"/>
                    <w:bottom w:w="45" w:type="dxa"/>
                    <w:right w:w="90" w:type="dxa"/>
                  </w:tcMar>
                  <w:vAlign w:val="center"/>
                  <w:hideMark/>
                </w:tcPr>
                <w:p w14:paraId="3FE641A8"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4.5 </w:t>
                  </w:r>
                </w:p>
              </w:tc>
              <w:tc>
                <w:tcPr>
                  <w:tcW w:w="0" w:type="auto"/>
                  <w:tcMar>
                    <w:top w:w="45" w:type="dxa"/>
                    <w:left w:w="90" w:type="dxa"/>
                    <w:bottom w:w="45" w:type="dxa"/>
                    <w:right w:w="90" w:type="dxa"/>
                  </w:tcMar>
                  <w:vAlign w:val="center"/>
                  <w:hideMark/>
                </w:tcPr>
                <w:p w14:paraId="7F719B40"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4.2 </w:t>
                  </w:r>
                </w:p>
              </w:tc>
              <w:tc>
                <w:tcPr>
                  <w:tcW w:w="0" w:type="auto"/>
                  <w:vAlign w:val="center"/>
                  <w:hideMark/>
                </w:tcPr>
                <w:p w14:paraId="445DE28E"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60C9489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4F37F8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C6F7B3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BD6B06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63ABEA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6B0047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9A7811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A0F92D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280186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734A49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99A52A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060990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4DB26F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671A20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0619C0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BAC1FF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55456E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F977B1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15B108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D95003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8358E7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9A7BD8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31E556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DC04D0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558E1B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DD8C66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04161B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74DCD8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ED32C3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653B78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4B3D05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14D6D5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2681EC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F71D4B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CFB610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2C71C7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B9B0A6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5EA9B6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457DE8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A000E3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F2F6BB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9451E3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BA59ED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BCB7D0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888C7C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265847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B96F11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8ACCE5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87594A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1D585A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25DD47C0" w14:textId="77777777">
              <w:trPr>
                <w:tblCellSpacing w:w="0" w:type="dxa"/>
              </w:trPr>
              <w:tc>
                <w:tcPr>
                  <w:tcW w:w="0" w:type="auto"/>
                  <w:shd w:val="clear" w:color="auto" w:fill="EFEFEF"/>
                  <w:tcMar>
                    <w:top w:w="45" w:type="dxa"/>
                    <w:left w:w="90" w:type="dxa"/>
                    <w:bottom w:w="45" w:type="dxa"/>
                    <w:right w:w="90" w:type="dxa"/>
                  </w:tcMar>
                  <w:vAlign w:val="center"/>
                  <w:hideMark/>
                </w:tcPr>
                <w:p w14:paraId="2AC4AA63"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lastRenderedPageBreak/>
                    <w:t>Usable reserves (mil. $)</w:t>
                  </w:r>
                </w:p>
              </w:tc>
              <w:tc>
                <w:tcPr>
                  <w:tcW w:w="0" w:type="auto"/>
                  <w:shd w:val="clear" w:color="auto" w:fill="EFEFEF"/>
                  <w:tcMar>
                    <w:top w:w="45" w:type="dxa"/>
                    <w:left w:w="90" w:type="dxa"/>
                    <w:bottom w:w="45" w:type="dxa"/>
                    <w:right w:w="90" w:type="dxa"/>
                  </w:tcMar>
                  <w:vAlign w:val="center"/>
                  <w:hideMark/>
                </w:tcPr>
                <w:p w14:paraId="55C97374"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49,696 </w:t>
                  </w:r>
                </w:p>
              </w:tc>
              <w:tc>
                <w:tcPr>
                  <w:tcW w:w="0" w:type="auto"/>
                  <w:shd w:val="clear" w:color="auto" w:fill="EFEFEF"/>
                  <w:tcMar>
                    <w:top w:w="45" w:type="dxa"/>
                    <w:left w:w="90" w:type="dxa"/>
                    <w:bottom w:w="45" w:type="dxa"/>
                    <w:right w:w="90" w:type="dxa"/>
                  </w:tcMar>
                  <w:vAlign w:val="center"/>
                  <w:hideMark/>
                </w:tcPr>
                <w:p w14:paraId="2C5EFAA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49,094 </w:t>
                  </w:r>
                </w:p>
              </w:tc>
              <w:tc>
                <w:tcPr>
                  <w:tcW w:w="0" w:type="auto"/>
                  <w:shd w:val="clear" w:color="auto" w:fill="EFEFEF"/>
                  <w:tcMar>
                    <w:top w:w="45" w:type="dxa"/>
                    <w:left w:w="90" w:type="dxa"/>
                    <w:bottom w:w="45" w:type="dxa"/>
                    <w:right w:w="90" w:type="dxa"/>
                  </w:tcMar>
                  <w:vAlign w:val="center"/>
                  <w:hideMark/>
                </w:tcPr>
                <w:p w14:paraId="52C3173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45,891 </w:t>
                  </w:r>
                </w:p>
              </w:tc>
              <w:tc>
                <w:tcPr>
                  <w:tcW w:w="0" w:type="auto"/>
                  <w:shd w:val="clear" w:color="auto" w:fill="EFEFEF"/>
                  <w:tcMar>
                    <w:top w:w="45" w:type="dxa"/>
                    <w:left w:w="90" w:type="dxa"/>
                    <w:bottom w:w="45" w:type="dxa"/>
                    <w:right w:w="90" w:type="dxa"/>
                  </w:tcMar>
                  <w:vAlign w:val="center"/>
                  <w:hideMark/>
                </w:tcPr>
                <w:p w14:paraId="215E491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47,187 </w:t>
                  </w:r>
                </w:p>
              </w:tc>
              <w:tc>
                <w:tcPr>
                  <w:tcW w:w="0" w:type="auto"/>
                  <w:shd w:val="clear" w:color="auto" w:fill="EFEFEF"/>
                  <w:tcMar>
                    <w:top w:w="45" w:type="dxa"/>
                    <w:left w:w="90" w:type="dxa"/>
                    <w:bottom w:w="45" w:type="dxa"/>
                    <w:right w:w="90" w:type="dxa"/>
                  </w:tcMar>
                  <w:vAlign w:val="center"/>
                  <w:hideMark/>
                </w:tcPr>
                <w:p w14:paraId="39269BFF"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50,748 </w:t>
                  </w:r>
                </w:p>
              </w:tc>
              <w:tc>
                <w:tcPr>
                  <w:tcW w:w="0" w:type="auto"/>
                  <w:shd w:val="clear" w:color="auto" w:fill="EFEFEF"/>
                  <w:tcMar>
                    <w:top w:w="45" w:type="dxa"/>
                    <w:left w:w="90" w:type="dxa"/>
                    <w:bottom w:w="45" w:type="dxa"/>
                    <w:right w:w="90" w:type="dxa"/>
                  </w:tcMar>
                  <w:vAlign w:val="center"/>
                  <w:hideMark/>
                </w:tcPr>
                <w:p w14:paraId="193B58A9"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51,645 </w:t>
                  </w:r>
                </w:p>
              </w:tc>
              <w:tc>
                <w:tcPr>
                  <w:tcW w:w="0" w:type="auto"/>
                  <w:shd w:val="clear" w:color="auto" w:fill="EFEFEF"/>
                  <w:tcMar>
                    <w:top w:w="45" w:type="dxa"/>
                    <w:left w:w="90" w:type="dxa"/>
                    <w:bottom w:w="45" w:type="dxa"/>
                    <w:right w:w="90" w:type="dxa"/>
                  </w:tcMar>
                  <w:vAlign w:val="center"/>
                  <w:hideMark/>
                </w:tcPr>
                <w:p w14:paraId="14C508C4"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51,648 </w:t>
                  </w:r>
                </w:p>
              </w:tc>
              <w:tc>
                <w:tcPr>
                  <w:tcW w:w="0" w:type="auto"/>
                  <w:shd w:val="clear" w:color="auto" w:fill="EFEFEF"/>
                  <w:tcMar>
                    <w:top w:w="45" w:type="dxa"/>
                    <w:left w:w="90" w:type="dxa"/>
                    <w:bottom w:w="45" w:type="dxa"/>
                    <w:right w:w="90" w:type="dxa"/>
                  </w:tcMar>
                  <w:vAlign w:val="center"/>
                  <w:hideMark/>
                </w:tcPr>
                <w:p w14:paraId="65EDF19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51,648 </w:t>
                  </w:r>
                </w:p>
              </w:tc>
              <w:tc>
                <w:tcPr>
                  <w:tcW w:w="0" w:type="auto"/>
                  <w:shd w:val="clear" w:color="auto" w:fill="EFEFEF"/>
                  <w:tcMar>
                    <w:top w:w="45" w:type="dxa"/>
                    <w:left w:w="90" w:type="dxa"/>
                    <w:bottom w:w="45" w:type="dxa"/>
                    <w:right w:w="90" w:type="dxa"/>
                  </w:tcMar>
                  <w:vAlign w:val="center"/>
                  <w:hideMark/>
                </w:tcPr>
                <w:p w14:paraId="745AE687"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51,648 </w:t>
                  </w:r>
                </w:p>
              </w:tc>
              <w:tc>
                <w:tcPr>
                  <w:tcW w:w="0" w:type="auto"/>
                  <w:shd w:val="clear" w:color="auto" w:fill="EFEFEF"/>
                  <w:tcMar>
                    <w:top w:w="45" w:type="dxa"/>
                    <w:left w:w="90" w:type="dxa"/>
                    <w:bottom w:w="45" w:type="dxa"/>
                    <w:right w:w="90" w:type="dxa"/>
                  </w:tcMar>
                  <w:vAlign w:val="center"/>
                  <w:hideMark/>
                </w:tcPr>
                <w:p w14:paraId="5E4AC8B8"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51,648 </w:t>
                  </w:r>
                </w:p>
              </w:tc>
              <w:tc>
                <w:tcPr>
                  <w:tcW w:w="0" w:type="auto"/>
                  <w:shd w:val="clear" w:color="auto" w:fill="EFEFEF"/>
                  <w:vAlign w:val="center"/>
                  <w:hideMark/>
                </w:tcPr>
                <w:p w14:paraId="76032876"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72342D1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6B3308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35AD05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DF867A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DACA89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3CD650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9AA91A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FA22C5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B8B4DA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A2E25D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76E180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59C682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C53C4E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4B5C8F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CEC10B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749F38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B11557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308AFF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F545D1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2852A6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9B9925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F2F8E9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E7DE3D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E997BC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12F4E2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ED4F59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ADF9FF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00994D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A9FAD1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AC0DD1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3EDC37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370BAD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6BBD72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F3A4E0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AD078C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AB6250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8B7B3B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A757CF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8471C1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B0E7A5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5778A4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601CF8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E83CF0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1AB117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ACA0A1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3F160E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E1E79B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2315E5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AFD142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9FB399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32CE3089" w14:textId="77777777">
              <w:trPr>
                <w:tblCellSpacing w:w="0" w:type="dxa"/>
              </w:trPr>
              <w:tc>
                <w:tcPr>
                  <w:tcW w:w="0" w:type="auto"/>
                  <w:gridSpan w:val="62"/>
                  <w:tcMar>
                    <w:top w:w="45" w:type="dxa"/>
                    <w:left w:w="90" w:type="dxa"/>
                    <w:bottom w:w="45" w:type="dxa"/>
                    <w:right w:w="90" w:type="dxa"/>
                  </w:tcMar>
                  <w:vAlign w:val="center"/>
                  <w:hideMark/>
                </w:tcPr>
                <w:p w14:paraId="351647D3" w14:textId="77777777" w:rsidR="006439CC" w:rsidRPr="006439CC" w:rsidRDefault="006439CC" w:rsidP="006439CC">
                  <w:pPr>
                    <w:spacing w:after="180" w:line="240" w:lineRule="auto"/>
                    <w:rPr>
                      <w:rFonts w:ascii="Arial" w:eastAsia="Calibri" w:hAnsi="Arial" w:cs="Arial"/>
                      <w:b/>
                      <w:bCs/>
                      <w:sz w:val="18"/>
                      <w:szCs w:val="18"/>
                      <w:lang w:eastAsia="en-ZA"/>
                    </w:rPr>
                  </w:pPr>
                  <w:r w:rsidRPr="006439CC">
                    <w:rPr>
                      <w:rFonts w:ascii="Arial" w:eastAsia="Calibri" w:hAnsi="Arial" w:cs="Arial"/>
                      <w:b/>
                      <w:bCs/>
                      <w:sz w:val="18"/>
                      <w:szCs w:val="18"/>
                      <w:lang w:eastAsia="en-ZA"/>
                    </w:rPr>
                    <w:t>Fiscal indicators (general government; %)</w:t>
                  </w:r>
                </w:p>
              </w:tc>
            </w:tr>
            <w:tr w:rsidR="006439CC" w:rsidRPr="006439CC" w14:paraId="39BED9AA" w14:textId="77777777">
              <w:trPr>
                <w:tblCellSpacing w:w="0" w:type="dxa"/>
              </w:trPr>
              <w:tc>
                <w:tcPr>
                  <w:tcW w:w="0" w:type="auto"/>
                  <w:shd w:val="clear" w:color="auto" w:fill="EFEFEF"/>
                  <w:tcMar>
                    <w:top w:w="45" w:type="dxa"/>
                    <w:left w:w="90" w:type="dxa"/>
                    <w:bottom w:w="45" w:type="dxa"/>
                    <w:right w:w="90" w:type="dxa"/>
                  </w:tcMar>
                  <w:vAlign w:val="center"/>
                  <w:hideMark/>
                </w:tcPr>
                <w:p w14:paraId="2B28CB2B"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Balance/GDP</w:t>
                  </w:r>
                </w:p>
              </w:tc>
              <w:tc>
                <w:tcPr>
                  <w:tcW w:w="0" w:type="auto"/>
                  <w:shd w:val="clear" w:color="auto" w:fill="EFEFEF"/>
                  <w:tcMar>
                    <w:top w:w="45" w:type="dxa"/>
                    <w:left w:w="90" w:type="dxa"/>
                    <w:bottom w:w="45" w:type="dxa"/>
                    <w:right w:w="90" w:type="dxa"/>
                  </w:tcMar>
                  <w:vAlign w:val="center"/>
                  <w:hideMark/>
                </w:tcPr>
                <w:p w14:paraId="5706EA77"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(3.8)</w:t>
                  </w:r>
                </w:p>
              </w:tc>
              <w:tc>
                <w:tcPr>
                  <w:tcW w:w="0" w:type="auto"/>
                  <w:shd w:val="clear" w:color="auto" w:fill="EFEFEF"/>
                  <w:tcMar>
                    <w:top w:w="45" w:type="dxa"/>
                    <w:left w:w="90" w:type="dxa"/>
                    <w:bottom w:w="45" w:type="dxa"/>
                    <w:right w:w="90" w:type="dxa"/>
                  </w:tcMar>
                  <w:vAlign w:val="center"/>
                  <w:hideMark/>
                </w:tcPr>
                <w:p w14:paraId="3F5DB9C3"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(3.7)</w:t>
                  </w:r>
                </w:p>
              </w:tc>
              <w:tc>
                <w:tcPr>
                  <w:tcW w:w="0" w:type="auto"/>
                  <w:shd w:val="clear" w:color="auto" w:fill="EFEFEF"/>
                  <w:tcMar>
                    <w:top w:w="45" w:type="dxa"/>
                    <w:left w:w="90" w:type="dxa"/>
                    <w:bottom w:w="45" w:type="dxa"/>
                    <w:right w:w="90" w:type="dxa"/>
                  </w:tcMar>
                  <w:vAlign w:val="center"/>
                  <w:hideMark/>
                </w:tcPr>
                <w:p w14:paraId="09AC423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(3.7)</w:t>
                  </w:r>
                </w:p>
              </w:tc>
              <w:tc>
                <w:tcPr>
                  <w:tcW w:w="0" w:type="auto"/>
                  <w:shd w:val="clear" w:color="auto" w:fill="EFEFEF"/>
                  <w:tcMar>
                    <w:top w:w="45" w:type="dxa"/>
                    <w:left w:w="90" w:type="dxa"/>
                    <w:bottom w:w="45" w:type="dxa"/>
                    <w:right w:w="90" w:type="dxa"/>
                  </w:tcMar>
                  <w:vAlign w:val="center"/>
                  <w:hideMark/>
                </w:tcPr>
                <w:p w14:paraId="3074D953"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(3.6)</w:t>
                  </w:r>
                </w:p>
              </w:tc>
              <w:tc>
                <w:tcPr>
                  <w:tcW w:w="0" w:type="auto"/>
                  <w:shd w:val="clear" w:color="auto" w:fill="EFEFEF"/>
                  <w:tcMar>
                    <w:top w:w="45" w:type="dxa"/>
                    <w:left w:w="90" w:type="dxa"/>
                    <w:bottom w:w="45" w:type="dxa"/>
                    <w:right w:w="90" w:type="dxa"/>
                  </w:tcMar>
                  <w:vAlign w:val="center"/>
                  <w:hideMark/>
                </w:tcPr>
                <w:p w14:paraId="0DC2187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(4.0)</w:t>
                  </w:r>
                </w:p>
              </w:tc>
              <w:tc>
                <w:tcPr>
                  <w:tcW w:w="0" w:type="auto"/>
                  <w:shd w:val="clear" w:color="auto" w:fill="EFEFEF"/>
                  <w:tcMar>
                    <w:top w:w="45" w:type="dxa"/>
                    <w:left w:w="90" w:type="dxa"/>
                    <w:bottom w:w="45" w:type="dxa"/>
                    <w:right w:w="90" w:type="dxa"/>
                  </w:tcMar>
                  <w:vAlign w:val="center"/>
                  <w:hideMark/>
                </w:tcPr>
                <w:p w14:paraId="6A31B332"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(4.3)</w:t>
                  </w:r>
                </w:p>
              </w:tc>
              <w:tc>
                <w:tcPr>
                  <w:tcW w:w="0" w:type="auto"/>
                  <w:shd w:val="clear" w:color="auto" w:fill="EFEFEF"/>
                  <w:tcMar>
                    <w:top w:w="45" w:type="dxa"/>
                    <w:left w:w="90" w:type="dxa"/>
                    <w:bottom w:w="45" w:type="dxa"/>
                    <w:right w:w="90" w:type="dxa"/>
                  </w:tcMar>
                  <w:vAlign w:val="center"/>
                  <w:hideMark/>
                </w:tcPr>
                <w:p w14:paraId="0FB46BD2"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(6.0)</w:t>
                  </w:r>
                </w:p>
              </w:tc>
              <w:tc>
                <w:tcPr>
                  <w:tcW w:w="0" w:type="auto"/>
                  <w:shd w:val="clear" w:color="auto" w:fill="EFEFEF"/>
                  <w:tcMar>
                    <w:top w:w="45" w:type="dxa"/>
                    <w:left w:w="90" w:type="dxa"/>
                    <w:bottom w:w="45" w:type="dxa"/>
                    <w:right w:w="90" w:type="dxa"/>
                  </w:tcMar>
                  <w:vAlign w:val="center"/>
                  <w:hideMark/>
                </w:tcPr>
                <w:p w14:paraId="179904E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(6.6)</w:t>
                  </w:r>
                </w:p>
              </w:tc>
              <w:tc>
                <w:tcPr>
                  <w:tcW w:w="0" w:type="auto"/>
                  <w:shd w:val="clear" w:color="auto" w:fill="EFEFEF"/>
                  <w:tcMar>
                    <w:top w:w="45" w:type="dxa"/>
                    <w:left w:w="90" w:type="dxa"/>
                    <w:bottom w:w="45" w:type="dxa"/>
                    <w:right w:w="90" w:type="dxa"/>
                  </w:tcMar>
                  <w:vAlign w:val="center"/>
                  <w:hideMark/>
                </w:tcPr>
                <w:p w14:paraId="645E9CF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(6.3)</w:t>
                  </w:r>
                </w:p>
              </w:tc>
              <w:tc>
                <w:tcPr>
                  <w:tcW w:w="0" w:type="auto"/>
                  <w:shd w:val="clear" w:color="auto" w:fill="EFEFEF"/>
                  <w:tcMar>
                    <w:top w:w="45" w:type="dxa"/>
                    <w:left w:w="90" w:type="dxa"/>
                    <w:bottom w:w="45" w:type="dxa"/>
                    <w:right w:w="90" w:type="dxa"/>
                  </w:tcMar>
                  <w:vAlign w:val="center"/>
                  <w:hideMark/>
                </w:tcPr>
                <w:p w14:paraId="1CB8714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(6.0)</w:t>
                  </w:r>
                </w:p>
              </w:tc>
              <w:tc>
                <w:tcPr>
                  <w:tcW w:w="0" w:type="auto"/>
                  <w:shd w:val="clear" w:color="auto" w:fill="EFEFEF"/>
                  <w:vAlign w:val="center"/>
                  <w:hideMark/>
                </w:tcPr>
                <w:p w14:paraId="6ADF219C"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0D1955E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00279D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A08A93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950455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78235A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95180A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6C1E5B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79706F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7F2BE8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684B6B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C6314D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023BEC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65A61A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4615EE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68344F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4FACC7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483E02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23B24F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205E7A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795D0C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97768F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501A8B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BB1383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8C5518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4D52B1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0E3E28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17663E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5E48A3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B9710E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D70859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0C1247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CA05DF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F42A9A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B74018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C6A796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BC0E99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2CF33E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20624A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0B8829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177B57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879C72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2D95DE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7F579F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F54879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8E19E5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2835EB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4D4A14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C3B75E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0282F8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0B563B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522537EA" w14:textId="77777777">
              <w:trPr>
                <w:tblCellSpacing w:w="0" w:type="dxa"/>
              </w:trPr>
              <w:tc>
                <w:tcPr>
                  <w:tcW w:w="0" w:type="auto"/>
                  <w:tcMar>
                    <w:top w:w="45" w:type="dxa"/>
                    <w:left w:w="90" w:type="dxa"/>
                    <w:bottom w:w="45" w:type="dxa"/>
                    <w:right w:w="90" w:type="dxa"/>
                  </w:tcMar>
                  <w:vAlign w:val="center"/>
                  <w:hideMark/>
                </w:tcPr>
                <w:p w14:paraId="69B13076"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Change in net debt/GDP</w:t>
                  </w:r>
                </w:p>
              </w:tc>
              <w:tc>
                <w:tcPr>
                  <w:tcW w:w="0" w:type="auto"/>
                  <w:tcMar>
                    <w:top w:w="45" w:type="dxa"/>
                    <w:left w:w="90" w:type="dxa"/>
                    <w:bottom w:w="45" w:type="dxa"/>
                    <w:right w:w="90" w:type="dxa"/>
                  </w:tcMar>
                  <w:vAlign w:val="center"/>
                  <w:hideMark/>
                </w:tcPr>
                <w:p w14:paraId="4D9D19AD"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7.6 </w:t>
                  </w:r>
                </w:p>
              </w:tc>
              <w:tc>
                <w:tcPr>
                  <w:tcW w:w="0" w:type="auto"/>
                  <w:tcMar>
                    <w:top w:w="45" w:type="dxa"/>
                    <w:left w:w="90" w:type="dxa"/>
                    <w:bottom w:w="45" w:type="dxa"/>
                    <w:right w:w="90" w:type="dxa"/>
                  </w:tcMar>
                  <w:vAlign w:val="center"/>
                  <w:hideMark/>
                </w:tcPr>
                <w:p w14:paraId="1EEED08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5.3 </w:t>
                  </w:r>
                </w:p>
              </w:tc>
              <w:tc>
                <w:tcPr>
                  <w:tcW w:w="0" w:type="auto"/>
                  <w:tcMar>
                    <w:top w:w="45" w:type="dxa"/>
                    <w:left w:w="90" w:type="dxa"/>
                    <w:bottom w:w="45" w:type="dxa"/>
                    <w:right w:w="90" w:type="dxa"/>
                  </w:tcMar>
                  <w:vAlign w:val="center"/>
                  <w:hideMark/>
                </w:tcPr>
                <w:p w14:paraId="4AC273E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5.7 </w:t>
                  </w:r>
                </w:p>
              </w:tc>
              <w:tc>
                <w:tcPr>
                  <w:tcW w:w="0" w:type="auto"/>
                  <w:tcMar>
                    <w:top w:w="45" w:type="dxa"/>
                    <w:left w:w="90" w:type="dxa"/>
                    <w:bottom w:w="45" w:type="dxa"/>
                    <w:right w:w="90" w:type="dxa"/>
                  </w:tcMar>
                  <w:vAlign w:val="center"/>
                  <w:hideMark/>
                </w:tcPr>
                <w:p w14:paraId="20E4585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4.4 </w:t>
                  </w:r>
                </w:p>
              </w:tc>
              <w:tc>
                <w:tcPr>
                  <w:tcW w:w="0" w:type="auto"/>
                  <w:tcMar>
                    <w:top w:w="45" w:type="dxa"/>
                    <w:left w:w="90" w:type="dxa"/>
                    <w:bottom w:w="45" w:type="dxa"/>
                    <w:right w:w="90" w:type="dxa"/>
                  </w:tcMar>
                  <w:vAlign w:val="center"/>
                  <w:hideMark/>
                </w:tcPr>
                <w:p w14:paraId="731E57D3"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4.8 </w:t>
                  </w:r>
                </w:p>
              </w:tc>
              <w:tc>
                <w:tcPr>
                  <w:tcW w:w="0" w:type="auto"/>
                  <w:tcMar>
                    <w:top w:w="45" w:type="dxa"/>
                    <w:left w:w="90" w:type="dxa"/>
                    <w:bottom w:w="45" w:type="dxa"/>
                    <w:right w:w="90" w:type="dxa"/>
                  </w:tcMar>
                  <w:vAlign w:val="center"/>
                  <w:hideMark/>
                </w:tcPr>
                <w:p w14:paraId="6E1C1F67"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5.9 </w:t>
                  </w:r>
                </w:p>
              </w:tc>
              <w:tc>
                <w:tcPr>
                  <w:tcW w:w="0" w:type="auto"/>
                  <w:tcMar>
                    <w:top w:w="45" w:type="dxa"/>
                    <w:left w:w="90" w:type="dxa"/>
                    <w:bottom w:w="45" w:type="dxa"/>
                    <w:right w:w="90" w:type="dxa"/>
                  </w:tcMar>
                  <w:vAlign w:val="center"/>
                  <w:hideMark/>
                </w:tcPr>
                <w:p w14:paraId="47EDA608"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7.2 </w:t>
                  </w:r>
                </w:p>
              </w:tc>
              <w:tc>
                <w:tcPr>
                  <w:tcW w:w="0" w:type="auto"/>
                  <w:tcMar>
                    <w:top w:w="45" w:type="dxa"/>
                    <w:left w:w="90" w:type="dxa"/>
                    <w:bottom w:w="45" w:type="dxa"/>
                    <w:right w:w="90" w:type="dxa"/>
                  </w:tcMar>
                  <w:vAlign w:val="center"/>
                  <w:hideMark/>
                </w:tcPr>
                <w:p w14:paraId="0307653D"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7.4 </w:t>
                  </w:r>
                </w:p>
              </w:tc>
              <w:tc>
                <w:tcPr>
                  <w:tcW w:w="0" w:type="auto"/>
                  <w:tcMar>
                    <w:top w:w="45" w:type="dxa"/>
                    <w:left w:w="90" w:type="dxa"/>
                    <w:bottom w:w="45" w:type="dxa"/>
                    <w:right w:w="90" w:type="dxa"/>
                  </w:tcMar>
                  <w:vAlign w:val="center"/>
                  <w:hideMark/>
                </w:tcPr>
                <w:p w14:paraId="4DC390F4"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7.1 </w:t>
                  </w:r>
                </w:p>
              </w:tc>
              <w:tc>
                <w:tcPr>
                  <w:tcW w:w="0" w:type="auto"/>
                  <w:tcMar>
                    <w:top w:w="45" w:type="dxa"/>
                    <w:left w:w="90" w:type="dxa"/>
                    <w:bottom w:w="45" w:type="dxa"/>
                    <w:right w:w="90" w:type="dxa"/>
                  </w:tcMar>
                  <w:vAlign w:val="center"/>
                  <w:hideMark/>
                </w:tcPr>
                <w:p w14:paraId="629CB888"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6.8 </w:t>
                  </w:r>
                </w:p>
              </w:tc>
              <w:tc>
                <w:tcPr>
                  <w:tcW w:w="0" w:type="auto"/>
                  <w:vAlign w:val="center"/>
                  <w:hideMark/>
                </w:tcPr>
                <w:p w14:paraId="31602CB9"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51A07D9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4FECF2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E5E58C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480679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D12E68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9224DE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413DC6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8FC3A4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F55B42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5ED12A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2F0C23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957B15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43C208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1B84FB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6D7825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4B103E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5F0624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1F72D1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2888E8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BD101C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C3EDBC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281637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8D28D4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083831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049B59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6C85BB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F72561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05E74F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2B93CA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758E39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81F89D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CF7FE9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0EE6F2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62BCB1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91C197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609A7D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B7808F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6FCD84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D02E37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2DCBF1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99CC3E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E14653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F7C936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930944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7B4BC1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BA15BF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85295E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34DCA8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A5EC65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0EC3E7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6B330FC3" w14:textId="77777777">
              <w:trPr>
                <w:tblCellSpacing w:w="0" w:type="dxa"/>
              </w:trPr>
              <w:tc>
                <w:tcPr>
                  <w:tcW w:w="0" w:type="auto"/>
                  <w:shd w:val="clear" w:color="auto" w:fill="EFEFEF"/>
                  <w:tcMar>
                    <w:top w:w="45" w:type="dxa"/>
                    <w:left w:w="90" w:type="dxa"/>
                    <w:bottom w:w="45" w:type="dxa"/>
                    <w:right w:w="90" w:type="dxa"/>
                  </w:tcMar>
                  <w:vAlign w:val="center"/>
                  <w:hideMark/>
                </w:tcPr>
                <w:p w14:paraId="78DF004B"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Primary balance/GDP</w:t>
                  </w:r>
                </w:p>
              </w:tc>
              <w:tc>
                <w:tcPr>
                  <w:tcW w:w="0" w:type="auto"/>
                  <w:shd w:val="clear" w:color="auto" w:fill="EFEFEF"/>
                  <w:tcMar>
                    <w:top w:w="45" w:type="dxa"/>
                    <w:left w:w="90" w:type="dxa"/>
                    <w:bottom w:w="45" w:type="dxa"/>
                    <w:right w:w="90" w:type="dxa"/>
                  </w:tcMar>
                  <w:vAlign w:val="center"/>
                  <w:hideMark/>
                </w:tcPr>
                <w:p w14:paraId="1E1B39D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(1.0)</w:t>
                  </w:r>
                </w:p>
              </w:tc>
              <w:tc>
                <w:tcPr>
                  <w:tcW w:w="0" w:type="auto"/>
                  <w:shd w:val="clear" w:color="auto" w:fill="EFEFEF"/>
                  <w:tcMar>
                    <w:top w:w="45" w:type="dxa"/>
                    <w:left w:w="90" w:type="dxa"/>
                    <w:bottom w:w="45" w:type="dxa"/>
                    <w:right w:w="90" w:type="dxa"/>
                  </w:tcMar>
                  <w:vAlign w:val="center"/>
                  <w:hideMark/>
                </w:tcPr>
                <w:p w14:paraId="15873CB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(0.7)</w:t>
                  </w:r>
                </w:p>
              </w:tc>
              <w:tc>
                <w:tcPr>
                  <w:tcW w:w="0" w:type="auto"/>
                  <w:shd w:val="clear" w:color="auto" w:fill="EFEFEF"/>
                  <w:tcMar>
                    <w:top w:w="45" w:type="dxa"/>
                    <w:left w:w="90" w:type="dxa"/>
                    <w:bottom w:w="45" w:type="dxa"/>
                    <w:right w:w="90" w:type="dxa"/>
                  </w:tcMar>
                  <w:vAlign w:val="center"/>
                  <w:hideMark/>
                </w:tcPr>
                <w:p w14:paraId="0031B84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(0.5)</w:t>
                  </w:r>
                </w:p>
              </w:tc>
              <w:tc>
                <w:tcPr>
                  <w:tcW w:w="0" w:type="auto"/>
                  <w:shd w:val="clear" w:color="auto" w:fill="EFEFEF"/>
                  <w:tcMar>
                    <w:top w:w="45" w:type="dxa"/>
                    <w:left w:w="90" w:type="dxa"/>
                    <w:bottom w:w="45" w:type="dxa"/>
                    <w:right w:w="90" w:type="dxa"/>
                  </w:tcMar>
                  <w:vAlign w:val="center"/>
                  <w:hideMark/>
                </w:tcPr>
                <w:p w14:paraId="0E77A702"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(0.2)</w:t>
                  </w:r>
                </w:p>
              </w:tc>
              <w:tc>
                <w:tcPr>
                  <w:tcW w:w="0" w:type="auto"/>
                  <w:shd w:val="clear" w:color="auto" w:fill="EFEFEF"/>
                  <w:tcMar>
                    <w:top w:w="45" w:type="dxa"/>
                    <w:left w:w="90" w:type="dxa"/>
                    <w:bottom w:w="45" w:type="dxa"/>
                    <w:right w:w="90" w:type="dxa"/>
                  </w:tcMar>
                  <w:vAlign w:val="center"/>
                  <w:hideMark/>
                </w:tcPr>
                <w:p w14:paraId="1F4EAD14"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(0.5)</w:t>
                  </w:r>
                </w:p>
              </w:tc>
              <w:tc>
                <w:tcPr>
                  <w:tcW w:w="0" w:type="auto"/>
                  <w:shd w:val="clear" w:color="auto" w:fill="EFEFEF"/>
                  <w:tcMar>
                    <w:top w:w="45" w:type="dxa"/>
                    <w:left w:w="90" w:type="dxa"/>
                    <w:bottom w:w="45" w:type="dxa"/>
                    <w:right w:w="90" w:type="dxa"/>
                  </w:tcMar>
                  <w:vAlign w:val="center"/>
                  <w:hideMark/>
                </w:tcPr>
                <w:p w14:paraId="2852A6B3"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(0.5)</w:t>
                  </w:r>
                </w:p>
              </w:tc>
              <w:tc>
                <w:tcPr>
                  <w:tcW w:w="0" w:type="auto"/>
                  <w:shd w:val="clear" w:color="auto" w:fill="EFEFEF"/>
                  <w:tcMar>
                    <w:top w:w="45" w:type="dxa"/>
                    <w:left w:w="90" w:type="dxa"/>
                    <w:bottom w:w="45" w:type="dxa"/>
                    <w:right w:w="90" w:type="dxa"/>
                  </w:tcMar>
                  <w:vAlign w:val="center"/>
                  <w:hideMark/>
                </w:tcPr>
                <w:p w14:paraId="05D1E33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(2.0)</w:t>
                  </w:r>
                </w:p>
              </w:tc>
              <w:tc>
                <w:tcPr>
                  <w:tcW w:w="0" w:type="auto"/>
                  <w:shd w:val="clear" w:color="auto" w:fill="EFEFEF"/>
                  <w:tcMar>
                    <w:top w:w="45" w:type="dxa"/>
                    <w:left w:w="90" w:type="dxa"/>
                    <w:bottom w:w="45" w:type="dxa"/>
                    <w:right w:w="90" w:type="dxa"/>
                  </w:tcMar>
                  <w:vAlign w:val="center"/>
                  <w:hideMark/>
                </w:tcPr>
                <w:p w14:paraId="60059130"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(2.1)</w:t>
                  </w:r>
                </w:p>
              </w:tc>
              <w:tc>
                <w:tcPr>
                  <w:tcW w:w="0" w:type="auto"/>
                  <w:shd w:val="clear" w:color="auto" w:fill="EFEFEF"/>
                  <w:tcMar>
                    <w:top w:w="45" w:type="dxa"/>
                    <w:left w:w="90" w:type="dxa"/>
                    <w:bottom w:w="45" w:type="dxa"/>
                    <w:right w:w="90" w:type="dxa"/>
                  </w:tcMar>
                  <w:vAlign w:val="center"/>
                  <w:hideMark/>
                </w:tcPr>
                <w:p w14:paraId="509FB5B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(1.5)</w:t>
                  </w:r>
                </w:p>
              </w:tc>
              <w:tc>
                <w:tcPr>
                  <w:tcW w:w="0" w:type="auto"/>
                  <w:shd w:val="clear" w:color="auto" w:fill="EFEFEF"/>
                  <w:tcMar>
                    <w:top w:w="45" w:type="dxa"/>
                    <w:left w:w="90" w:type="dxa"/>
                    <w:bottom w:w="45" w:type="dxa"/>
                    <w:right w:w="90" w:type="dxa"/>
                  </w:tcMar>
                  <w:vAlign w:val="center"/>
                  <w:hideMark/>
                </w:tcPr>
                <w:p w14:paraId="1A0B91DD"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(1.0)</w:t>
                  </w:r>
                </w:p>
              </w:tc>
              <w:tc>
                <w:tcPr>
                  <w:tcW w:w="0" w:type="auto"/>
                  <w:shd w:val="clear" w:color="auto" w:fill="EFEFEF"/>
                  <w:vAlign w:val="center"/>
                  <w:hideMark/>
                </w:tcPr>
                <w:p w14:paraId="48E79756"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77A5A61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8E1B71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63ACFF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94A11C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999A6B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69E5C2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442268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8CDB5A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6BEBDF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E8B18C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941846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181003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CF1280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A9A42C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B01A8A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9AF39D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24B225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771E5C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78A0D7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63465B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32E767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882B4F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965B23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D71AD5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D13842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0C2743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EF1087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FDFB18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3AB37A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A82DBC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9375B6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BB9878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79055F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73E2F4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7A9AFF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3D1188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7A800D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334F83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2244EF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5F56D6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3722FE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EA5838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EB358C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161FE3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761A29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7A6B62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1A693F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E8835F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A8C060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8CFE93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4078DBF8" w14:textId="77777777">
              <w:trPr>
                <w:tblCellSpacing w:w="0" w:type="dxa"/>
              </w:trPr>
              <w:tc>
                <w:tcPr>
                  <w:tcW w:w="0" w:type="auto"/>
                  <w:tcMar>
                    <w:top w:w="45" w:type="dxa"/>
                    <w:left w:w="90" w:type="dxa"/>
                    <w:bottom w:w="45" w:type="dxa"/>
                    <w:right w:w="90" w:type="dxa"/>
                  </w:tcMar>
                  <w:vAlign w:val="center"/>
                  <w:hideMark/>
                </w:tcPr>
                <w:p w14:paraId="20F0A6CD"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Revenue/GDP</w:t>
                  </w:r>
                </w:p>
              </w:tc>
              <w:tc>
                <w:tcPr>
                  <w:tcW w:w="0" w:type="auto"/>
                  <w:tcMar>
                    <w:top w:w="45" w:type="dxa"/>
                    <w:left w:w="90" w:type="dxa"/>
                    <w:bottom w:w="45" w:type="dxa"/>
                    <w:right w:w="90" w:type="dxa"/>
                  </w:tcMar>
                  <w:vAlign w:val="center"/>
                  <w:hideMark/>
                </w:tcPr>
                <w:p w14:paraId="4B3BBCC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28.5 </w:t>
                  </w:r>
                </w:p>
              </w:tc>
              <w:tc>
                <w:tcPr>
                  <w:tcW w:w="0" w:type="auto"/>
                  <w:tcMar>
                    <w:top w:w="45" w:type="dxa"/>
                    <w:left w:w="90" w:type="dxa"/>
                    <w:bottom w:w="45" w:type="dxa"/>
                    <w:right w:w="90" w:type="dxa"/>
                  </w:tcMar>
                  <w:vAlign w:val="center"/>
                  <w:hideMark/>
                </w:tcPr>
                <w:p w14:paraId="4DC6AC09"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28.8 </w:t>
                  </w:r>
                </w:p>
              </w:tc>
              <w:tc>
                <w:tcPr>
                  <w:tcW w:w="0" w:type="auto"/>
                  <w:tcMar>
                    <w:top w:w="45" w:type="dxa"/>
                    <w:left w:w="90" w:type="dxa"/>
                    <w:bottom w:w="45" w:type="dxa"/>
                    <w:right w:w="90" w:type="dxa"/>
                  </w:tcMar>
                  <w:vAlign w:val="center"/>
                  <w:hideMark/>
                </w:tcPr>
                <w:p w14:paraId="59C2AB83"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30.0 </w:t>
                  </w:r>
                </w:p>
              </w:tc>
              <w:tc>
                <w:tcPr>
                  <w:tcW w:w="0" w:type="auto"/>
                  <w:tcMar>
                    <w:top w:w="45" w:type="dxa"/>
                    <w:left w:w="90" w:type="dxa"/>
                    <w:bottom w:w="45" w:type="dxa"/>
                    <w:right w:w="90" w:type="dxa"/>
                  </w:tcMar>
                  <w:vAlign w:val="center"/>
                  <w:hideMark/>
                </w:tcPr>
                <w:p w14:paraId="1C3A9D0E"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29.5 </w:t>
                  </w:r>
                </w:p>
              </w:tc>
              <w:tc>
                <w:tcPr>
                  <w:tcW w:w="0" w:type="auto"/>
                  <w:tcMar>
                    <w:top w:w="45" w:type="dxa"/>
                    <w:left w:w="90" w:type="dxa"/>
                    <w:bottom w:w="45" w:type="dxa"/>
                    <w:right w:w="90" w:type="dxa"/>
                  </w:tcMar>
                  <w:vAlign w:val="center"/>
                  <w:hideMark/>
                </w:tcPr>
                <w:p w14:paraId="0FA7DB1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29.1 </w:t>
                  </w:r>
                </w:p>
              </w:tc>
              <w:tc>
                <w:tcPr>
                  <w:tcW w:w="0" w:type="auto"/>
                  <w:tcMar>
                    <w:top w:w="45" w:type="dxa"/>
                    <w:left w:w="90" w:type="dxa"/>
                    <w:bottom w:w="45" w:type="dxa"/>
                    <w:right w:w="90" w:type="dxa"/>
                  </w:tcMar>
                  <w:vAlign w:val="center"/>
                  <w:hideMark/>
                </w:tcPr>
                <w:p w14:paraId="358D7D6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29.7 </w:t>
                  </w:r>
                </w:p>
              </w:tc>
              <w:tc>
                <w:tcPr>
                  <w:tcW w:w="0" w:type="auto"/>
                  <w:tcMar>
                    <w:top w:w="45" w:type="dxa"/>
                    <w:left w:w="90" w:type="dxa"/>
                    <w:bottom w:w="45" w:type="dxa"/>
                    <w:right w:w="90" w:type="dxa"/>
                  </w:tcMar>
                  <w:vAlign w:val="center"/>
                  <w:hideMark/>
                </w:tcPr>
                <w:p w14:paraId="101126D9"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29.8 </w:t>
                  </w:r>
                </w:p>
              </w:tc>
              <w:tc>
                <w:tcPr>
                  <w:tcW w:w="0" w:type="auto"/>
                  <w:tcMar>
                    <w:top w:w="45" w:type="dxa"/>
                    <w:left w:w="90" w:type="dxa"/>
                    <w:bottom w:w="45" w:type="dxa"/>
                    <w:right w:w="90" w:type="dxa"/>
                  </w:tcMar>
                  <w:vAlign w:val="center"/>
                  <w:hideMark/>
                </w:tcPr>
                <w:p w14:paraId="7D0C166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29.9 </w:t>
                  </w:r>
                </w:p>
              </w:tc>
              <w:tc>
                <w:tcPr>
                  <w:tcW w:w="0" w:type="auto"/>
                  <w:tcMar>
                    <w:top w:w="45" w:type="dxa"/>
                    <w:left w:w="90" w:type="dxa"/>
                    <w:bottom w:w="45" w:type="dxa"/>
                    <w:right w:w="90" w:type="dxa"/>
                  </w:tcMar>
                  <w:vAlign w:val="center"/>
                  <w:hideMark/>
                </w:tcPr>
                <w:p w14:paraId="53C4DA9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29.9 </w:t>
                  </w:r>
                </w:p>
              </w:tc>
              <w:tc>
                <w:tcPr>
                  <w:tcW w:w="0" w:type="auto"/>
                  <w:tcMar>
                    <w:top w:w="45" w:type="dxa"/>
                    <w:left w:w="90" w:type="dxa"/>
                    <w:bottom w:w="45" w:type="dxa"/>
                    <w:right w:w="90" w:type="dxa"/>
                  </w:tcMar>
                  <w:vAlign w:val="center"/>
                  <w:hideMark/>
                </w:tcPr>
                <w:p w14:paraId="4201C278"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29.9 </w:t>
                  </w:r>
                </w:p>
              </w:tc>
              <w:tc>
                <w:tcPr>
                  <w:tcW w:w="0" w:type="auto"/>
                  <w:vAlign w:val="center"/>
                  <w:hideMark/>
                </w:tcPr>
                <w:p w14:paraId="588E4E9B"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666A886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000513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7390E8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2EF904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B7E22C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109B87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CF6644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372CB3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5EAF6B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20890D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DAA772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FAAF41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C62915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C6E639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1EE648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1945BE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395745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79E2BB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A00D99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DA826D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6E797D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DB81B3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AF91B9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1A37CE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7FC04C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A505C7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7F78D7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EFA87A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C3252A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199B3B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0909EF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730479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23688F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130B51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4A0BD0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581794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317A08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C75D97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024B18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ABC60B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7D714E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14B077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66A369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3BE5C3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8E547E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F046E8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810929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ED5C15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9670FC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1D62C9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4FC60E47" w14:textId="77777777">
              <w:trPr>
                <w:tblCellSpacing w:w="0" w:type="dxa"/>
              </w:trPr>
              <w:tc>
                <w:tcPr>
                  <w:tcW w:w="0" w:type="auto"/>
                  <w:shd w:val="clear" w:color="auto" w:fill="EFEFEF"/>
                  <w:tcMar>
                    <w:top w:w="45" w:type="dxa"/>
                    <w:left w:w="90" w:type="dxa"/>
                    <w:bottom w:w="45" w:type="dxa"/>
                    <w:right w:w="90" w:type="dxa"/>
                  </w:tcMar>
                  <w:vAlign w:val="center"/>
                  <w:hideMark/>
                </w:tcPr>
                <w:p w14:paraId="779B878A"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Expenditures/GDP</w:t>
                  </w:r>
                </w:p>
              </w:tc>
              <w:tc>
                <w:tcPr>
                  <w:tcW w:w="0" w:type="auto"/>
                  <w:shd w:val="clear" w:color="auto" w:fill="EFEFEF"/>
                  <w:tcMar>
                    <w:top w:w="45" w:type="dxa"/>
                    <w:left w:w="90" w:type="dxa"/>
                    <w:bottom w:w="45" w:type="dxa"/>
                    <w:right w:w="90" w:type="dxa"/>
                  </w:tcMar>
                  <w:vAlign w:val="center"/>
                  <w:hideMark/>
                </w:tcPr>
                <w:p w14:paraId="24ABC028"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32.3 </w:t>
                  </w:r>
                </w:p>
              </w:tc>
              <w:tc>
                <w:tcPr>
                  <w:tcW w:w="0" w:type="auto"/>
                  <w:shd w:val="clear" w:color="auto" w:fill="EFEFEF"/>
                  <w:tcMar>
                    <w:top w:w="45" w:type="dxa"/>
                    <w:left w:w="90" w:type="dxa"/>
                    <w:bottom w:w="45" w:type="dxa"/>
                    <w:right w:w="90" w:type="dxa"/>
                  </w:tcMar>
                  <w:vAlign w:val="center"/>
                  <w:hideMark/>
                </w:tcPr>
                <w:p w14:paraId="6BF77E4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32.5 </w:t>
                  </w:r>
                </w:p>
              </w:tc>
              <w:tc>
                <w:tcPr>
                  <w:tcW w:w="0" w:type="auto"/>
                  <w:shd w:val="clear" w:color="auto" w:fill="EFEFEF"/>
                  <w:tcMar>
                    <w:top w:w="45" w:type="dxa"/>
                    <w:left w:w="90" w:type="dxa"/>
                    <w:bottom w:w="45" w:type="dxa"/>
                    <w:right w:w="90" w:type="dxa"/>
                  </w:tcMar>
                  <w:vAlign w:val="center"/>
                  <w:hideMark/>
                </w:tcPr>
                <w:p w14:paraId="10B4F33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33.7 </w:t>
                  </w:r>
                </w:p>
              </w:tc>
              <w:tc>
                <w:tcPr>
                  <w:tcW w:w="0" w:type="auto"/>
                  <w:shd w:val="clear" w:color="auto" w:fill="EFEFEF"/>
                  <w:tcMar>
                    <w:top w:w="45" w:type="dxa"/>
                    <w:left w:w="90" w:type="dxa"/>
                    <w:bottom w:w="45" w:type="dxa"/>
                    <w:right w:w="90" w:type="dxa"/>
                  </w:tcMar>
                  <w:vAlign w:val="center"/>
                  <w:hideMark/>
                </w:tcPr>
                <w:p w14:paraId="08E260A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33.1 </w:t>
                  </w:r>
                </w:p>
              </w:tc>
              <w:tc>
                <w:tcPr>
                  <w:tcW w:w="0" w:type="auto"/>
                  <w:shd w:val="clear" w:color="auto" w:fill="EFEFEF"/>
                  <w:tcMar>
                    <w:top w:w="45" w:type="dxa"/>
                    <w:left w:w="90" w:type="dxa"/>
                    <w:bottom w:w="45" w:type="dxa"/>
                    <w:right w:w="90" w:type="dxa"/>
                  </w:tcMar>
                  <w:vAlign w:val="center"/>
                  <w:hideMark/>
                </w:tcPr>
                <w:p w14:paraId="6FA326A2"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33.2 </w:t>
                  </w:r>
                </w:p>
              </w:tc>
              <w:tc>
                <w:tcPr>
                  <w:tcW w:w="0" w:type="auto"/>
                  <w:shd w:val="clear" w:color="auto" w:fill="EFEFEF"/>
                  <w:tcMar>
                    <w:top w:w="45" w:type="dxa"/>
                    <w:left w:w="90" w:type="dxa"/>
                    <w:bottom w:w="45" w:type="dxa"/>
                    <w:right w:w="90" w:type="dxa"/>
                  </w:tcMar>
                  <w:vAlign w:val="center"/>
                  <w:hideMark/>
                </w:tcPr>
                <w:p w14:paraId="610DFCA0"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33.9 </w:t>
                  </w:r>
                </w:p>
              </w:tc>
              <w:tc>
                <w:tcPr>
                  <w:tcW w:w="0" w:type="auto"/>
                  <w:shd w:val="clear" w:color="auto" w:fill="EFEFEF"/>
                  <w:tcMar>
                    <w:top w:w="45" w:type="dxa"/>
                    <w:left w:w="90" w:type="dxa"/>
                    <w:bottom w:w="45" w:type="dxa"/>
                    <w:right w:w="90" w:type="dxa"/>
                  </w:tcMar>
                  <w:vAlign w:val="center"/>
                  <w:hideMark/>
                </w:tcPr>
                <w:p w14:paraId="70A175FE"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35.8 </w:t>
                  </w:r>
                </w:p>
              </w:tc>
              <w:tc>
                <w:tcPr>
                  <w:tcW w:w="0" w:type="auto"/>
                  <w:shd w:val="clear" w:color="auto" w:fill="EFEFEF"/>
                  <w:tcMar>
                    <w:top w:w="45" w:type="dxa"/>
                    <w:left w:w="90" w:type="dxa"/>
                    <w:bottom w:w="45" w:type="dxa"/>
                    <w:right w:w="90" w:type="dxa"/>
                  </w:tcMar>
                  <w:vAlign w:val="center"/>
                  <w:hideMark/>
                </w:tcPr>
                <w:p w14:paraId="7D38726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36.6 </w:t>
                  </w:r>
                </w:p>
              </w:tc>
              <w:tc>
                <w:tcPr>
                  <w:tcW w:w="0" w:type="auto"/>
                  <w:shd w:val="clear" w:color="auto" w:fill="EFEFEF"/>
                  <w:tcMar>
                    <w:top w:w="45" w:type="dxa"/>
                    <w:left w:w="90" w:type="dxa"/>
                    <w:bottom w:w="45" w:type="dxa"/>
                    <w:right w:w="90" w:type="dxa"/>
                  </w:tcMar>
                  <w:vAlign w:val="center"/>
                  <w:hideMark/>
                </w:tcPr>
                <w:p w14:paraId="7988DCA9"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36.3 </w:t>
                  </w:r>
                </w:p>
              </w:tc>
              <w:tc>
                <w:tcPr>
                  <w:tcW w:w="0" w:type="auto"/>
                  <w:shd w:val="clear" w:color="auto" w:fill="EFEFEF"/>
                  <w:tcMar>
                    <w:top w:w="45" w:type="dxa"/>
                    <w:left w:w="90" w:type="dxa"/>
                    <w:bottom w:w="45" w:type="dxa"/>
                    <w:right w:w="90" w:type="dxa"/>
                  </w:tcMar>
                  <w:vAlign w:val="center"/>
                  <w:hideMark/>
                </w:tcPr>
                <w:p w14:paraId="12862F1E"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35.9 </w:t>
                  </w:r>
                </w:p>
              </w:tc>
              <w:tc>
                <w:tcPr>
                  <w:tcW w:w="0" w:type="auto"/>
                  <w:shd w:val="clear" w:color="auto" w:fill="EFEFEF"/>
                  <w:vAlign w:val="center"/>
                  <w:hideMark/>
                </w:tcPr>
                <w:p w14:paraId="40CA3EC8"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29D750E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4487ED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C3804A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C16899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7A9AF1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3AFC12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892CCC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2C73B6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03D8B2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40EF56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CE98C1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6B1545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BFE11C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CFC0C2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C6A20D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E7B6DB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02CDE7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4607FE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516E17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9D435F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D275DA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A40EBD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7A39F7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B28AF2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2D55E9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E9A896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995A68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D237EA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5BE000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5137A4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74629E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9C1E99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F2B371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7EC98F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AB5E7A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F85691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C1D1BE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3C5301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ED27F6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C6F64B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877C4E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5C8C41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217130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A41AC6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480332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53828E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686F54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27D3F5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9F411E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35F72D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101BCB49" w14:textId="77777777">
              <w:trPr>
                <w:tblCellSpacing w:w="0" w:type="dxa"/>
              </w:trPr>
              <w:tc>
                <w:tcPr>
                  <w:tcW w:w="0" w:type="auto"/>
                  <w:tcMar>
                    <w:top w:w="45" w:type="dxa"/>
                    <w:left w:w="90" w:type="dxa"/>
                    <w:bottom w:w="45" w:type="dxa"/>
                    <w:right w:w="90" w:type="dxa"/>
                  </w:tcMar>
                  <w:vAlign w:val="center"/>
                  <w:hideMark/>
                </w:tcPr>
                <w:p w14:paraId="7C1EA802"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Interest/revenues</w:t>
                  </w:r>
                </w:p>
              </w:tc>
              <w:tc>
                <w:tcPr>
                  <w:tcW w:w="0" w:type="auto"/>
                  <w:tcMar>
                    <w:top w:w="45" w:type="dxa"/>
                    <w:left w:w="90" w:type="dxa"/>
                    <w:bottom w:w="45" w:type="dxa"/>
                    <w:right w:w="90" w:type="dxa"/>
                  </w:tcMar>
                  <w:vAlign w:val="center"/>
                  <w:hideMark/>
                </w:tcPr>
                <w:p w14:paraId="3F205C59"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10.0 </w:t>
                  </w:r>
                </w:p>
              </w:tc>
              <w:tc>
                <w:tcPr>
                  <w:tcW w:w="0" w:type="auto"/>
                  <w:tcMar>
                    <w:top w:w="45" w:type="dxa"/>
                    <w:left w:w="90" w:type="dxa"/>
                    <w:bottom w:w="45" w:type="dxa"/>
                    <w:right w:w="90" w:type="dxa"/>
                  </w:tcMar>
                  <w:vAlign w:val="center"/>
                  <w:hideMark/>
                </w:tcPr>
                <w:p w14:paraId="5783937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10.5 </w:t>
                  </w:r>
                </w:p>
              </w:tc>
              <w:tc>
                <w:tcPr>
                  <w:tcW w:w="0" w:type="auto"/>
                  <w:tcMar>
                    <w:top w:w="45" w:type="dxa"/>
                    <w:left w:w="90" w:type="dxa"/>
                    <w:bottom w:w="45" w:type="dxa"/>
                    <w:right w:w="90" w:type="dxa"/>
                  </w:tcMar>
                  <w:vAlign w:val="center"/>
                  <w:hideMark/>
                </w:tcPr>
                <w:p w14:paraId="6DBDA4A8"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10.6 </w:t>
                  </w:r>
                </w:p>
              </w:tc>
              <w:tc>
                <w:tcPr>
                  <w:tcW w:w="0" w:type="auto"/>
                  <w:tcMar>
                    <w:top w:w="45" w:type="dxa"/>
                    <w:left w:w="90" w:type="dxa"/>
                    <w:bottom w:w="45" w:type="dxa"/>
                    <w:right w:w="90" w:type="dxa"/>
                  </w:tcMar>
                  <w:vAlign w:val="center"/>
                  <w:hideMark/>
                </w:tcPr>
                <w:p w14:paraId="1F62AC1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11.4 </w:t>
                  </w:r>
                </w:p>
              </w:tc>
              <w:tc>
                <w:tcPr>
                  <w:tcW w:w="0" w:type="auto"/>
                  <w:tcMar>
                    <w:top w:w="45" w:type="dxa"/>
                    <w:left w:w="90" w:type="dxa"/>
                    <w:bottom w:w="45" w:type="dxa"/>
                    <w:right w:w="90" w:type="dxa"/>
                  </w:tcMar>
                  <w:vAlign w:val="center"/>
                  <w:hideMark/>
                </w:tcPr>
                <w:p w14:paraId="27715104"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12.0 </w:t>
                  </w:r>
                </w:p>
              </w:tc>
              <w:tc>
                <w:tcPr>
                  <w:tcW w:w="0" w:type="auto"/>
                  <w:tcMar>
                    <w:top w:w="45" w:type="dxa"/>
                    <w:left w:w="90" w:type="dxa"/>
                    <w:bottom w:w="45" w:type="dxa"/>
                    <w:right w:w="90" w:type="dxa"/>
                  </w:tcMar>
                  <w:vAlign w:val="center"/>
                  <w:hideMark/>
                </w:tcPr>
                <w:p w14:paraId="413DCBB0"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12.6 </w:t>
                  </w:r>
                </w:p>
              </w:tc>
              <w:tc>
                <w:tcPr>
                  <w:tcW w:w="0" w:type="auto"/>
                  <w:tcMar>
                    <w:top w:w="45" w:type="dxa"/>
                    <w:left w:w="90" w:type="dxa"/>
                    <w:bottom w:w="45" w:type="dxa"/>
                    <w:right w:w="90" w:type="dxa"/>
                  </w:tcMar>
                  <w:vAlign w:val="center"/>
                  <w:hideMark/>
                </w:tcPr>
                <w:p w14:paraId="7ABBF27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13.6 </w:t>
                  </w:r>
                </w:p>
              </w:tc>
              <w:tc>
                <w:tcPr>
                  <w:tcW w:w="0" w:type="auto"/>
                  <w:tcMar>
                    <w:top w:w="45" w:type="dxa"/>
                    <w:left w:w="90" w:type="dxa"/>
                    <w:bottom w:w="45" w:type="dxa"/>
                    <w:right w:w="90" w:type="dxa"/>
                  </w:tcMar>
                  <w:vAlign w:val="center"/>
                  <w:hideMark/>
                </w:tcPr>
                <w:p w14:paraId="175246D5"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15.0 </w:t>
                  </w:r>
                </w:p>
              </w:tc>
              <w:tc>
                <w:tcPr>
                  <w:tcW w:w="0" w:type="auto"/>
                  <w:tcMar>
                    <w:top w:w="45" w:type="dxa"/>
                    <w:left w:w="90" w:type="dxa"/>
                    <w:bottom w:w="45" w:type="dxa"/>
                    <w:right w:w="90" w:type="dxa"/>
                  </w:tcMar>
                  <w:vAlign w:val="center"/>
                  <w:hideMark/>
                </w:tcPr>
                <w:p w14:paraId="4A740D74"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16.0 </w:t>
                  </w:r>
                </w:p>
              </w:tc>
              <w:tc>
                <w:tcPr>
                  <w:tcW w:w="0" w:type="auto"/>
                  <w:tcMar>
                    <w:top w:w="45" w:type="dxa"/>
                    <w:left w:w="90" w:type="dxa"/>
                    <w:bottom w:w="45" w:type="dxa"/>
                    <w:right w:w="90" w:type="dxa"/>
                  </w:tcMar>
                  <w:vAlign w:val="center"/>
                  <w:hideMark/>
                </w:tcPr>
                <w:p w14:paraId="6134FE32"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16.8 </w:t>
                  </w:r>
                </w:p>
              </w:tc>
              <w:tc>
                <w:tcPr>
                  <w:tcW w:w="0" w:type="auto"/>
                  <w:vAlign w:val="center"/>
                  <w:hideMark/>
                </w:tcPr>
                <w:p w14:paraId="4908A2F3"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6B60157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025A57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F48C71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60A1AB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CB0A1A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F3620B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A92DEC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F797CB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2B16A9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B52157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70E596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C89E40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0FE696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B1EE53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B4D5E4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226B31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1B074F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983B66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CF9F16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BAFC92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1C5907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343621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B17162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FB98B1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C18EE2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3754C5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5FEC7A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A3F0D6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FF285F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60ACC4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74C387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21F9B5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197AF4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32BF9A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914703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02239A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C09F08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45CCAA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6D816B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AEBD8A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4E3294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9B4567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6654DB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762904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B462CA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E2B6D8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316186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1B410E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3F81DD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09DC85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1ACAB156" w14:textId="77777777">
              <w:trPr>
                <w:tblCellSpacing w:w="0" w:type="dxa"/>
              </w:trPr>
              <w:tc>
                <w:tcPr>
                  <w:tcW w:w="0" w:type="auto"/>
                  <w:shd w:val="clear" w:color="auto" w:fill="EFEFEF"/>
                  <w:tcMar>
                    <w:top w:w="45" w:type="dxa"/>
                    <w:left w:w="90" w:type="dxa"/>
                    <w:bottom w:w="45" w:type="dxa"/>
                    <w:right w:w="90" w:type="dxa"/>
                  </w:tcMar>
                  <w:vAlign w:val="center"/>
                  <w:hideMark/>
                </w:tcPr>
                <w:p w14:paraId="155277E7"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Debt/GDP</w:t>
                  </w:r>
                </w:p>
              </w:tc>
              <w:tc>
                <w:tcPr>
                  <w:tcW w:w="0" w:type="auto"/>
                  <w:shd w:val="clear" w:color="auto" w:fill="EFEFEF"/>
                  <w:tcMar>
                    <w:top w:w="45" w:type="dxa"/>
                    <w:left w:w="90" w:type="dxa"/>
                    <w:bottom w:w="45" w:type="dxa"/>
                    <w:right w:w="90" w:type="dxa"/>
                  </w:tcMar>
                  <w:vAlign w:val="center"/>
                  <w:hideMark/>
                </w:tcPr>
                <w:p w14:paraId="17CE9E3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46.1 </w:t>
                  </w:r>
                </w:p>
              </w:tc>
              <w:tc>
                <w:tcPr>
                  <w:tcW w:w="0" w:type="auto"/>
                  <w:shd w:val="clear" w:color="auto" w:fill="EFEFEF"/>
                  <w:tcMar>
                    <w:top w:w="45" w:type="dxa"/>
                    <w:left w:w="90" w:type="dxa"/>
                    <w:bottom w:w="45" w:type="dxa"/>
                    <w:right w:w="90" w:type="dxa"/>
                  </w:tcMar>
                  <w:vAlign w:val="center"/>
                  <w:hideMark/>
                </w:tcPr>
                <w:p w14:paraId="6C98F195"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48.4 </w:t>
                  </w:r>
                </w:p>
              </w:tc>
              <w:tc>
                <w:tcPr>
                  <w:tcW w:w="0" w:type="auto"/>
                  <w:shd w:val="clear" w:color="auto" w:fill="EFEFEF"/>
                  <w:tcMar>
                    <w:top w:w="45" w:type="dxa"/>
                    <w:left w:w="90" w:type="dxa"/>
                    <w:bottom w:w="45" w:type="dxa"/>
                    <w:right w:w="90" w:type="dxa"/>
                  </w:tcMar>
                  <w:vAlign w:val="center"/>
                  <w:hideMark/>
                </w:tcPr>
                <w:p w14:paraId="4278CB27"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50.9 </w:t>
                  </w:r>
                </w:p>
              </w:tc>
              <w:tc>
                <w:tcPr>
                  <w:tcW w:w="0" w:type="auto"/>
                  <w:shd w:val="clear" w:color="auto" w:fill="EFEFEF"/>
                  <w:tcMar>
                    <w:top w:w="45" w:type="dxa"/>
                    <w:left w:w="90" w:type="dxa"/>
                    <w:bottom w:w="45" w:type="dxa"/>
                    <w:right w:w="90" w:type="dxa"/>
                  </w:tcMar>
                  <w:vAlign w:val="center"/>
                  <w:hideMark/>
                </w:tcPr>
                <w:p w14:paraId="2F1671E8"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52.2 </w:t>
                  </w:r>
                </w:p>
              </w:tc>
              <w:tc>
                <w:tcPr>
                  <w:tcW w:w="0" w:type="auto"/>
                  <w:shd w:val="clear" w:color="auto" w:fill="EFEFEF"/>
                  <w:tcMar>
                    <w:top w:w="45" w:type="dxa"/>
                    <w:left w:w="90" w:type="dxa"/>
                    <w:bottom w:w="45" w:type="dxa"/>
                    <w:right w:w="90" w:type="dxa"/>
                  </w:tcMar>
                  <w:vAlign w:val="center"/>
                  <w:hideMark/>
                </w:tcPr>
                <w:p w14:paraId="0B1CA9D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54.4 </w:t>
                  </w:r>
                </w:p>
              </w:tc>
              <w:tc>
                <w:tcPr>
                  <w:tcW w:w="0" w:type="auto"/>
                  <w:shd w:val="clear" w:color="auto" w:fill="EFEFEF"/>
                  <w:tcMar>
                    <w:top w:w="45" w:type="dxa"/>
                    <w:left w:w="90" w:type="dxa"/>
                    <w:bottom w:w="45" w:type="dxa"/>
                    <w:right w:w="90" w:type="dxa"/>
                  </w:tcMar>
                  <w:vAlign w:val="center"/>
                  <w:hideMark/>
                </w:tcPr>
                <w:p w14:paraId="65ACB82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58.1 </w:t>
                  </w:r>
                </w:p>
              </w:tc>
              <w:tc>
                <w:tcPr>
                  <w:tcW w:w="0" w:type="auto"/>
                  <w:shd w:val="clear" w:color="auto" w:fill="EFEFEF"/>
                  <w:tcMar>
                    <w:top w:w="45" w:type="dxa"/>
                    <w:left w:w="90" w:type="dxa"/>
                    <w:bottom w:w="45" w:type="dxa"/>
                    <w:right w:w="90" w:type="dxa"/>
                  </w:tcMar>
                  <w:vAlign w:val="center"/>
                  <w:hideMark/>
                </w:tcPr>
                <w:p w14:paraId="2E20C313"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62.5 </w:t>
                  </w:r>
                </w:p>
              </w:tc>
              <w:tc>
                <w:tcPr>
                  <w:tcW w:w="0" w:type="auto"/>
                  <w:shd w:val="clear" w:color="auto" w:fill="EFEFEF"/>
                  <w:tcMar>
                    <w:top w:w="45" w:type="dxa"/>
                    <w:left w:w="90" w:type="dxa"/>
                    <w:bottom w:w="45" w:type="dxa"/>
                    <w:right w:w="90" w:type="dxa"/>
                  </w:tcMar>
                  <w:vAlign w:val="center"/>
                  <w:hideMark/>
                </w:tcPr>
                <w:p w14:paraId="39E877C2"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65.9 </w:t>
                  </w:r>
                </w:p>
              </w:tc>
              <w:tc>
                <w:tcPr>
                  <w:tcW w:w="0" w:type="auto"/>
                  <w:shd w:val="clear" w:color="auto" w:fill="EFEFEF"/>
                  <w:tcMar>
                    <w:top w:w="45" w:type="dxa"/>
                    <w:left w:w="90" w:type="dxa"/>
                    <w:bottom w:w="45" w:type="dxa"/>
                    <w:right w:w="90" w:type="dxa"/>
                  </w:tcMar>
                  <w:vAlign w:val="center"/>
                  <w:hideMark/>
                </w:tcPr>
                <w:p w14:paraId="26472EB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69.0 </w:t>
                  </w:r>
                </w:p>
              </w:tc>
              <w:tc>
                <w:tcPr>
                  <w:tcW w:w="0" w:type="auto"/>
                  <w:shd w:val="clear" w:color="auto" w:fill="EFEFEF"/>
                  <w:tcMar>
                    <w:top w:w="45" w:type="dxa"/>
                    <w:left w:w="90" w:type="dxa"/>
                    <w:bottom w:w="45" w:type="dxa"/>
                    <w:right w:w="90" w:type="dxa"/>
                  </w:tcMar>
                  <w:vAlign w:val="center"/>
                  <w:hideMark/>
                </w:tcPr>
                <w:p w14:paraId="13D8B34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71.5 </w:t>
                  </w:r>
                </w:p>
              </w:tc>
              <w:tc>
                <w:tcPr>
                  <w:tcW w:w="0" w:type="auto"/>
                  <w:shd w:val="clear" w:color="auto" w:fill="EFEFEF"/>
                  <w:vAlign w:val="center"/>
                  <w:hideMark/>
                </w:tcPr>
                <w:p w14:paraId="7B632BA5"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268E4C4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C10486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7B7969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919685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EC495A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6AD8BB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AD5F53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D2C79F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E50143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1240B7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ED9E39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7FD43F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A253D6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1B1C77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C3D6C9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B7C4A6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A3E3D6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0C7AF2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7965CB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E70404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35FF06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295F02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D2A575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C6487C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7B9D6E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F762E3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3D6D23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34B353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74633E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B4247D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8C9CC0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0A6189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F0A3B1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68999E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7E2F84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95AC9A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AF7D98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161B8A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CF6EFE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85E8B6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E17768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52B70D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E94A06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6D96C8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E252F0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3897A3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C22F1E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3A6842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629B62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93D96B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6AD52E11" w14:textId="77777777">
              <w:trPr>
                <w:tblCellSpacing w:w="0" w:type="dxa"/>
              </w:trPr>
              <w:tc>
                <w:tcPr>
                  <w:tcW w:w="0" w:type="auto"/>
                  <w:tcMar>
                    <w:top w:w="45" w:type="dxa"/>
                    <w:left w:w="90" w:type="dxa"/>
                    <w:bottom w:w="45" w:type="dxa"/>
                    <w:right w:w="90" w:type="dxa"/>
                  </w:tcMar>
                  <w:vAlign w:val="center"/>
                  <w:hideMark/>
                </w:tcPr>
                <w:p w14:paraId="6D01EA16"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Debt/revenues</w:t>
                  </w:r>
                </w:p>
              </w:tc>
              <w:tc>
                <w:tcPr>
                  <w:tcW w:w="0" w:type="auto"/>
                  <w:tcMar>
                    <w:top w:w="45" w:type="dxa"/>
                    <w:left w:w="90" w:type="dxa"/>
                    <w:bottom w:w="45" w:type="dxa"/>
                    <w:right w:w="90" w:type="dxa"/>
                  </w:tcMar>
                  <w:vAlign w:val="center"/>
                  <w:hideMark/>
                </w:tcPr>
                <w:p w14:paraId="7D7E3085"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162.0 </w:t>
                  </w:r>
                </w:p>
              </w:tc>
              <w:tc>
                <w:tcPr>
                  <w:tcW w:w="0" w:type="auto"/>
                  <w:tcMar>
                    <w:top w:w="45" w:type="dxa"/>
                    <w:left w:w="90" w:type="dxa"/>
                    <w:bottom w:w="45" w:type="dxa"/>
                    <w:right w:w="90" w:type="dxa"/>
                  </w:tcMar>
                  <w:vAlign w:val="center"/>
                  <w:hideMark/>
                </w:tcPr>
                <w:p w14:paraId="6D18591F"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168.1 </w:t>
                  </w:r>
                </w:p>
              </w:tc>
              <w:tc>
                <w:tcPr>
                  <w:tcW w:w="0" w:type="auto"/>
                  <w:tcMar>
                    <w:top w:w="45" w:type="dxa"/>
                    <w:left w:w="90" w:type="dxa"/>
                    <w:bottom w:w="45" w:type="dxa"/>
                    <w:right w:w="90" w:type="dxa"/>
                  </w:tcMar>
                  <w:vAlign w:val="center"/>
                  <w:hideMark/>
                </w:tcPr>
                <w:p w14:paraId="5A1FEF60"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169.6 </w:t>
                  </w:r>
                </w:p>
              </w:tc>
              <w:tc>
                <w:tcPr>
                  <w:tcW w:w="0" w:type="auto"/>
                  <w:tcMar>
                    <w:top w:w="45" w:type="dxa"/>
                    <w:left w:w="90" w:type="dxa"/>
                    <w:bottom w:w="45" w:type="dxa"/>
                    <w:right w:w="90" w:type="dxa"/>
                  </w:tcMar>
                  <w:vAlign w:val="center"/>
                  <w:hideMark/>
                </w:tcPr>
                <w:p w14:paraId="162F0C1F"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176.9 </w:t>
                  </w:r>
                </w:p>
              </w:tc>
              <w:tc>
                <w:tcPr>
                  <w:tcW w:w="0" w:type="auto"/>
                  <w:tcMar>
                    <w:top w:w="45" w:type="dxa"/>
                    <w:left w:w="90" w:type="dxa"/>
                    <w:bottom w:w="45" w:type="dxa"/>
                    <w:right w:w="90" w:type="dxa"/>
                  </w:tcMar>
                  <w:vAlign w:val="center"/>
                  <w:hideMark/>
                </w:tcPr>
                <w:p w14:paraId="25F0B75D"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186.7 </w:t>
                  </w:r>
                </w:p>
              </w:tc>
              <w:tc>
                <w:tcPr>
                  <w:tcW w:w="0" w:type="auto"/>
                  <w:tcMar>
                    <w:top w:w="45" w:type="dxa"/>
                    <w:left w:w="90" w:type="dxa"/>
                    <w:bottom w:w="45" w:type="dxa"/>
                    <w:right w:w="90" w:type="dxa"/>
                  </w:tcMar>
                  <w:vAlign w:val="center"/>
                  <w:hideMark/>
                </w:tcPr>
                <w:p w14:paraId="1EB723CF"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195.8 </w:t>
                  </w:r>
                </w:p>
              </w:tc>
              <w:tc>
                <w:tcPr>
                  <w:tcW w:w="0" w:type="auto"/>
                  <w:tcMar>
                    <w:top w:w="45" w:type="dxa"/>
                    <w:left w:w="90" w:type="dxa"/>
                    <w:bottom w:w="45" w:type="dxa"/>
                    <w:right w:w="90" w:type="dxa"/>
                  </w:tcMar>
                  <w:vAlign w:val="center"/>
                  <w:hideMark/>
                </w:tcPr>
                <w:p w14:paraId="72E57870"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210.0 </w:t>
                  </w:r>
                </w:p>
              </w:tc>
              <w:tc>
                <w:tcPr>
                  <w:tcW w:w="0" w:type="auto"/>
                  <w:tcMar>
                    <w:top w:w="45" w:type="dxa"/>
                    <w:left w:w="90" w:type="dxa"/>
                    <w:bottom w:w="45" w:type="dxa"/>
                    <w:right w:w="90" w:type="dxa"/>
                  </w:tcMar>
                  <w:vAlign w:val="center"/>
                  <w:hideMark/>
                </w:tcPr>
                <w:p w14:paraId="684A6263"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220.2 </w:t>
                  </w:r>
                </w:p>
              </w:tc>
              <w:tc>
                <w:tcPr>
                  <w:tcW w:w="0" w:type="auto"/>
                  <w:tcMar>
                    <w:top w:w="45" w:type="dxa"/>
                    <w:left w:w="90" w:type="dxa"/>
                    <w:bottom w:w="45" w:type="dxa"/>
                    <w:right w:w="90" w:type="dxa"/>
                  </w:tcMar>
                  <w:vAlign w:val="center"/>
                  <w:hideMark/>
                </w:tcPr>
                <w:p w14:paraId="08AD59FE"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230.5 </w:t>
                  </w:r>
                </w:p>
              </w:tc>
              <w:tc>
                <w:tcPr>
                  <w:tcW w:w="0" w:type="auto"/>
                  <w:tcMar>
                    <w:top w:w="45" w:type="dxa"/>
                    <w:left w:w="90" w:type="dxa"/>
                    <w:bottom w:w="45" w:type="dxa"/>
                    <w:right w:w="90" w:type="dxa"/>
                  </w:tcMar>
                  <w:vAlign w:val="center"/>
                  <w:hideMark/>
                </w:tcPr>
                <w:p w14:paraId="7D621992"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238.9 </w:t>
                  </w:r>
                </w:p>
              </w:tc>
              <w:tc>
                <w:tcPr>
                  <w:tcW w:w="0" w:type="auto"/>
                  <w:vAlign w:val="center"/>
                  <w:hideMark/>
                </w:tcPr>
                <w:p w14:paraId="377BEE00"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2866487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6F8097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48F6E6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D8B0F0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ACB6BE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8F8901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2BD454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218B7F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955AD6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6EB521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CB9233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589775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5B3DD1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0363DD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BEFEDB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E7FB30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4036E0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29FF62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DB21AB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4B6D5C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5355A6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ADA63D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735B01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1B1FD0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4460F0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EBB4C9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2754C6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900598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D76F7D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80ED99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CBEFBB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5CC086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F6B3E9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04D2BA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B8F943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E36860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CC1B32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E01F65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C54637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C78895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73AE3B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93FCEF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FF36C2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88954F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78D22C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C7C1C1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04E522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7B1A98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5C1B5A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3637D9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48EC770A" w14:textId="77777777">
              <w:trPr>
                <w:tblCellSpacing w:w="0" w:type="dxa"/>
              </w:trPr>
              <w:tc>
                <w:tcPr>
                  <w:tcW w:w="0" w:type="auto"/>
                  <w:shd w:val="clear" w:color="auto" w:fill="EFEFEF"/>
                  <w:tcMar>
                    <w:top w:w="45" w:type="dxa"/>
                    <w:left w:w="90" w:type="dxa"/>
                    <w:bottom w:w="45" w:type="dxa"/>
                    <w:right w:w="90" w:type="dxa"/>
                  </w:tcMar>
                  <w:vAlign w:val="center"/>
                  <w:hideMark/>
                </w:tcPr>
                <w:p w14:paraId="0F552ED3"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Net debt/GDP</w:t>
                  </w:r>
                </w:p>
              </w:tc>
              <w:tc>
                <w:tcPr>
                  <w:tcW w:w="0" w:type="auto"/>
                  <w:shd w:val="clear" w:color="auto" w:fill="EFEFEF"/>
                  <w:tcMar>
                    <w:top w:w="45" w:type="dxa"/>
                    <w:left w:w="90" w:type="dxa"/>
                    <w:bottom w:w="45" w:type="dxa"/>
                    <w:right w:w="90" w:type="dxa"/>
                  </w:tcMar>
                  <w:vAlign w:val="center"/>
                  <w:hideMark/>
                </w:tcPr>
                <w:p w14:paraId="51F216D0"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40.9 </w:t>
                  </w:r>
                </w:p>
              </w:tc>
              <w:tc>
                <w:tcPr>
                  <w:tcW w:w="0" w:type="auto"/>
                  <w:shd w:val="clear" w:color="auto" w:fill="EFEFEF"/>
                  <w:tcMar>
                    <w:top w:w="45" w:type="dxa"/>
                    <w:left w:w="90" w:type="dxa"/>
                    <w:bottom w:w="45" w:type="dxa"/>
                    <w:right w:w="90" w:type="dxa"/>
                  </w:tcMar>
                  <w:vAlign w:val="center"/>
                  <w:hideMark/>
                </w:tcPr>
                <w:p w14:paraId="4F621250"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43.4 </w:t>
                  </w:r>
                </w:p>
              </w:tc>
              <w:tc>
                <w:tcPr>
                  <w:tcW w:w="0" w:type="auto"/>
                  <w:shd w:val="clear" w:color="auto" w:fill="EFEFEF"/>
                  <w:tcMar>
                    <w:top w:w="45" w:type="dxa"/>
                    <w:left w:w="90" w:type="dxa"/>
                    <w:bottom w:w="45" w:type="dxa"/>
                    <w:right w:w="90" w:type="dxa"/>
                  </w:tcMar>
                  <w:vAlign w:val="center"/>
                  <w:hideMark/>
                </w:tcPr>
                <w:p w14:paraId="00655E5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46.5 </w:t>
                  </w:r>
                </w:p>
              </w:tc>
              <w:tc>
                <w:tcPr>
                  <w:tcW w:w="0" w:type="auto"/>
                  <w:shd w:val="clear" w:color="auto" w:fill="EFEFEF"/>
                  <w:tcMar>
                    <w:top w:w="45" w:type="dxa"/>
                    <w:left w:w="90" w:type="dxa"/>
                    <w:bottom w:w="45" w:type="dxa"/>
                    <w:right w:w="90" w:type="dxa"/>
                  </w:tcMar>
                  <w:vAlign w:val="center"/>
                  <w:hideMark/>
                </w:tcPr>
                <w:p w14:paraId="4BE193FD"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47.6 </w:t>
                  </w:r>
                </w:p>
              </w:tc>
              <w:tc>
                <w:tcPr>
                  <w:tcW w:w="0" w:type="auto"/>
                  <w:shd w:val="clear" w:color="auto" w:fill="EFEFEF"/>
                  <w:tcMar>
                    <w:top w:w="45" w:type="dxa"/>
                    <w:left w:w="90" w:type="dxa"/>
                    <w:bottom w:w="45" w:type="dxa"/>
                    <w:right w:w="90" w:type="dxa"/>
                  </w:tcMar>
                  <w:vAlign w:val="center"/>
                  <w:hideMark/>
                </w:tcPr>
                <w:p w14:paraId="27F71CF7"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49.4 </w:t>
                  </w:r>
                </w:p>
              </w:tc>
              <w:tc>
                <w:tcPr>
                  <w:tcW w:w="0" w:type="auto"/>
                  <w:shd w:val="clear" w:color="auto" w:fill="EFEFEF"/>
                  <w:tcMar>
                    <w:top w:w="45" w:type="dxa"/>
                    <w:left w:w="90" w:type="dxa"/>
                    <w:bottom w:w="45" w:type="dxa"/>
                    <w:right w:w="90" w:type="dxa"/>
                  </w:tcMar>
                  <w:vAlign w:val="center"/>
                  <w:hideMark/>
                </w:tcPr>
                <w:p w14:paraId="4E1EFF9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53.1 </w:t>
                  </w:r>
                </w:p>
              </w:tc>
              <w:tc>
                <w:tcPr>
                  <w:tcW w:w="0" w:type="auto"/>
                  <w:shd w:val="clear" w:color="auto" w:fill="EFEFEF"/>
                  <w:tcMar>
                    <w:top w:w="45" w:type="dxa"/>
                    <w:left w:w="90" w:type="dxa"/>
                    <w:bottom w:w="45" w:type="dxa"/>
                    <w:right w:w="90" w:type="dxa"/>
                  </w:tcMar>
                  <w:vAlign w:val="center"/>
                  <w:hideMark/>
                </w:tcPr>
                <w:p w14:paraId="1640A8E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57.8 </w:t>
                  </w:r>
                </w:p>
              </w:tc>
              <w:tc>
                <w:tcPr>
                  <w:tcW w:w="0" w:type="auto"/>
                  <w:shd w:val="clear" w:color="auto" w:fill="EFEFEF"/>
                  <w:tcMar>
                    <w:top w:w="45" w:type="dxa"/>
                    <w:left w:w="90" w:type="dxa"/>
                    <w:bottom w:w="45" w:type="dxa"/>
                    <w:right w:w="90" w:type="dxa"/>
                  </w:tcMar>
                  <w:vAlign w:val="center"/>
                  <w:hideMark/>
                </w:tcPr>
                <w:p w14:paraId="499CD70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61.6 </w:t>
                  </w:r>
                </w:p>
              </w:tc>
              <w:tc>
                <w:tcPr>
                  <w:tcW w:w="0" w:type="auto"/>
                  <w:shd w:val="clear" w:color="auto" w:fill="EFEFEF"/>
                  <w:tcMar>
                    <w:top w:w="45" w:type="dxa"/>
                    <w:left w:w="90" w:type="dxa"/>
                    <w:bottom w:w="45" w:type="dxa"/>
                    <w:right w:w="90" w:type="dxa"/>
                  </w:tcMar>
                  <w:vAlign w:val="center"/>
                  <w:hideMark/>
                </w:tcPr>
                <w:p w14:paraId="20F2D07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64.9 </w:t>
                  </w:r>
                </w:p>
              </w:tc>
              <w:tc>
                <w:tcPr>
                  <w:tcW w:w="0" w:type="auto"/>
                  <w:shd w:val="clear" w:color="auto" w:fill="EFEFEF"/>
                  <w:tcMar>
                    <w:top w:w="45" w:type="dxa"/>
                    <w:left w:w="90" w:type="dxa"/>
                    <w:bottom w:w="45" w:type="dxa"/>
                    <w:right w:w="90" w:type="dxa"/>
                  </w:tcMar>
                  <w:vAlign w:val="center"/>
                  <w:hideMark/>
                </w:tcPr>
                <w:p w14:paraId="1E34F8D2"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67.7 </w:t>
                  </w:r>
                </w:p>
              </w:tc>
              <w:tc>
                <w:tcPr>
                  <w:tcW w:w="0" w:type="auto"/>
                  <w:shd w:val="clear" w:color="auto" w:fill="EFEFEF"/>
                  <w:vAlign w:val="center"/>
                  <w:hideMark/>
                </w:tcPr>
                <w:p w14:paraId="713A469C"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63B3C2F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24B2D9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921962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88975B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C76A6E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EEDE48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765DFF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A4F0D4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5BC6BB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87D94B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4BFEC2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1D377A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8A2E3B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C06C26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A5D3BA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5C6DCF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9180BB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A86E58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41FD7F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4ACDE7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6E077B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C5D8F8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C591FE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229377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24258B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652B8C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E868E2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B07E69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9266E8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26AD6B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7BCABD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C19EE4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9D75EC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65BE69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EA9F0B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8848FC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08D4D7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7E2A01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C24202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0F1EF1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C6E931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90E6AC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922D9F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911914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1FE5C5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629DE8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F4BE31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D53398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CD3B46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0BCE00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4394FF0F" w14:textId="77777777">
              <w:trPr>
                <w:tblCellSpacing w:w="0" w:type="dxa"/>
              </w:trPr>
              <w:tc>
                <w:tcPr>
                  <w:tcW w:w="0" w:type="auto"/>
                  <w:tcMar>
                    <w:top w:w="45" w:type="dxa"/>
                    <w:left w:w="90" w:type="dxa"/>
                    <w:bottom w:w="45" w:type="dxa"/>
                    <w:right w:w="90" w:type="dxa"/>
                  </w:tcMar>
                  <w:vAlign w:val="center"/>
                  <w:hideMark/>
                </w:tcPr>
                <w:p w14:paraId="329FA170"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Liquid assets/GDP</w:t>
                  </w:r>
                </w:p>
              </w:tc>
              <w:tc>
                <w:tcPr>
                  <w:tcW w:w="0" w:type="auto"/>
                  <w:tcMar>
                    <w:top w:w="45" w:type="dxa"/>
                    <w:left w:w="90" w:type="dxa"/>
                    <w:bottom w:w="45" w:type="dxa"/>
                    <w:right w:w="90" w:type="dxa"/>
                  </w:tcMar>
                  <w:vAlign w:val="center"/>
                  <w:hideMark/>
                </w:tcPr>
                <w:p w14:paraId="31010142"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5.2 </w:t>
                  </w:r>
                </w:p>
              </w:tc>
              <w:tc>
                <w:tcPr>
                  <w:tcW w:w="0" w:type="auto"/>
                  <w:tcMar>
                    <w:top w:w="45" w:type="dxa"/>
                    <w:left w:w="90" w:type="dxa"/>
                    <w:bottom w:w="45" w:type="dxa"/>
                    <w:right w:w="90" w:type="dxa"/>
                  </w:tcMar>
                  <w:vAlign w:val="center"/>
                  <w:hideMark/>
                </w:tcPr>
                <w:p w14:paraId="0E9A03F7"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5.0 </w:t>
                  </w:r>
                </w:p>
              </w:tc>
              <w:tc>
                <w:tcPr>
                  <w:tcW w:w="0" w:type="auto"/>
                  <w:tcMar>
                    <w:top w:w="45" w:type="dxa"/>
                    <w:left w:w="90" w:type="dxa"/>
                    <w:bottom w:w="45" w:type="dxa"/>
                    <w:right w:w="90" w:type="dxa"/>
                  </w:tcMar>
                  <w:vAlign w:val="center"/>
                  <w:hideMark/>
                </w:tcPr>
                <w:p w14:paraId="4596DD0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4.4 </w:t>
                  </w:r>
                </w:p>
              </w:tc>
              <w:tc>
                <w:tcPr>
                  <w:tcW w:w="0" w:type="auto"/>
                  <w:tcMar>
                    <w:top w:w="45" w:type="dxa"/>
                    <w:left w:w="90" w:type="dxa"/>
                    <w:bottom w:w="45" w:type="dxa"/>
                    <w:right w:w="90" w:type="dxa"/>
                  </w:tcMar>
                  <w:vAlign w:val="center"/>
                  <w:hideMark/>
                </w:tcPr>
                <w:p w14:paraId="47AABF52"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4.7 </w:t>
                  </w:r>
                </w:p>
              </w:tc>
              <w:tc>
                <w:tcPr>
                  <w:tcW w:w="0" w:type="auto"/>
                  <w:tcMar>
                    <w:top w:w="45" w:type="dxa"/>
                    <w:left w:w="90" w:type="dxa"/>
                    <w:bottom w:w="45" w:type="dxa"/>
                    <w:right w:w="90" w:type="dxa"/>
                  </w:tcMar>
                  <w:vAlign w:val="center"/>
                  <w:hideMark/>
                </w:tcPr>
                <w:p w14:paraId="7C7A7BD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5.1 </w:t>
                  </w:r>
                </w:p>
              </w:tc>
              <w:tc>
                <w:tcPr>
                  <w:tcW w:w="0" w:type="auto"/>
                  <w:tcMar>
                    <w:top w:w="45" w:type="dxa"/>
                    <w:left w:w="90" w:type="dxa"/>
                    <w:bottom w:w="45" w:type="dxa"/>
                    <w:right w:w="90" w:type="dxa"/>
                  </w:tcMar>
                  <w:vAlign w:val="center"/>
                  <w:hideMark/>
                </w:tcPr>
                <w:p w14:paraId="01EDB2C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5.0 </w:t>
                  </w:r>
                </w:p>
              </w:tc>
              <w:tc>
                <w:tcPr>
                  <w:tcW w:w="0" w:type="auto"/>
                  <w:tcMar>
                    <w:top w:w="45" w:type="dxa"/>
                    <w:left w:w="90" w:type="dxa"/>
                    <w:bottom w:w="45" w:type="dxa"/>
                    <w:right w:w="90" w:type="dxa"/>
                  </w:tcMar>
                  <w:vAlign w:val="center"/>
                  <w:hideMark/>
                </w:tcPr>
                <w:p w14:paraId="16F08E2E"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4.8 </w:t>
                  </w:r>
                </w:p>
              </w:tc>
              <w:tc>
                <w:tcPr>
                  <w:tcW w:w="0" w:type="auto"/>
                  <w:tcMar>
                    <w:top w:w="45" w:type="dxa"/>
                    <w:left w:w="90" w:type="dxa"/>
                    <w:bottom w:w="45" w:type="dxa"/>
                    <w:right w:w="90" w:type="dxa"/>
                  </w:tcMar>
                  <w:vAlign w:val="center"/>
                  <w:hideMark/>
                </w:tcPr>
                <w:p w14:paraId="258B474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4.3 </w:t>
                  </w:r>
                </w:p>
              </w:tc>
              <w:tc>
                <w:tcPr>
                  <w:tcW w:w="0" w:type="auto"/>
                  <w:tcMar>
                    <w:top w:w="45" w:type="dxa"/>
                    <w:left w:w="90" w:type="dxa"/>
                    <w:bottom w:w="45" w:type="dxa"/>
                    <w:right w:w="90" w:type="dxa"/>
                  </w:tcMar>
                  <w:vAlign w:val="center"/>
                  <w:hideMark/>
                </w:tcPr>
                <w:p w14:paraId="6B3AC4C9"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4.1 </w:t>
                  </w:r>
                </w:p>
              </w:tc>
              <w:tc>
                <w:tcPr>
                  <w:tcW w:w="0" w:type="auto"/>
                  <w:tcMar>
                    <w:top w:w="45" w:type="dxa"/>
                    <w:left w:w="90" w:type="dxa"/>
                    <w:bottom w:w="45" w:type="dxa"/>
                    <w:right w:w="90" w:type="dxa"/>
                  </w:tcMar>
                  <w:vAlign w:val="center"/>
                  <w:hideMark/>
                </w:tcPr>
                <w:p w14:paraId="489C4A3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3.8 </w:t>
                  </w:r>
                </w:p>
              </w:tc>
              <w:tc>
                <w:tcPr>
                  <w:tcW w:w="0" w:type="auto"/>
                  <w:vAlign w:val="center"/>
                  <w:hideMark/>
                </w:tcPr>
                <w:p w14:paraId="2ED892F9"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458B369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8BB354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0F78B2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3A2576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5FEA93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5AD497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3E8287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C64DC4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4629BF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605C0A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5BD690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E7292D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C77705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D1E4CD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E75CE2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871D0E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167427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16DE3A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FC3C41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4460C8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E5A978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47376F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CA7138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0A423C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3FDD3B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BB13EC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9C2EDF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6306FC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B3DFF8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481127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6AE6E6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CCEDD2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706282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23F796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82102F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57C81F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491F94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F14125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011A59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00AA55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374D9E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4D79B8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E77520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291CBC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E435BD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927636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71D62E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D66F9E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28DD42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611CA9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7F132E58" w14:textId="77777777">
              <w:trPr>
                <w:tblCellSpacing w:w="0" w:type="dxa"/>
              </w:trPr>
              <w:tc>
                <w:tcPr>
                  <w:tcW w:w="0" w:type="auto"/>
                  <w:gridSpan w:val="62"/>
                  <w:shd w:val="clear" w:color="auto" w:fill="EFEFEF"/>
                  <w:tcMar>
                    <w:top w:w="45" w:type="dxa"/>
                    <w:left w:w="90" w:type="dxa"/>
                    <w:bottom w:w="45" w:type="dxa"/>
                    <w:right w:w="90" w:type="dxa"/>
                  </w:tcMar>
                  <w:vAlign w:val="center"/>
                  <w:hideMark/>
                </w:tcPr>
                <w:p w14:paraId="4609BFE2" w14:textId="77777777" w:rsidR="006439CC" w:rsidRPr="006439CC" w:rsidRDefault="006439CC" w:rsidP="006439CC">
                  <w:pPr>
                    <w:spacing w:after="180" w:line="240" w:lineRule="auto"/>
                    <w:rPr>
                      <w:rFonts w:ascii="Arial" w:eastAsia="Calibri" w:hAnsi="Arial" w:cs="Arial"/>
                      <w:b/>
                      <w:bCs/>
                      <w:sz w:val="18"/>
                      <w:szCs w:val="18"/>
                      <w:lang w:eastAsia="en-ZA"/>
                    </w:rPr>
                  </w:pPr>
                  <w:r w:rsidRPr="006439CC">
                    <w:rPr>
                      <w:rFonts w:ascii="Arial" w:eastAsia="Calibri" w:hAnsi="Arial" w:cs="Arial"/>
                      <w:b/>
                      <w:bCs/>
                      <w:color w:val="000000"/>
                      <w:sz w:val="18"/>
                      <w:szCs w:val="18"/>
                      <w:lang w:eastAsia="en-ZA"/>
                    </w:rPr>
                    <w:t>Monetary indicators (%)</w:t>
                  </w:r>
                </w:p>
              </w:tc>
            </w:tr>
            <w:tr w:rsidR="006439CC" w:rsidRPr="006439CC" w14:paraId="37412FFE" w14:textId="77777777">
              <w:trPr>
                <w:tblCellSpacing w:w="0" w:type="dxa"/>
              </w:trPr>
              <w:tc>
                <w:tcPr>
                  <w:tcW w:w="0" w:type="auto"/>
                  <w:tcMar>
                    <w:top w:w="45" w:type="dxa"/>
                    <w:left w:w="90" w:type="dxa"/>
                    <w:bottom w:w="45" w:type="dxa"/>
                    <w:right w:w="90" w:type="dxa"/>
                  </w:tcMar>
                  <w:vAlign w:val="center"/>
                  <w:hideMark/>
                </w:tcPr>
                <w:p w14:paraId="1DE5DFBB"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CPI growth</w:t>
                  </w:r>
                </w:p>
              </w:tc>
              <w:tc>
                <w:tcPr>
                  <w:tcW w:w="0" w:type="auto"/>
                  <w:tcMar>
                    <w:top w:w="45" w:type="dxa"/>
                    <w:left w:w="90" w:type="dxa"/>
                    <w:bottom w:w="45" w:type="dxa"/>
                    <w:right w:w="90" w:type="dxa"/>
                  </w:tcMar>
                  <w:vAlign w:val="center"/>
                  <w:hideMark/>
                </w:tcPr>
                <w:p w14:paraId="16C4C2D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5.7 </w:t>
                  </w:r>
                </w:p>
              </w:tc>
              <w:tc>
                <w:tcPr>
                  <w:tcW w:w="0" w:type="auto"/>
                  <w:tcMar>
                    <w:top w:w="45" w:type="dxa"/>
                    <w:left w:w="90" w:type="dxa"/>
                    <w:bottom w:w="45" w:type="dxa"/>
                    <w:right w:w="90" w:type="dxa"/>
                  </w:tcMar>
                  <w:vAlign w:val="center"/>
                  <w:hideMark/>
                </w:tcPr>
                <w:p w14:paraId="15740EB3"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6.2 </w:t>
                  </w:r>
                </w:p>
              </w:tc>
              <w:tc>
                <w:tcPr>
                  <w:tcW w:w="0" w:type="auto"/>
                  <w:tcMar>
                    <w:top w:w="45" w:type="dxa"/>
                    <w:left w:w="90" w:type="dxa"/>
                    <w:bottom w:w="45" w:type="dxa"/>
                    <w:right w:w="90" w:type="dxa"/>
                  </w:tcMar>
                  <w:vAlign w:val="center"/>
                  <w:hideMark/>
                </w:tcPr>
                <w:p w14:paraId="206492E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4.5 </w:t>
                  </w:r>
                </w:p>
              </w:tc>
              <w:tc>
                <w:tcPr>
                  <w:tcW w:w="0" w:type="auto"/>
                  <w:tcMar>
                    <w:top w:w="45" w:type="dxa"/>
                    <w:left w:w="90" w:type="dxa"/>
                    <w:bottom w:w="45" w:type="dxa"/>
                    <w:right w:w="90" w:type="dxa"/>
                  </w:tcMar>
                  <w:vAlign w:val="center"/>
                  <w:hideMark/>
                </w:tcPr>
                <w:p w14:paraId="4D64E317"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6.3 </w:t>
                  </w:r>
                </w:p>
              </w:tc>
              <w:tc>
                <w:tcPr>
                  <w:tcW w:w="0" w:type="auto"/>
                  <w:tcMar>
                    <w:top w:w="45" w:type="dxa"/>
                    <w:left w:w="90" w:type="dxa"/>
                    <w:bottom w:w="45" w:type="dxa"/>
                    <w:right w:w="90" w:type="dxa"/>
                  </w:tcMar>
                  <w:vAlign w:val="center"/>
                  <w:hideMark/>
                </w:tcPr>
                <w:p w14:paraId="3268B928"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5.3 </w:t>
                  </w:r>
                </w:p>
              </w:tc>
              <w:tc>
                <w:tcPr>
                  <w:tcW w:w="0" w:type="auto"/>
                  <w:tcMar>
                    <w:top w:w="45" w:type="dxa"/>
                    <w:left w:w="90" w:type="dxa"/>
                    <w:bottom w:w="45" w:type="dxa"/>
                    <w:right w:w="90" w:type="dxa"/>
                  </w:tcMar>
                  <w:vAlign w:val="center"/>
                  <w:hideMark/>
                </w:tcPr>
                <w:p w14:paraId="7693F82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4.7 </w:t>
                  </w:r>
                </w:p>
              </w:tc>
              <w:tc>
                <w:tcPr>
                  <w:tcW w:w="0" w:type="auto"/>
                  <w:tcMar>
                    <w:top w:w="45" w:type="dxa"/>
                    <w:left w:w="90" w:type="dxa"/>
                    <w:bottom w:w="45" w:type="dxa"/>
                    <w:right w:w="90" w:type="dxa"/>
                  </w:tcMar>
                  <w:vAlign w:val="center"/>
                  <w:hideMark/>
                </w:tcPr>
                <w:p w14:paraId="25A44BC9"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4.3 </w:t>
                  </w:r>
                </w:p>
              </w:tc>
              <w:tc>
                <w:tcPr>
                  <w:tcW w:w="0" w:type="auto"/>
                  <w:tcMar>
                    <w:top w:w="45" w:type="dxa"/>
                    <w:left w:w="90" w:type="dxa"/>
                    <w:bottom w:w="45" w:type="dxa"/>
                    <w:right w:w="90" w:type="dxa"/>
                  </w:tcMar>
                  <w:vAlign w:val="center"/>
                  <w:hideMark/>
                </w:tcPr>
                <w:p w14:paraId="2AFC207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4.9 </w:t>
                  </w:r>
                </w:p>
              </w:tc>
              <w:tc>
                <w:tcPr>
                  <w:tcW w:w="0" w:type="auto"/>
                  <w:tcMar>
                    <w:top w:w="45" w:type="dxa"/>
                    <w:left w:w="90" w:type="dxa"/>
                    <w:bottom w:w="45" w:type="dxa"/>
                    <w:right w:w="90" w:type="dxa"/>
                  </w:tcMar>
                  <w:vAlign w:val="center"/>
                  <w:hideMark/>
                </w:tcPr>
                <w:p w14:paraId="2576ECF2"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4.7 </w:t>
                  </w:r>
                </w:p>
              </w:tc>
              <w:tc>
                <w:tcPr>
                  <w:tcW w:w="0" w:type="auto"/>
                  <w:tcMar>
                    <w:top w:w="45" w:type="dxa"/>
                    <w:left w:w="90" w:type="dxa"/>
                    <w:bottom w:w="45" w:type="dxa"/>
                    <w:right w:w="90" w:type="dxa"/>
                  </w:tcMar>
                  <w:vAlign w:val="center"/>
                  <w:hideMark/>
                </w:tcPr>
                <w:p w14:paraId="5E6CC6B8"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4.7 </w:t>
                  </w:r>
                </w:p>
              </w:tc>
              <w:tc>
                <w:tcPr>
                  <w:tcW w:w="0" w:type="auto"/>
                  <w:vAlign w:val="center"/>
                  <w:hideMark/>
                </w:tcPr>
                <w:p w14:paraId="0E1073A3"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2830F22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8C7B0D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FD90C8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4C2E68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41254B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E4970A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273DE5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22636A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F0C811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DC0F49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E7466A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291E84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288078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79611C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334AE3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70BA92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5641F4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D1164F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F5A9CE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242804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C409B9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59D70E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401539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1F0A37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7BCF83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78BD90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B10F8F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52B1FE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272A49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322563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751FF0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FB280B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E00FB5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6B82DE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2C5A7D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3C4FAC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6D4D6E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E44D0A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106739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F8DFDB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54A36D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B275B4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FE6A0F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DBA179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7270EF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076B66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53FA97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655083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7299CA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26B3E4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71260F78" w14:textId="77777777">
              <w:trPr>
                <w:tblCellSpacing w:w="0" w:type="dxa"/>
              </w:trPr>
              <w:tc>
                <w:tcPr>
                  <w:tcW w:w="0" w:type="auto"/>
                  <w:shd w:val="clear" w:color="auto" w:fill="EFEFEF"/>
                  <w:tcMar>
                    <w:top w:w="45" w:type="dxa"/>
                    <w:left w:w="90" w:type="dxa"/>
                    <w:bottom w:w="45" w:type="dxa"/>
                    <w:right w:w="90" w:type="dxa"/>
                  </w:tcMar>
                  <w:vAlign w:val="center"/>
                  <w:hideMark/>
                </w:tcPr>
                <w:p w14:paraId="5ADAE2F6"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GDP deflator growth</w:t>
                  </w:r>
                </w:p>
              </w:tc>
              <w:tc>
                <w:tcPr>
                  <w:tcW w:w="0" w:type="auto"/>
                  <w:shd w:val="clear" w:color="auto" w:fill="EFEFEF"/>
                  <w:tcMar>
                    <w:top w:w="45" w:type="dxa"/>
                    <w:left w:w="90" w:type="dxa"/>
                    <w:bottom w:w="45" w:type="dxa"/>
                    <w:right w:w="90" w:type="dxa"/>
                  </w:tcMar>
                  <w:vAlign w:val="center"/>
                  <w:hideMark/>
                </w:tcPr>
                <w:p w14:paraId="1A41E058"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6.2 </w:t>
                  </w:r>
                </w:p>
              </w:tc>
              <w:tc>
                <w:tcPr>
                  <w:tcW w:w="0" w:type="auto"/>
                  <w:shd w:val="clear" w:color="auto" w:fill="EFEFEF"/>
                  <w:tcMar>
                    <w:top w:w="45" w:type="dxa"/>
                    <w:left w:w="90" w:type="dxa"/>
                    <w:bottom w:w="45" w:type="dxa"/>
                    <w:right w:w="90" w:type="dxa"/>
                  </w:tcMar>
                  <w:vAlign w:val="center"/>
                  <w:hideMark/>
                </w:tcPr>
                <w:p w14:paraId="6C4855CD"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5.5 </w:t>
                  </w:r>
                </w:p>
              </w:tc>
              <w:tc>
                <w:tcPr>
                  <w:tcW w:w="0" w:type="auto"/>
                  <w:shd w:val="clear" w:color="auto" w:fill="EFEFEF"/>
                  <w:tcMar>
                    <w:top w:w="45" w:type="dxa"/>
                    <w:left w:w="90" w:type="dxa"/>
                    <w:bottom w:w="45" w:type="dxa"/>
                    <w:right w:w="90" w:type="dxa"/>
                  </w:tcMar>
                  <w:vAlign w:val="center"/>
                  <w:hideMark/>
                </w:tcPr>
                <w:p w14:paraId="2E107E67"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5.2 </w:t>
                  </w:r>
                </w:p>
              </w:tc>
              <w:tc>
                <w:tcPr>
                  <w:tcW w:w="0" w:type="auto"/>
                  <w:shd w:val="clear" w:color="auto" w:fill="EFEFEF"/>
                  <w:tcMar>
                    <w:top w:w="45" w:type="dxa"/>
                    <w:left w:w="90" w:type="dxa"/>
                    <w:bottom w:w="45" w:type="dxa"/>
                    <w:right w:w="90" w:type="dxa"/>
                  </w:tcMar>
                  <w:vAlign w:val="center"/>
                  <w:hideMark/>
                </w:tcPr>
                <w:p w14:paraId="49CE02A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7.2 </w:t>
                  </w:r>
                </w:p>
              </w:tc>
              <w:tc>
                <w:tcPr>
                  <w:tcW w:w="0" w:type="auto"/>
                  <w:shd w:val="clear" w:color="auto" w:fill="EFEFEF"/>
                  <w:tcMar>
                    <w:top w:w="45" w:type="dxa"/>
                    <w:left w:w="90" w:type="dxa"/>
                    <w:bottom w:w="45" w:type="dxa"/>
                    <w:right w:w="90" w:type="dxa"/>
                  </w:tcMar>
                  <w:vAlign w:val="center"/>
                  <w:hideMark/>
                </w:tcPr>
                <w:p w14:paraId="7F493E5F"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5.3 </w:t>
                  </w:r>
                </w:p>
              </w:tc>
              <w:tc>
                <w:tcPr>
                  <w:tcW w:w="0" w:type="auto"/>
                  <w:shd w:val="clear" w:color="auto" w:fill="EFEFEF"/>
                  <w:tcMar>
                    <w:top w:w="45" w:type="dxa"/>
                    <w:left w:w="90" w:type="dxa"/>
                    <w:bottom w:w="45" w:type="dxa"/>
                    <w:right w:w="90" w:type="dxa"/>
                  </w:tcMar>
                  <w:vAlign w:val="center"/>
                  <w:hideMark/>
                </w:tcPr>
                <w:p w14:paraId="37EAC410"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3.9 </w:t>
                  </w:r>
                </w:p>
              </w:tc>
              <w:tc>
                <w:tcPr>
                  <w:tcW w:w="0" w:type="auto"/>
                  <w:shd w:val="clear" w:color="auto" w:fill="EFEFEF"/>
                  <w:tcMar>
                    <w:top w:w="45" w:type="dxa"/>
                    <w:left w:w="90" w:type="dxa"/>
                    <w:bottom w:w="45" w:type="dxa"/>
                    <w:right w:w="90" w:type="dxa"/>
                  </w:tcMar>
                  <w:vAlign w:val="center"/>
                  <w:hideMark/>
                </w:tcPr>
                <w:p w14:paraId="447075E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4.3 </w:t>
                  </w:r>
                </w:p>
              </w:tc>
              <w:tc>
                <w:tcPr>
                  <w:tcW w:w="0" w:type="auto"/>
                  <w:shd w:val="clear" w:color="auto" w:fill="EFEFEF"/>
                  <w:tcMar>
                    <w:top w:w="45" w:type="dxa"/>
                    <w:left w:w="90" w:type="dxa"/>
                    <w:bottom w:w="45" w:type="dxa"/>
                    <w:right w:w="90" w:type="dxa"/>
                  </w:tcMar>
                  <w:vAlign w:val="center"/>
                  <w:hideMark/>
                </w:tcPr>
                <w:p w14:paraId="2967DB7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4.8 </w:t>
                  </w:r>
                </w:p>
              </w:tc>
              <w:tc>
                <w:tcPr>
                  <w:tcW w:w="0" w:type="auto"/>
                  <w:shd w:val="clear" w:color="auto" w:fill="EFEFEF"/>
                  <w:tcMar>
                    <w:top w:w="45" w:type="dxa"/>
                    <w:left w:w="90" w:type="dxa"/>
                    <w:bottom w:w="45" w:type="dxa"/>
                    <w:right w:w="90" w:type="dxa"/>
                  </w:tcMar>
                  <w:vAlign w:val="center"/>
                  <w:hideMark/>
                </w:tcPr>
                <w:p w14:paraId="105B0EB8"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4.7 </w:t>
                  </w:r>
                </w:p>
              </w:tc>
              <w:tc>
                <w:tcPr>
                  <w:tcW w:w="0" w:type="auto"/>
                  <w:shd w:val="clear" w:color="auto" w:fill="EFEFEF"/>
                  <w:tcMar>
                    <w:top w:w="45" w:type="dxa"/>
                    <w:left w:w="90" w:type="dxa"/>
                    <w:bottom w:w="45" w:type="dxa"/>
                    <w:right w:w="90" w:type="dxa"/>
                  </w:tcMar>
                  <w:vAlign w:val="center"/>
                  <w:hideMark/>
                </w:tcPr>
                <w:p w14:paraId="10505BF3"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4.7 </w:t>
                  </w:r>
                </w:p>
              </w:tc>
              <w:tc>
                <w:tcPr>
                  <w:tcW w:w="0" w:type="auto"/>
                  <w:shd w:val="clear" w:color="auto" w:fill="EFEFEF"/>
                  <w:vAlign w:val="center"/>
                  <w:hideMark/>
                </w:tcPr>
                <w:p w14:paraId="75E4281B"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4CE381C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EF7883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93076C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34A566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5E0EB7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0B6AD8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B2B871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FE9FA3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E30AB5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C299AD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32533F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546939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F990F6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DF0AC7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5147CF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E09CFC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9745E1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04B0BC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A1070B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3C113F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128C64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44A49F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1042B7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8058BC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7CFB5D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680F36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C072DA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A7055E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29D96F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2B5D70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507EC9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C0BE85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FDC639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4E63F0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00BA8F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A5E980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9FBEFA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125DE1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4C50A7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62E69D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D9F405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173036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4570F3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AEF87A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234BCE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C3F727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918576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5DDE3B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C766A8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5E2997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5B0C4DA7" w14:textId="77777777">
              <w:trPr>
                <w:tblCellSpacing w:w="0" w:type="dxa"/>
              </w:trPr>
              <w:tc>
                <w:tcPr>
                  <w:tcW w:w="0" w:type="auto"/>
                  <w:tcMar>
                    <w:top w:w="45" w:type="dxa"/>
                    <w:left w:w="90" w:type="dxa"/>
                    <w:bottom w:w="45" w:type="dxa"/>
                    <w:right w:w="90" w:type="dxa"/>
                  </w:tcMar>
                  <w:vAlign w:val="center"/>
                  <w:hideMark/>
                </w:tcPr>
                <w:p w14:paraId="5C2C52FF"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Exchange rate, year-end (ZAR/$)</w:t>
                  </w:r>
                </w:p>
              </w:tc>
              <w:tc>
                <w:tcPr>
                  <w:tcW w:w="0" w:type="auto"/>
                  <w:tcMar>
                    <w:top w:w="45" w:type="dxa"/>
                    <w:left w:w="90" w:type="dxa"/>
                    <w:bottom w:w="45" w:type="dxa"/>
                    <w:right w:w="90" w:type="dxa"/>
                  </w:tcMar>
                  <w:vAlign w:val="center"/>
                  <w:hideMark/>
                </w:tcPr>
                <w:p w14:paraId="2B78E9C3"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10.49</w:t>
                  </w:r>
                </w:p>
              </w:tc>
              <w:tc>
                <w:tcPr>
                  <w:tcW w:w="0" w:type="auto"/>
                  <w:tcMar>
                    <w:top w:w="45" w:type="dxa"/>
                    <w:left w:w="90" w:type="dxa"/>
                    <w:bottom w:w="45" w:type="dxa"/>
                    <w:right w:w="90" w:type="dxa"/>
                  </w:tcMar>
                  <w:vAlign w:val="center"/>
                  <w:hideMark/>
                </w:tcPr>
                <w:p w14:paraId="58ACB19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11.58</w:t>
                  </w:r>
                </w:p>
              </w:tc>
              <w:tc>
                <w:tcPr>
                  <w:tcW w:w="0" w:type="auto"/>
                  <w:tcMar>
                    <w:top w:w="45" w:type="dxa"/>
                    <w:left w:w="90" w:type="dxa"/>
                    <w:bottom w:w="45" w:type="dxa"/>
                    <w:right w:w="90" w:type="dxa"/>
                  </w:tcMar>
                  <w:vAlign w:val="center"/>
                  <w:hideMark/>
                </w:tcPr>
                <w:p w14:paraId="74268A5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15.55</w:t>
                  </w:r>
                </w:p>
              </w:tc>
              <w:tc>
                <w:tcPr>
                  <w:tcW w:w="0" w:type="auto"/>
                  <w:tcMar>
                    <w:top w:w="45" w:type="dxa"/>
                    <w:left w:w="90" w:type="dxa"/>
                    <w:bottom w:w="45" w:type="dxa"/>
                    <w:right w:w="90" w:type="dxa"/>
                  </w:tcMar>
                  <w:vAlign w:val="center"/>
                  <w:hideMark/>
                </w:tcPr>
                <w:p w14:paraId="0596B95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13.68</w:t>
                  </w:r>
                </w:p>
              </w:tc>
              <w:tc>
                <w:tcPr>
                  <w:tcW w:w="0" w:type="auto"/>
                  <w:tcMar>
                    <w:top w:w="45" w:type="dxa"/>
                    <w:left w:w="90" w:type="dxa"/>
                    <w:bottom w:w="45" w:type="dxa"/>
                    <w:right w:w="90" w:type="dxa"/>
                  </w:tcMar>
                  <w:vAlign w:val="center"/>
                  <w:hideMark/>
                </w:tcPr>
                <w:p w14:paraId="02516194"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12.32</w:t>
                  </w:r>
                </w:p>
              </w:tc>
              <w:tc>
                <w:tcPr>
                  <w:tcW w:w="0" w:type="auto"/>
                  <w:tcMar>
                    <w:top w:w="45" w:type="dxa"/>
                    <w:left w:w="90" w:type="dxa"/>
                    <w:bottom w:w="45" w:type="dxa"/>
                    <w:right w:w="90" w:type="dxa"/>
                  </w:tcMar>
                  <w:vAlign w:val="center"/>
                  <w:hideMark/>
                </w:tcPr>
                <w:p w14:paraId="071920DE"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14.38</w:t>
                  </w:r>
                </w:p>
              </w:tc>
              <w:tc>
                <w:tcPr>
                  <w:tcW w:w="0" w:type="auto"/>
                  <w:tcMar>
                    <w:top w:w="45" w:type="dxa"/>
                    <w:left w:w="90" w:type="dxa"/>
                    <w:bottom w:w="45" w:type="dxa"/>
                    <w:right w:w="90" w:type="dxa"/>
                  </w:tcMar>
                  <w:vAlign w:val="center"/>
                  <w:hideMark/>
                </w:tcPr>
                <w:p w14:paraId="6A0E9DA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14.85</w:t>
                  </w:r>
                </w:p>
              </w:tc>
              <w:tc>
                <w:tcPr>
                  <w:tcW w:w="0" w:type="auto"/>
                  <w:tcMar>
                    <w:top w:w="45" w:type="dxa"/>
                    <w:left w:w="90" w:type="dxa"/>
                    <w:bottom w:w="45" w:type="dxa"/>
                    <w:right w:w="90" w:type="dxa"/>
                  </w:tcMar>
                  <w:vAlign w:val="center"/>
                  <w:hideMark/>
                </w:tcPr>
                <w:p w14:paraId="4DC3A2B8"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15.00</w:t>
                  </w:r>
                </w:p>
              </w:tc>
              <w:tc>
                <w:tcPr>
                  <w:tcW w:w="0" w:type="auto"/>
                  <w:tcMar>
                    <w:top w:w="45" w:type="dxa"/>
                    <w:left w:w="90" w:type="dxa"/>
                    <w:bottom w:w="45" w:type="dxa"/>
                    <w:right w:w="90" w:type="dxa"/>
                  </w:tcMar>
                  <w:vAlign w:val="center"/>
                  <w:hideMark/>
                </w:tcPr>
                <w:p w14:paraId="6546563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15.20</w:t>
                  </w:r>
                </w:p>
              </w:tc>
              <w:tc>
                <w:tcPr>
                  <w:tcW w:w="0" w:type="auto"/>
                  <w:tcMar>
                    <w:top w:w="45" w:type="dxa"/>
                    <w:left w:w="90" w:type="dxa"/>
                    <w:bottom w:w="45" w:type="dxa"/>
                    <w:right w:w="90" w:type="dxa"/>
                  </w:tcMar>
                  <w:vAlign w:val="center"/>
                  <w:hideMark/>
                </w:tcPr>
                <w:p w14:paraId="56657E79"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15.43</w:t>
                  </w:r>
                </w:p>
              </w:tc>
              <w:tc>
                <w:tcPr>
                  <w:tcW w:w="0" w:type="auto"/>
                  <w:vAlign w:val="center"/>
                  <w:hideMark/>
                </w:tcPr>
                <w:p w14:paraId="0EB1DEA6"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58B72EF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69291F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FF602A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BD07F4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8B0CDD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1D5B0A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DE6168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EFB5DE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C4D985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7D946D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580C52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817876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9B1B93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21BE53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3359EE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B1E3D5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225082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1B5B0A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247E31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AE0E2E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06E364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F25F52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E3A901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7B6A1A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464D26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AE84C2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CBE376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85F5B7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D445B7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275B47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8999AD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7D600D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7EC51E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00E5A7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1B066E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767D10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4CAED2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7F8FBC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5E0293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399B25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A5B968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6A9F07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079D22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C7FF75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441726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DCF3F3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2B94B2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984915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DC7F08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A640B2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788DC636" w14:textId="77777777">
              <w:trPr>
                <w:tblCellSpacing w:w="0" w:type="dxa"/>
              </w:trPr>
              <w:tc>
                <w:tcPr>
                  <w:tcW w:w="0" w:type="auto"/>
                  <w:shd w:val="clear" w:color="auto" w:fill="EFEFEF"/>
                  <w:tcMar>
                    <w:top w:w="45" w:type="dxa"/>
                    <w:left w:w="90" w:type="dxa"/>
                    <w:bottom w:w="45" w:type="dxa"/>
                    <w:right w:w="90" w:type="dxa"/>
                  </w:tcMar>
                  <w:vAlign w:val="center"/>
                  <w:hideMark/>
                </w:tcPr>
                <w:p w14:paraId="020BD6E3"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Banks' claims on resident non-gov't sector growth</w:t>
                  </w:r>
                </w:p>
              </w:tc>
              <w:tc>
                <w:tcPr>
                  <w:tcW w:w="0" w:type="auto"/>
                  <w:shd w:val="clear" w:color="auto" w:fill="EFEFEF"/>
                  <w:tcMar>
                    <w:top w:w="45" w:type="dxa"/>
                    <w:left w:w="90" w:type="dxa"/>
                    <w:bottom w:w="45" w:type="dxa"/>
                    <w:right w:w="90" w:type="dxa"/>
                  </w:tcMar>
                  <w:vAlign w:val="center"/>
                  <w:hideMark/>
                </w:tcPr>
                <w:p w14:paraId="1B3F866D"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6.0 </w:t>
                  </w:r>
                </w:p>
              </w:tc>
              <w:tc>
                <w:tcPr>
                  <w:tcW w:w="0" w:type="auto"/>
                  <w:shd w:val="clear" w:color="auto" w:fill="EFEFEF"/>
                  <w:tcMar>
                    <w:top w:w="45" w:type="dxa"/>
                    <w:left w:w="90" w:type="dxa"/>
                    <w:bottom w:w="45" w:type="dxa"/>
                    <w:right w:w="90" w:type="dxa"/>
                  </w:tcMar>
                  <w:vAlign w:val="center"/>
                  <w:hideMark/>
                </w:tcPr>
                <w:p w14:paraId="6F14D3C5"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9.0 </w:t>
                  </w:r>
                </w:p>
              </w:tc>
              <w:tc>
                <w:tcPr>
                  <w:tcW w:w="0" w:type="auto"/>
                  <w:shd w:val="clear" w:color="auto" w:fill="EFEFEF"/>
                  <w:tcMar>
                    <w:top w:w="45" w:type="dxa"/>
                    <w:left w:w="90" w:type="dxa"/>
                    <w:bottom w:w="45" w:type="dxa"/>
                    <w:right w:w="90" w:type="dxa"/>
                  </w:tcMar>
                  <w:vAlign w:val="center"/>
                  <w:hideMark/>
                </w:tcPr>
                <w:p w14:paraId="0D0D2B0C"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11.0 </w:t>
                  </w:r>
                </w:p>
              </w:tc>
              <w:tc>
                <w:tcPr>
                  <w:tcW w:w="0" w:type="auto"/>
                  <w:shd w:val="clear" w:color="auto" w:fill="EFEFEF"/>
                  <w:tcMar>
                    <w:top w:w="45" w:type="dxa"/>
                    <w:left w:w="90" w:type="dxa"/>
                    <w:bottom w:w="45" w:type="dxa"/>
                    <w:right w:w="90" w:type="dxa"/>
                  </w:tcMar>
                  <w:vAlign w:val="center"/>
                  <w:hideMark/>
                </w:tcPr>
                <w:p w14:paraId="4D39363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4.5 </w:t>
                  </w:r>
                </w:p>
              </w:tc>
              <w:tc>
                <w:tcPr>
                  <w:tcW w:w="0" w:type="auto"/>
                  <w:shd w:val="clear" w:color="auto" w:fill="EFEFEF"/>
                  <w:tcMar>
                    <w:top w:w="45" w:type="dxa"/>
                    <w:left w:w="90" w:type="dxa"/>
                    <w:bottom w:w="45" w:type="dxa"/>
                    <w:right w:w="90" w:type="dxa"/>
                  </w:tcMar>
                  <w:vAlign w:val="center"/>
                  <w:hideMark/>
                </w:tcPr>
                <w:p w14:paraId="26E1A11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5.9 </w:t>
                  </w:r>
                </w:p>
              </w:tc>
              <w:tc>
                <w:tcPr>
                  <w:tcW w:w="0" w:type="auto"/>
                  <w:shd w:val="clear" w:color="auto" w:fill="EFEFEF"/>
                  <w:tcMar>
                    <w:top w:w="45" w:type="dxa"/>
                    <w:left w:w="90" w:type="dxa"/>
                    <w:bottom w:w="45" w:type="dxa"/>
                    <w:right w:w="90" w:type="dxa"/>
                  </w:tcMar>
                  <w:vAlign w:val="center"/>
                  <w:hideMark/>
                </w:tcPr>
                <w:p w14:paraId="38ECCEC9"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6.4 </w:t>
                  </w:r>
                </w:p>
              </w:tc>
              <w:tc>
                <w:tcPr>
                  <w:tcW w:w="0" w:type="auto"/>
                  <w:shd w:val="clear" w:color="auto" w:fill="EFEFEF"/>
                  <w:tcMar>
                    <w:top w:w="45" w:type="dxa"/>
                    <w:left w:w="90" w:type="dxa"/>
                    <w:bottom w:w="45" w:type="dxa"/>
                    <w:right w:w="90" w:type="dxa"/>
                  </w:tcMar>
                  <w:vAlign w:val="center"/>
                  <w:hideMark/>
                </w:tcPr>
                <w:p w14:paraId="6FC5C50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5.0 </w:t>
                  </w:r>
                </w:p>
              </w:tc>
              <w:tc>
                <w:tcPr>
                  <w:tcW w:w="0" w:type="auto"/>
                  <w:shd w:val="clear" w:color="auto" w:fill="EFEFEF"/>
                  <w:tcMar>
                    <w:top w:w="45" w:type="dxa"/>
                    <w:left w:w="90" w:type="dxa"/>
                    <w:bottom w:w="45" w:type="dxa"/>
                    <w:right w:w="90" w:type="dxa"/>
                  </w:tcMar>
                  <w:vAlign w:val="center"/>
                  <w:hideMark/>
                </w:tcPr>
                <w:p w14:paraId="1125108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5.0 </w:t>
                  </w:r>
                </w:p>
              </w:tc>
              <w:tc>
                <w:tcPr>
                  <w:tcW w:w="0" w:type="auto"/>
                  <w:shd w:val="clear" w:color="auto" w:fill="EFEFEF"/>
                  <w:tcMar>
                    <w:top w:w="45" w:type="dxa"/>
                    <w:left w:w="90" w:type="dxa"/>
                    <w:bottom w:w="45" w:type="dxa"/>
                    <w:right w:w="90" w:type="dxa"/>
                  </w:tcMar>
                  <w:vAlign w:val="center"/>
                  <w:hideMark/>
                </w:tcPr>
                <w:p w14:paraId="55F8340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5.0 </w:t>
                  </w:r>
                </w:p>
              </w:tc>
              <w:tc>
                <w:tcPr>
                  <w:tcW w:w="0" w:type="auto"/>
                  <w:shd w:val="clear" w:color="auto" w:fill="EFEFEF"/>
                  <w:tcMar>
                    <w:top w:w="45" w:type="dxa"/>
                    <w:left w:w="90" w:type="dxa"/>
                    <w:bottom w:w="45" w:type="dxa"/>
                    <w:right w:w="90" w:type="dxa"/>
                  </w:tcMar>
                  <w:vAlign w:val="center"/>
                  <w:hideMark/>
                </w:tcPr>
                <w:p w14:paraId="2DEFFB35"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5.0 </w:t>
                  </w:r>
                </w:p>
              </w:tc>
              <w:tc>
                <w:tcPr>
                  <w:tcW w:w="0" w:type="auto"/>
                  <w:shd w:val="clear" w:color="auto" w:fill="EFEFEF"/>
                  <w:vAlign w:val="center"/>
                  <w:hideMark/>
                </w:tcPr>
                <w:p w14:paraId="6A84E8DB"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07E61A2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1857ED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960CF6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202A56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A9100B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7D6511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3F0BD1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591D80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718FD0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4B0AF4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940B1D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1F3AC1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C1EF67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AE1AE2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EE2411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8E7068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1F29C0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3594FE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45A243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12BEB4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CEEF84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6B8DAE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CB2681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3513A7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E3BB7F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40DAAC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B5D13D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CCF1BD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06CB15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4DB6DE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11526D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37EFFA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A23BBA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7E3092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BE1FC7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79E89D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81BC51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C63F89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244836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97222B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AAAC2E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4053FB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86A10B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8112AE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5A6DC1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D5757C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ACEF77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0F91E7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013CEC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2F127B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3C21E958" w14:textId="77777777">
              <w:trPr>
                <w:tblCellSpacing w:w="0" w:type="dxa"/>
              </w:trPr>
              <w:tc>
                <w:tcPr>
                  <w:tcW w:w="0" w:type="auto"/>
                  <w:tcMar>
                    <w:top w:w="45" w:type="dxa"/>
                    <w:left w:w="90" w:type="dxa"/>
                    <w:bottom w:w="45" w:type="dxa"/>
                    <w:right w:w="90" w:type="dxa"/>
                  </w:tcMar>
                  <w:vAlign w:val="center"/>
                  <w:hideMark/>
                </w:tcPr>
                <w:p w14:paraId="71F9F5EF"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Banks' claims on resident non-gov't sector/GDP</w:t>
                  </w:r>
                </w:p>
              </w:tc>
              <w:tc>
                <w:tcPr>
                  <w:tcW w:w="0" w:type="auto"/>
                  <w:tcMar>
                    <w:top w:w="45" w:type="dxa"/>
                    <w:left w:w="90" w:type="dxa"/>
                    <w:bottom w:w="45" w:type="dxa"/>
                    <w:right w:w="90" w:type="dxa"/>
                  </w:tcMar>
                  <w:vAlign w:val="center"/>
                  <w:hideMark/>
                </w:tcPr>
                <w:p w14:paraId="1D5CCD62"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75.7 </w:t>
                  </w:r>
                </w:p>
              </w:tc>
              <w:tc>
                <w:tcPr>
                  <w:tcW w:w="0" w:type="auto"/>
                  <w:tcMar>
                    <w:top w:w="45" w:type="dxa"/>
                    <w:left w:w="90" w:type="dxa"/>
                    <w:bottom w:w="45" w:type="dxa"/>
                    <w:right w:w="90" w:type="dxa"/>
                  </w:tcMar>
                  <w:vAlign w:val="center"/>
                  <w:hideMark/>
                </w:tcPr>
                <w:p w14:paraId="0C3FF050"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76.7 </w:t>
                  </w:r>
                </w:p>
              </w:tc>
              <w:tc>
                <w:tcPr>
                  <w:tcW w:w="0" w:type="auto"/>
                  <w:tcMar>
                    <w:top w:w="45" w:type="dxa"/>
                    <w:left w:w="90" w:type="dxa"/>
                    <w:bottom w:w="45" w:type="dxa"/>
                    <w:right w:w="90" w:type="dxa"/>
                  </w:tcMar>
                  <w:vAlign w:val="center"/>
                  <w:hideMark/>
                </w:tcPr>
                <w:p w14:paraId="0BF2DA0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80.0 </w:t>
                  </w:r>
                </w:p>
              </w:tc>
              <w:tc>
                <w:tcPr>
                  <w:tcW w:w="0" w:type="auto"/>
                  <w:tcMar>
                    <w:top w:w="45" w:type="dxa"/>
                    <w:left w:w="90" w:type="dxa"/>
                    <w:bottom w:w="45" w:type="dxa"/>
                    <w:right w:w="90" w:type="dxa"/>
                  </w:tcMar>
                  <w:vAlign w:val="center"/>
                  <w:hideMark/>
                </w:tcPr>
                <w:p w14:paraId="7EA2CB0D"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77.7 </w:t>
                  </w:r>
                </w:p>
              </w:tc>
              <w:tc>
                <w:tcPr>
                  <w:tcW w:w="0" w:type="auto"/>
                  <w:tcMar>
                    <w:top w:w="45" w:type="dxa"/>
                    <w:left w:w="90" w:type="dxa"/>
                    <w:bottom w:w="45" w:type="dxa"/>
                    <w:right w:w="90" w:type="dxa"/>
                  </w:tcMar>
                  <w:vAlign w:val="center"/>
                  <w:hideMark/>
                </w:tcPr>
                <w:p w14:paraId="4654BEBD"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77.1 </w:t>
                  </w:r>
                </w:p>
              </w:tc>
              <w:tc>
                <w:tcPr>
                  <w:tcW w:w="0" w:type="auto"/>
                  <w:tcMar>
                    <w:top w:w="45" w:type="dxa"/>
                    <w:left w:w="90" w:type="dxa"/>
                    <w:bottom w:w="45" w:type="dxa"/>
                    <w:right w:w="90" w:type="dxa"/>
                  </w:tcMar>
                  <w:vAlign w:val="center"/>
                  <w:hideMark/>
                </w:tcPr>
                <w:p w14:paraId="3C262CCE"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78.3 </w:t>
                  </w:r>
                </w:p>
              </w:tc>
              <w:tc>
                <w:tcPr>
                  <w:tcW w:w="0" w:type="auto"/>
                  <w:tcMar>
                    <w:top w:w="45" w:type="dxa"/>
                    <w:left w:w="90" w:type="dxa"/>
                    <w:bottom w:w="45" w:type="dxa"/>
                    <w:right w:w="90" w:type="dxa"/>
                  </w:tcMar>
                  <w:vAlign w:val="center"/>
                  <w:hideMark/>
                </w:tcPr>
                <w:p w14:paraId="1F91B40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78.3 </w:t>
                  </w:r>
                </w:p>
              </w:tc>
              <w:tc>
                <w:tcPr>
                  <w:tcW w:w="0" w:type="auto"/>
                  <w:tcMar>
                    <w:top w:w="45" w:type="dxa"/>
                    <w:left w:w="90" w:type="dxa"/>
                    <w:bottom w:w="45" w:type="dxa"/>
                    <w:right w:w="90" w:type="dxa"/>
                  </w:tcMar>
                  <w:vAlign w:val="center"/>
                  <w:hideMark/>
                </w:tcPr>
                <w:p w14:paraId="33B343AF"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77.2 </w:t>
                  </w:r>
                </w:p>
              </w:tc>
              <w:tc>
                <w:tcPr>
                  <w:tcW w:w="0" w:type="auto"/>
                  <w:tcMar>
                    <w:top w:w="45" w:type="dxa"/>
                    <w:left w:w="90" w:type="dxa"/>
                    <w:bottom w:w="45" w:type="dxa"/>
                    <w:right w:w="90" w:type="dxa"/>
                  </w:tcMar>
                  <w:vAlign w:val="center"/>
                  <w:hideMark/>
                </w:tcPr>
                <w:p w14:paraId="7F3868B0"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76.0 </w:t>
                  </w:r>
                </w:p>
              </w:tc>
              <w:tc>
                <w:tcPr>
                  <w:tcW w:w="0" w:type="auto"/>
                  <w:tcMar>
                    <w:top w:w="45" w:type="dxa"/>
                    <w:left w:w="90" w:type="dxa"/>
                    <w:bottom w:w="45" w:type="dxa"/>
                    <w:right w:w="90" w:type="dxa"/>
                  </w:tcMar>
                  <w:vAlign w:val="center"/>
                  <w:hideMark/>
                </w:tcPr>
                <w:p w14:paraId="32151928"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74.8 </w:t>
                  </w:r>
                </w:p>
              </w:tc>
              <w:tc>
                <w:tcPr>
                  <w:tcW w:w="0" w:type="auto"/>
                  <w:vAlign w:val="center"/>
                  <w:hideMark/>
                </w:tcPr>
                <w:p w14:paraId="6E72D8B0"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46EFCAE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846E5C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2EA5E3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42DF45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203B7E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3B3BE6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19CAEB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2E783E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6BB7A6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1537A3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A845DA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30AC3E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F0AB60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8F547F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4D59A8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1960CC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475F38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C0D7BC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C518DE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FBDBB4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CC5420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68377E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C9B1BC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58572B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B8FA78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11A00D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D9E1C8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5BA4A2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6BAA5F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17D9D4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B071DC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B0F5B7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7342F0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7FD213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4F1317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403C2A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F4F566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1B1E60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0D1D6F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D3054F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239528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C204FC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EA232E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F86BF8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F6F479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B1A044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023203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E98951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E9C271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79361F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3771B8DE" w14:textId="77777777">
              <w:trPr>
                <w:tblCellSpacing w:w="0" w:type="dxa"/>
              </w:trPr>
              <w:tc>
                <w:tcPr>
                  <w:tcW w:w="0" w:type="auto"/>
                  <w:shd w:val="clear" w:color="auto" w:fill="EFEFEF"/>
                  <w:tcMar>
                    <w:top w:w="45" w:type="dxa"/>
                    <w:left w:w="90" w:type="dxa"/>
                    <w:bottom w:w="45" w:type="dxa"/>
                    <w:right w:w="90" w:type="dxa"/>
                  </w:tcMar>
                  <w:vAlign w:val="center"/>
                  <w:hideMark/>
                </w:tcPr>
                <w:p w14:paraId="7C0199AD"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Foreign currency share of claims by banks on residents</w:t>
                  </w:r>
                </w:p>
              </w:tc>
              <w:tc>
                <w:tcPr>
                  <w:tcW w:w="0" w:type="auto"/>
                  <w:shd w:val="clear" w:color="auto" w:fill="EFEFEF"/>
                  <w:tcMar>
                    <w:top w:w="45" w:type="dxa"/>
                    <w:left w:w="90" w:type="dxa"/>
                    <w:bottom w:w="45" w:type="dxa"/>
                    <w:right w:w="90" w:type="dxa"/>
                  </w:tcMar>
                  <w:vAlign w:val="center"/>
                  <w:hideMark/>
                </w:tcPr>
                <w:p w14:paraId="64717157"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N/A</w:t>
                  </w:r>
                </w:p>
              </w:tc>
              <w:tc>
                <w:tcPr>
                  <w:tcW w:w="0" w:type="auto"/>
                  <w:shd w:val="clear" w:color="auto" w:fill="EFEFEF"/>
                  <w:tcMar>
                    <w:top w:w="45" w:type="dxa"/>
                    <w:left w:w="90" w:type="dxa"/>
                    <w:bottom w:w="45" w:type="dxa"/>
                    <w:right w:w="90" w:type="dxa"/>
                  </w:tcMar>
                  <w:vAlign w:val="center"/>
                  <w:hideMark/>
                </w:tcPr>
                <w:p w14:paraId="6F15FB3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N/A</w:t>
                  </w:r>
                </w:p>
              </w:tc>
              <w:tc>
                <w:tcPr>
                  <w:tcW w:w="0" w:type="auto"/>
                  <w:shd w:val="clear" w:color="auto" w:fill="EFEFEF"/>
                  <w:tcMar>
                    <w:top w:w="45" w:type="dxa"/>
                    <w:left w:w="90" w:type="dxa"/>
                    <w:bottom w:w="45" w:type="dxa"/>
                    <w:right w:w="90" w:type="dxa"/>
                  </w:tcMar>
                  <w:vAlign w:val="center"/>
                  <w:hideMark/>
                </w:tcPr>
                <w:p w14:paraId="39540477"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N/A</w:t>
                  </w:r>
                </w:p>
              </w:tc>
              <w:tc>
                <w:tcPr>
                  <w:tcW w:w="0" w:type="auto"/>
                  <w:shd w:val="clear" w:color="auto" w:fill="EFEFEF"/>
                  <w:tcMar>
                    <w:top w:w="45" w:type="dxa"/>
                    <w:left w:w="90" w:type="dxa"/>
                    <w:bottom w:w="45" w:type="dxa"/>
                    <w:right w:w="90" w:type="dxa"/>
                  </w:tcMar>
                  <w:vAlign w:val="center"/>
                  <w:hideMark/>
                </w:tcPr>
                <w:p w14:paraId="673C10C9"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N/A</w:t>
                  </w:r>
                </w:p>
              </w:tc>
              <w:tc>
                <w:tcPr>
                  <w:tcW w:w="0" w:type="auto"/>
                  <w:shd w:val="clear" w:color="auto" w:fill="EFEFEF"/>
                  <w:tcMar>
                    <w:top w:w="45" w:type="dxa"/>
                    <w:left w:w="90" w:type="dxa"/>
                    <w:bottom w:w="45" w:type="dxa"/>
                    <w:right w:w="90" w:type="dxa"/>
                  </w:tcMar>
                  <w:vAlign w:val="center"/>
                  <w:hideMark/>
                </w:tcPr>
                <w:p w14:paraId="065CDAC5"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N/A</w:t>
                  </w:r>
                </w:p>
              </w:tc>
              <w:tc>
                <w:tcPr>
                  <w:tcW w:w="0" w:type="auto"/>
                  <w:shd w:val="clear" w:color="auto" w:fill="EFEFEF"/>
                  <w:tcMar>
                    <w:top w:w="45" w:type="dxa"/>
                    <w:left w:w="90" w:type="dxa"/>
                    <w:bottom w:w="45" w:type="dxa"/>
                    <w:right w:w="90" w:type="dxa"/>
                  </w:tcMar>
                  <w:vAlign w:val="center"/>
                  <w:hideMark/>
                </w:tcPr>
                <w:p w14:paraId="334172B0"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N/A</w:t>
                  </w:r>
                </w:p>
              </w:tc>
              <w:tc>
                <w:tcPr>
                  <w:tcW w:w="0" w:type="auto"/>
                  <w:shd w:val="clear" w:color="auto" w:fill="EFEFEF"/>
                  <w:tcMar>
                    <w:top w:w="45" w:type="dxa"/>
                    <w:left w:w="90" w:type="dxa"/>
                    <w:bottom w:w="45" w:type="dxa"/>
                    <w:right w:w="90" w:type="dxa"/>
                  </w:tcMar>
                  <w:vAlign w:val="center"/>
                  <w:hideMark/>
                </w:tcPr>
                <w:p w14:paraId="70D98979"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N/A</w:t>
                  </w:r>
                </w:p>
              </w:tc>
              <w:tc>
                <w:tcPr>
                  <w:tcW w:w="0" w:type="auto"/>
                  <w:shd w:val="clear" w:color="auto" w:fill="EFEFEF"/>
                  <w:tcMar>
                    <w:top w:w="45" w:type="dxa"/>
                    <w:left w:w="90" w:type="dxa"/>
                    <w:bottom w:w="45" w:type="dxa"/>
                    <w:right w:w="90" w:type="dxa"/>
                  </w:tcMar>
                  <w:vAlign w:val="center"/>
                  <w:hideMark/>
                </w:tcPr>
                <w:p w14:paraId="647BE85B"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N/A</w:t>
                  </w:r>
                </w:p>
              </w:tc>
              <w:tc>
                <w:tcPr>
                  <w:tcW w:w="0" w:type="auto"/>
                  <w:shd w:val="clear" w:color="auto" w:fill="EFEFEF"/>
                  <w:tcMar>
                    <w:top w:w="45" w:type="dxa"/>
                    <w:left w:w="90" w:type="dxa"/>
                    <w:bottom w:w="45" w:type="dxa"/>
                    <w:right w:w="90" w:type="dxa"/>
                  </w:tcMar>
                  <w:vAlign w:val="center"/>
                  <w:hideMark/>
                </w:tcPr>
                <w:p w14:paraId="008DDF94"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N/A</w:t>
                  </w:r>
                </w:p>
              </w:tc>
              <w:tc>
                <w:tcPr>
                  <w:tcW w:w="0" w:type="auto"/>
                  <w:shd w:val="clear" w:color="auto" w:fill="EFEFEF"/>
                  <w:tcMar>
                    <w:top w:w="45" w:type="dxa"/>
                    <w:left w:w="90" w:type="dxa"/>
                    <w:bottom w:w="45" w:type="dxa"/>
                    <w:right w:w="90" w:type="dxa"/>
                  </w:tcMar>
                  <w:vAlign w:val="center"/>
                  <w:hideMark/>
                </w:tcPr>
                <w:p w14:paraId="5DC6CF2F"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N/A</w:t>
                  </w:r>
                </w:p>
              </w:tc>
              <w:tc>
                <w:tcPr>
                  <w:tcW w:w="0" w:type="auto"/>
                  <w:shd w:val="clear" w:color="auto" w:fill="EFEFEF"/>
                  <w:vAlign w:val="center"/>
                  <w:hideMark/>
                </w:tcPr>
                <w:p w14:paraId="2F07348A"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427757B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76DE40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DD279E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E9B48C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6445E3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7DF9FA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8FD8A0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1A655F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53CA98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33FFD0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8DBBC3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0D0FB7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C4C3B3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388299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9B118D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A12E1C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16C317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EB24F1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991DDE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BF9F27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ED8285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590220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575C4E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20F967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B0CA7E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F91294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EE843C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F7E219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4DB329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831709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BB8927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2D6C72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4A1FAF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52544D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1CFFDD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34B2C3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5EB98B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A4E657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C968C6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694F18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B03BFE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9E51F2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5E859F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DD0CAF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E0795A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405611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D6B84E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0D5826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9F995F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6FA328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1966BE79" w14:textId="77777777">
              <w:trPr>
                <w:tblCellSpacing w:w="0" w:type="dxa"/>
              </w:trPr>
              <w:tc>
                <w:tcPr>
                  <w:tcW w:w="0" w:type="auto"/>
                  <w:tcMar>
                    <w:top w:w="45" w:type="dxa"/>
                    <w:left w:w="90" w:type="dxa"/>
                    <w:bottom w:w="45" w:type="dxa"/>
                    <w:right w:w="90" w:type="dxa"/>
                  </w:tcMar>
                  <w:vAlign w:val="center"/>
                  <w:hideMark/>
                </w:tcPr>
                <w:p w14:paraId="20CDE33C"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Foreign currency share of residents' bank deposits</w:t>
                  </w:r>
                </w:p>
              </w:tc>
              <w:tc>
                <w:tcPr>
                  <w:tcW w:w="0" w:type="auto"/>
                  <w:tcMar>
                    <w:top w:w="45" w:type="dxa"/>
                    <w:left w:w="90" w:type="dxa"/>
                    <w:bottom w:w="45" w:type="dxa"/>
                    <w:right w:w="90" w:type="dxa"/>
                  </w:tcMar>
                  <w:vAlign w:val="center"/>
                  <w:hideMark/>
                </w:tcPr>
                <w:p w14:paraId="15932C52"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3.9 </w:t>
                  </w:r>
                </w:p>
              </w:tc>
              <w:tc>
                <w:tcPr>
                  <w:tcW w:w="0" w:type="auto"/>
                  <w:tcMar>
                    <w:top w:w="45" w:type="dxa"/>
                    <w:left w:w="90" w:type="dxa"/>
                    <w:bottom w:w="45" w:type="dxa"/>
                    <w:right w:w="90" w:type="dxa"/>
                  </w:tcMar>
                  <w:vAlign w:val="center"/>
                  <w:hideMark/>
                </w:tcPr>
                <w:p w14:paraId="4A18101E"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4.6 </w:t>
                  </w:r>
                </w:p>
              </w:tc>
              <w:tc>
                <w:tcPr>
                  <w:tcW w:w="0" w:type="auto"/>
                  <w:tcMar>
                    <w:top w:w="45" w:type="dxa"/>
                    <w:left w:w="90" w:type="dxa"/>
                    <w:bottom w:w="45" w:type="dxa"/>
                    <w:right w:w="90" w:type="dxa"/>
                  </w:tcMar>
                  <w:vAlign w:val="center"/>
                  <w:hideMark/>
                </w:tcPr>
                <w:p w14:paraId="182F2FEF"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5.9 </w:t>
                  </w:r>
                </w:p>
              </w:tc>
              <w:tc>
                <w:tcPr>
                  <w:tcW w:w="0" w:type="auto"/>
                  <w:tcMar>
                    <w:top w:w="45" w:type="dxa"/>
                    <w:left w:w="90" w:type="dxa"/>
                    <w:bottom w:w="45" w:type="dxa"/>
                    <w:right w:w="90" w:type="dxa"/>
                  </w:tcMar>
                  <w:vAlign w:val="center"/>
                  <w:hideMark/>
                </w:tcPr>
                <w:p w14:paraId="654E9FEA"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5.1 </w:t>
                  </w:r>
                </w:p>
              </w:tc>
              <w:tc>
                <w:tcPr>
                  <w:tcW w:w="0" w:type="auto"/>
                  <w:tcMar>
                    <w:top w:w="45" w:type="dxa"/>
                    <w:left w:w="90" w:type="dxa"/>
                    <w:bottom w:w="45" w:type="dxa"/>
                    <w:right w:w="90" w:type="dxa"/>
                  </w:tcMar>
                  <w:vAlign w:val="center"/>
                  <w:hideMark/>
                </w:tcPr>
                <w:p w14:paraId="1459C7C6"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4.7 </w:t>
                  </w:r>
                </w:p>
              </w:tc>
              <w:tc>
                <w:tcPr>
                  <w:tcW w:w="0" w:type="auto"/>
                  <w:tcMar>
                    <w:top w:w="45" w:type="dxa"/>
                    <w:left w:w="90" w:type="dxa"/>
                    <w:bottom w:w="45" w:type="dxa"/>
                    <w:right w:w="90" w:type="dxa"/>
                  </w:tcMar>
                  <w:vAlign w:val="center"/>
                  <w:hideMark/>
                </w:tcPr>
                <w:p w14:paraId="5351C2C2"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5.5 </w:t>
                  </w:r>
                </w:p>
              </w:tc>
              <w:tc>
                <w:tcPr>
                  <w:tcW w:w="0" w:type="auto"/>
                  <w:tcMar>
                    <w:top w:w="45" w:type="dxa"/>
                    <w:left w:w="90" w:type="dxa"/>
                    <w:bottom w:w="45" w:type="dxa"/>
                    <w:right w:w="90" w:type="dxa"/>
                  </w:tcMar>
                  <w:vAlign w:val="center"/>
                  <w:hideMark/>
                </w:tcPr>
                <w:p w14:paraId="02A95F6D"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6.0 </w:t>
                  </w:r>
                </w:p>
              </w:tc>
              <w:tc>
                <w:tcPr>
                  <w:tcW w:w="0" w:type="auto"/>
                  <w:tcMar>
                    <w:top w:w="45" w:type="dxa"/>
                    <w:left w:w="90" w:type="dxa"/>
                    <w:bottom w:w="45" w:type="dxa"/>
                    <w:right w:w="90" w:type="dxa"/>
                  </w:tcMar>
                  <w:vAlign w:val="center"/>
                  <w:hideMark/>
                </w:tcPr>
                <w:p w14:paraId="36BE8EFF"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6.0 </w:t>
                  </w:r>
                </w:p>
              </w:tc>
              <w:tc>
                <w:tcPr>
                  <w:tcW w:w="0" w:type="auto"/>
                  <w:tcMar>
                    <w:top w:w="45" w:type="dxa"/>
                    <w:left w:w="90" w:type="dxa"/>
                    <w:bottom w:w="45" w:type="dxa"/>
                    <w:right w:w="90" w:type="dxa"/>
                  </w:tcMar>
                  <w:vAlign w:val="center"/>
                  <w:hideMark/>
                </w:tcPr>
                <w:p w14:paraId="4780A188"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6.0 </w:t>
                  </w:r>
                </w:p>
              </w:tc>
              <w:tc>
                <w:tcPr>
                  <w:tcW w:w="0" w:type="auto"/>
                  <w:tcMar>
                    <w:top w:w="45" w:type="dxa"/>
                    <w:left w:w="90" w:type="dxa"/>
                    <w:bottom w:w="45" w:type="dxa"/>
                    <w:right w:w="90" w:type="dxa"/>
                  </w:tcMar>
                  <w:vAlign w:val="center"/>
                  <w:hideMark/>
                </w:tcPr>
                <w:p w14:paraId="2CC1C788"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sz w:val="18"/>
                      <w:szCs w:val="18"/>
                      <w:lang w:eastAsia="en-ZA"/>
                    </w:rPr>
                    <w:t xml:space="preserve">6.0 </w:t>
                  </w:r>
                </w:p>
              </w:tc>
              <w:tc>
                <w:tcPr>
                  <w:tcW w:w="0" w:type="auto"/>
                  <w:vAlign w:val="center"/>
                  <w:hideMark/>
                </w:tcPr>
                <w:p w14:paraId="2110802E"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11121B0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EA3F63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328B26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B511C5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1B835D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2F6D1B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1D884D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A6D15C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5E86B4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06928D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D4F841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E8C0A2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D6D534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6219D7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2A2DF0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D5318F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7F1742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501CD6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1314B4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B217D0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EC5F25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AEE14F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AA75E8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1E3867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0A9658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DA7F88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FF5434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F220A9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7FE793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87BF0F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5D90FD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341CDE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E85CBA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DE17A6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E2120D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7F517F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0A54C5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06EE89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9DCF4A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CA2277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3D0218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2A2D4B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BC8464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D3DEA8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B5B7F8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039591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31C37A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C8FC92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324A9F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0996FE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19900DEC" w14:textId="77777777">
              <w:trPr>
                <w:tblCellSpacing w:w="0" w:type="dxa"/>
              </w:trPr>
              <w:tc>
                <w:tcPr>
                  <w:tcW w:w="0" w:type="auto"/>
                  <w:shd w:val="clear" w:color="auto" w:fill="EFEFEF"/>
                  <w:tcMar>
                    <w:top w:w="45" w:type="dxa"/>
                    <w:left w:w="90" w:type="dxa"/>
                    <w:bottom w:w="45" w:type="dxa"/>
                    <w:right w:w="90" w:type="dxa"/>
                  </w:tcMar>
                  <w:vAlign w:val="center"/>
                  <w:hideMark/>
                </w:tcPr>
                <w:p w14:paraId="15A5DB5D"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Real effective exchange rate growth</w:t>
                  </w:r>
                </w:p>
              </w:tc>
              <w:tc>
                <w:tcPr>
                  <w:tcW w:w="0" w:type="auto"/>
                  <w:shd w:val="clear" w:color="auto" w:fill="EFEFEF"/>
                  <w:tcMar>
                    <w:top w:w="45" w:type="dxa"/>
                    <w:left w:w="90" w:type="dxa"/>
                    <w:bottom w:w="45" w:type="dxa"/>
                    <w:right w:w="90" w:type="dxa"/>
                  </w:tcMar>
                  <w:vAlign w:val="center"/>
                  <w:hideMark/>
                </w:tcPr>
                <w:p w14:paraId="16DD2EA1"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(11.2)</w:t>
                  </w:r>
                </w:p>
              </w:tc>
              <w:tc>
                <w:tcPr>
                  <w:tcW w:w="0" w:type="auto"/>
                  <w:shd w:val="clear" w:color="auto" w:fill="EFEFEF"/>
                  <w:tcMar>
                    <w:top w:w="45" w:type="dxa"/>
                    <w:left w:w="90" w:type="dxa"/>
                    <w:bottom w:w="45" w:type="dxa"/>
                    <w:right w:w="90" w:type="dxa"/>
                  </w:tcMar>
                  <w:vAlign w:val="center"/>
                  <w:hideMark/>
                </w:tcPr>
                <w:p w14:paraId="3E529C49"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(6.1)</w:t>
                  </w:r>
                </w:p>
              </w:tc>
              <w:tc>
                <w:tcPr>
                  <w:tcW w:w="0" w:type="auto"/>
                  <w:shd w:val="clear" w:color="auto" w:fill="EFEFEF"/>
                  <w:tcMar>
                    <w:top w:w="45" w:type="dxa"/>
                    <w:left w:w="90" w:type="dxa"/>
                    <w:bottom w:w="45" w:type="dxa"/>
                    <w:right w:w="90" w:type="dxa"/>
                  </w:tcMar>
                  <w:vAlign w:val="center"/>
                  <w:hideMark/>
                </w:tcPr>
                <w:p w14:paraId="02426AC9"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(2.5)</w:t>
                  </w:r>
                </w:p>
              </w:tc>
              <w:tc>
                <w:tcPr>
                  <w:tcW w:w="0" w:type="auto"/>
                  <w:shd w:val="clear" w:color="auto" w:fill="EFEFEF"/>
                  <w:tcMar>
                    <w:top w:w="45" w:type="dxa"/>
                    <w:left w:w="90" w:type="dxa"/>
                    <w:bottom w:w="45" w:type="dxa"/>
                    <w:right w:w="90" w:type="dxa"/>
                  </w:tcMar>
                  <w:vAlign w:val="center"/>
                  <w:hideMark/>
                </w:tcPr>
                <w:p w14:paraId="49075D1D"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(6.3)</w:t>
                  </w:r>
                </w:p>
              </w:tc>
              <w:tc>
                <w:tcPr>
                  <w:tcW w:w="0" w:type="auto"/>
                  <w:shd w:val="clear" w:color="auto" w:fill="EFEFEF"/>
                  <w:tcMar>
                    <w:top w:w="45" w:type="dxa"/>
                    <w:left w:w="90" w:type="dxa"/>
                    <w:bottom w:w="45" w:type="dxa"/>
                    <w:right w:w="90" w:type="dxa"/>
                  </w:tcMar>
                  <w:vAlign w:val="center"/>
                  <w:hideMark/>
                </w:tcPr>
                <w:p w14:paraId="3A8BEEF0"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12.8 </w:t>
                  </w:r>
                </w:p>
              </w:tc>
              <w:tc>
                <w:tcPr>
                  <w:tcW w:w="0" w:type="auto"/>
                  <w:shd w:val="clear" w:color="auto" w:fill="EFEFEF"/>
                  <w:tcMar>
                    <w:top w:w="45" w:type="dxa"/>
                    <w:left w:w="90" w:type="dxa"/>
                    <w:bottom w:w="45" w:type="dxa"/>
                    <w:right w:w="90" w:type="dxa"/>
                  </w:tcMar>
                  <w:vAlign w:val="center"/>
                  <w:hideMark/>
                </w:tcPr>
                <w:p w14:paraId="255A5005"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 xml:space="preserve">1.7 </w:t>
                  </w:r>
                </w:p>
              </w:tc>
              <w:tc>
                <w:tcPr>
                  <w:tcW w:w="0" w:type="auto"/>
                  <w:shd w:val="clear" w:color="auto" w:fill="EFEFEF"/>
                  <w:tcMar>
                    <w:top w:w="45" w:type="dxa"/>
                    <w:left w:w="90" w:type="dxa"/>
                    <w:bottom w:w="45" w:type="dxa"/>
                    <w:right w:w="90" w:type="dxa"/>
                  </w:tcMar>
                  <w:vAlign w:val="center"/>
                  <w:hideMark/>
                </w:tcPr>
                <w:p w14:paraId="14BC99B3"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N/A</w:t>
                  </w:r>
                </w:p>
              </w:tc>
              <w:tc>
                <w:tcPr>
                  <w:tcW w:w="0" w:type="auto"/>
                  <w:shd w:val="clear" w:color="auto" w:fill="EFEFEF"/>
                  <w:tcMar>
                    <w:top w:w="45" w:type="dxa"/>
                    <w:left w:w="90" w:type="dxa"/>
                    <w:bottom w:w="45" w:type="dxa"/>
                    <w:right w:w="90" w:type="dxa"/>
                  </w:tcMar>
                  <w:vAlign w:val="center"/>
                  <w:hideMark/>
                </w:tcPr>
                <w:p w14:paraId="22611F40"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N/A</w:t>
                  </w:r>
                </w:p>
              </w:tc>
              <w:tc>
                <w:tcPr>
                  <w:tcW w:w="0" w:type="auto"/>
                  <w:shd w:val="clear" w:color="auto" w:fill="EFEFEF"/>
                  <w:tcMar>
                    <w:top w:w="45" w:type="dxa"/>
                    <w:left w:w="90" w:type="dxa"/>
                    <w:bottom w:w="45" w:type="dxa"/>
                    <w:right w:w="90" w:type="dxa"/>
                  </w:tcMar>
                  <w:vAlign w:val="center"/>
                  <w:hideMark/>
                </w:tcPr>
                <w:p w14:paraId="02F8AF13"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N/A</w:t>
                  </w:r>
                </w:p>
              </w:tc>
              <w:tc>
                <w:tcPr>
                  <w:tcW w:w="0" w:type="auto"/>
                  <w:shd w:val="clear" w:color="auto" w:fill="EFEFEF"/>
                  <w:tcMar>
                    <w:top w:w="45" w:type="dxa"/>
                    <w:left w:w="90" w:type="dxa"/>
                    <w:bottom w:w="45" w:type="dxa"/>
                    <w:right w:w="90" w:type="dxa"/>
                  </w:tcMar>
                  <w:vAlign w:val="center"/>
                  <w:hideMark/>
                </w:tcPr>
                <w:p w14:paraId="196110B2" w14:textId="77777777" w:rsidR="006439CC" w:rsidRPr="006439CC" w:rsidRDefault="006439CC" w:rsidP="006439CC">
                  <w:pPr>
                    <w:spacing w:after="180" w:line="240" w:lineRule="auto"/>
                    <w:jc w:val="right"/>
                    <w:rPr>
                      <w:rFonts w:ascii="Arial" w:eastAsia="Calibri" w:hAnsi="Arial" w:cs="Arial"/>
                      <w:sz w:val="18"/>
                      <w:szCs w:val="18"/>
                      <w:lang w:eastAsia="en-ZA"/>
                    </w:rPr>
                  </w:pPr>
                  <w:r w:rsidRPr="006439CC">
                    <w:rPr>
                      <w:rFonts w:ascii="Arial" w:eastAsia="Calibri" w:hAnsi="Arial" w:cs="Arial"/>
                      <w:color w:val="000000"/>
                      <w:sz w:val="18"/>
                      <w:szCs w:val="18"/>
                      <w:lang w:eastAsia="en-ZA"/>
                    </w:rPr>
                    <w:t>N/A</w:t>
                  </w:r>
                </w:p>
              </w:tc>
              <w:tc>
                <w:tcPr>
                  <w:tcW w:w="0" w:type="auto"/>
                  <w:shd w:val="clear" w:color="auto" w:fill="EFEFEF"/>
                  <w:vAlign w:val="center"/>
                  <w:hideMark/>
                </w:tcPr>
                <w:p w14:paraId="3BCA3743"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57B6D17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B8EB10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C2B0C0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A78326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03210B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BB886B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114D77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79B116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2F76B2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8D726C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0F7E8E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1ADBCE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133E5F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F0A39F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65E34D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71D850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285397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BFAF8A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621F7E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030660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BC635B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E068E6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C92141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B193D7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2582EA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C03E6B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CB6A69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622AE6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B8A59E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5A79F4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A962EA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E88778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45FA07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39B9DE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4060C0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70913B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246D1F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1F0B85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ADC6E0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5767BA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D739A5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6F4535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62F289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A353B3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72C96D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4A2F63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ACB91F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EAB743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2973B5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ECBBFF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3CC44B4A" w14:textId="77777777">
              <w:trPr>
                <w:tblCellSpacing w:w="0" w:type="dxa"/>
              </w:trPr>
              <w:tc>
                <w:tcPr>
                  <w:tcW w:w="0" w:type="auto"/>
                  <w:gridSpan w:val="62"/>
                  <w:tcMar>
                    <w:top w:w="45" w:type="dxa"/>
                    <w:left w:w="90" w:type="dxa"/>
                    <w:bottom w:w="45" w:type="dxa"/>
                    <w:right w:w="90" w:type="dxa"/>
                  </w:tcMar>
                  <w:vAlign w:val="center"/>
                  <w:hideMark/>
                </w:tcPr>
                <w:p w14:paraId="4672CA36"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Sources: Statistics South Africa, International Monetary Fund (Economic Indicators), South African Reserve Bank, International Monetary Fund (External Indicators); The National Treasury(Fiscal Indicators); International Monetary </w:t>
                  </w:r>
                  <w:proofErr w:type="spellStart"/>
                  <w:r w:rsidRPr="006439CC">
                    <w:rPr>
                      <w:rFonts w:ascii="Arial" w:eastAsia="Calibri" w:hAnsi="Arial" w:cs="Arial"/>
                      <w:sz w:val="18"/>
                      <w:szCs w:val="18"/>
                      <w:lang w:eastAsia="en-ZA"/>
                    </w:rPr>
                    <w:t>Fund,South</w:t>
                  </w:r>
                  <w:proofErr w:type="spellEnd"/>
                  <w:r w:rsidRPr="006439CC">
                    <w:rPr>
                      <w:rFonts w:ascii="Arial" w:eastAsia="Calibri" w:hAnsi="Arial" w:cs="Arial"/>
                      <w:sz w:val="18"/>
                      <w:szCs w:val="18"/>
                      <w:lang w:eastAsia="en-ZA"/>
                    </w:rPr>
                    <w:t xml:space="preserve"> African Reserve Bank(Monetary Indicators).</w:t>
                  </w:r>
                </w:p>
              </w:tc>
            </w:tr>
            <w:tr w:rsidR="006439CC" w:rsidRPr="006439CC" w14:paraId="16E75EA8" w14:textId="77777777">
              <w:trPr>
                <w:tblCellSpacing w:w="0" w:type="dxa"/>
              </w:trPr>
              <w:tc>
                <w:tcPr>
                  <w:tcW w:w="0" w:type="auto"/>
                  <w:gridSpan w:val="62"/>
                  <w:tcMar>
                    <w:top w:w="45" w:type="dxa"/>
                    <w:left w:w="90" w:type="dxa"/>
                    <w:bottom w:w="45" w:type="dxa"/>
                    <w:right w:w="90" w:type="dxa"/>
                  </w:tcMar>
                  <w:vAlign w:val="center"/>
                  <w:hideMark/>
                </w:tcPr>
                <w:p w14:paraId="51892F46"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lastRenderedPageBreak/>
                    <w:t>Adjustments: General government debt adjusted by including debt of South African Airways.</w:t>
                  </w:r>
                </w:p>
              </w:tc>
            </w:tr>
            <w:tr w:rsidR="006439CC" w:rsidRPr="006439CC" w14:paraId="08D4D100" w14:textId="77777777">
              <w:trPr>
                <w:tblCellSpacing w:w="0" w:type="dxa"/>
              </w:trPr>
              <w:tc>
                <w:tcPr>
                  <w:tcW w:w="0" w:type="auto"/>
                  <w:gridSpan w:val="62"/>
                  <w:tcMar>
                    <w:top w:w="45" w:type="dxa"/>
                    <w:left w:w="90" w:type="dxa"/>
                    <w:bottom w:w="45" w:type="dxa"/>
                    <w:right w:w="90" w:type="dxa"/>
                  </w:tcMar>
                  <w:vAlign w:val="center"/>
                  <w:hideMark/>
                </w:tcPr>
                <w:p w14:paraId="45271EC9"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Definitions: Savings is defined as investment plus the current account surplus (deficit). Investment is defined as expenditure on capital goods, including plant, equipment, and housing, plus the change in inventories. Banks are other depository corporations other than the central bank, whose liabilities are included in the national definition of broad money. Gross external financing needs are defined as current account payments plus short-term external debt at the end of the prior year plus </w:t>
                  </w:r>
                  <w:proofErr w:type="spellStart"/>
                  <w:r w:rsidRPr="006439CC">
                    <w:rPr>
                      <w:rFonts w:ascii="Arial" w:eastAsia="Calibri" w:hAnsi="Arial" w:cs="Arial"/>
                      <w:sz w:val="18"/>
                      <w:szCs w:val="18"/>
                      <w:lang w:eastAsia="en-ZA"/>
                    </w:rPr>
                    <w:t>nonresident</w:t>
                  </w:r>
                  <w:proofErr w:type="spellEnd"/>
                  <w:r w:rsidRPr="006439CC">
                    <w:rPr>
                      <w:rFonts w:ascii="Arial" w:eastAsia="Calibri" w:hAnsi="Arial" w:cs="Arial"/>
                      <w:sz w:val="18"/>
                      <w:szCs w:val="18"/>
                      <w:lang w:eastAsia="en-ZA"/>
                    </w:rPr>
                    <w:t xml:space="preserve"> deposits at the end of the prior year plus long-term external debt maturing within the year. Narrow net external debt is defined as the stock of foreign and local currency public- and private- sector borrowings from </w:t>
                  </w:r>
                  <w:proofErr w:type="spellStart"/>
                  <w:r w:rsidRPr="006439CC">
                    <w:rPr>
                      <w:rFonts w:ascii="Arial" w:eastAsia="Calibri" w:hAnsi="Arial" w:cs="Arial"/>
                      <w:sz w:val="18"/>
                      <w:szCs w:val="18"/>
                      <w:lang w:eastAsia="en-ZA"/>
                    </w:rPr>
                    <w:t>nonresidents</w:t>
                  </w:r>
                  <w:proofErr w:type="spellEnd"/>
                  <w:r w:rsidRPr="006439CC">
                    <w:rPr>
                      <w:rFonts w:ascii="Arial" w:eastAsia="Calibri" w:hAnsi="Arial" w:cs="Arial"/>
                      <w:sz w:val="18"/>
                      <w:szCs w:val="18"/>
                      <w:lang w:eastAsia="en-ZA"/>
                    </w:rPr>
                    <w:t xml:space="preserve"> minus official reserves minus public-sector liquid assets held by </w:t>
                  </w:r>
                  <w:proofErr w:type="spellStart"/>
                  <w:r w:rsidRPr="006439CC">
                    <w:rPr>
                      <w:rFonts w:ascii="Arial" w:eastAsia="Calibri" w:hAnsi="Arial" w:cs="Arial"/>
                      <w:sz w:val="18"/>
                      <w:szCs w:val="18"/>
                      <w:lang w:eastAsia="en-ZA"/>
                    </w:rPr>
                    <w:t>nonresidents</w:t>
                  </w:r>
                  <w:proofErr w:type="spellEnd"/>
                  <w:r w:rsidRPr="006439CC">
                    <w:rPr>
                      <w:rFonts w:ascii="Arial" w:eastAsia="Calibri" w:hAnsi="Arial" w:cs="Arial"/>
                      <w:sz w:val="18"/>
                      <w:szCs w:val="18"/>
                      <w:lang w:eastAsia="en-ZA"/>
                    </w:rPr>
                    <w:t xml:space="preserve"> minus financial-sector loans to, deposits with, or investments in </w:t>
                  </w:r>
                  <w:proofErr w:type="spellStart"/>
                  <w:r w:rsidRPr="006439CC">
                    <w:rPr>
                      <w:rFonts w:ascii="Arial" w:eastAsia="Calibri" w:hAnsi="Arial" w:cs="Arial"/>
                      <w:sz w:val="18"/>
                      <w:szCs w:val="18"/>
                      <w:lang w:eastAsia="en-ZA"/>
                    </w:rPr>
                    <w:t>nonresident</w:t>
                  </w:r>
                  <w:proofErr w:type="spellEnd"/>
                  <w:r w:rsidRPr="006439CC">
                    <w:rPr>
                      <w:rFonts w:ascii="Arial" w:eastAsia="Calibri" w:hAnsi="Arial" w:cs="Arial"/>
                      <w:sz w:val="18"/>
                      <w:szCs w:val="18"/>
                      <w:lang w:eastAsia="en-ZA"/>
                    </w:rPr>
                    <w:t xml:space="preserve"> entities. A negative number indicates net external lending. N/A--Not applicable. ZAR--South African rand. CARs--Current account receipts. FDI--Foreign direct investment. CAPs--Current account payments. </w:t>
                  </w:r>
                  <w:proofErr w:type="spellStart"/>
                  <w:r w:rsidRPr="006439CC">
                    <w:rPr>
                      <w:rFonts w:ascii="Arial" w:eastAsia="Calibri" w:hAnsi="Arial" w:cs="Arial"/>
                      <w:sz w:val="18"/>
                      <w:szCs w:val="18"/>
                      <w:lang w:eastAsia="en-ZA"/>
                    </w:rPr>
                    <w:t>e</w:t>
                  </w:r>
                  <w:proofErr w:type="spellEnd"/>
                  <w:r w:rsidRPr="006439CC">
                    <w:rPr>
                      <w:rFonts w:ascii="Arial" w:eastAsia="Calibri" w:hAnsi="Arial" w:cs="Arial"/>
                      <w:sz w:val="18"/>
                      <w:szCs w:val="18"/>
                      <w:lang w:eastAsia="en-ZA"/>
                    </w:rPr>
                    <w:t xml:space="preserve">--Estimate. f--Forecast. The data and ratios above result from S&amp;P Global Ratings' own calculations, drawing on national as well as international sources, reflecting S&amp;P Global Ratings' independent view on the timeliness, coverage, accuracy, credibility, and usability of available information. </w:t>
                  </w:r>
                </w:p>
              </w:tc>
            </w:tr>
          </w:tbl>
          <w:p w14:paraId="6762A784" w14:textId="77777777" w:rsidR="006439CC" w:rsidRPr="006439CC" w:rsidRDefault="006439CC" w:rsidP="006439CC">
            <w:pPr>
              <w:spacing w:before="30" w:after="45" w:line="240" w:lineRule="auto"/>
              <w:rPr>
                <w:rFonts w:ascii="Arial" w:eastAsia="Calibri" w:hAnsi="Arial" w:cs="Arial"/>
                <w:b/>
                <w:bCs/>
                <w:color w:val="CC0033"/>
                <w:lang w:eastAsia="en-ZA"/>
              </w:rPr>
            </w:pPr>
            <w:r w:rsidRPr="006439CC">
              <w:rPr>
                <w:rFonts w:ascii="Arial" w:eastAsia="Calibri" w:hAnsi="Arial" w:cs="Arial"/>
                <w:b/>
                <w:bCs/>
                <w:color w:val="CC0033"/>
                <w:lang w:eastAsia="en-ZA"/>
              </w:rPr>
              <w:t>Ratings Score Snapshot</w:t>
            </w:r>
          </w:p>
          <w:tbl>
            <w:tblPr>
              <w:tblW w:w="0" w:type="auto"/>
              <w:tblCellSpacing w:w="0" w:type="dxa"/>
              <w:tblCellMar>
                <w:left w:w="0" w:type="dxa"/>
                <w:right w:w="0" w:type="dxa"/>
              </w:tblCellMar>
              <w:tblLook w:val="04A0" w:firstRow="1" w:lastRow="0" w:firstColumn="1" w:lastColumn="0" w:noHBand="0" w:noVBand="1"/>
            </w:tblPr>
            <w:tblGrid>
              <w:gridCol w:w="1840"/>
              <w:gridCol w:w="681"/>
              <w:gridCol w:w="7265"/>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6439CC" w:rsidRPr="006439CC" w14:paraId="6D9F8062" w14:textId="77777777">
              <w:trPr>
                <w:tblCellSpacing w:w="0" w:type="dxa"/>
              </w:trPr>
              <w:tc>
                <w:tcPr>
                  <w:tcW w:w="0" w:type="auto"/>
                  <w:gridSpan w:val="62"/>
                  <w:tcMar>
                    <w:top w:w="45" w:type="dxa"/>
                    <w:left w:w="90" w:type="dxa"/>
                    <w:bottom w:w="45" w:type="dxa"/>
                    <w:right w:w="90" w:type="dxa"/>
                  </w:tcMar>
                  <w:vAlign w:val="center"/>
                  <w:hideMark/>
                </w:tcPr>
                <w:p w14:paraId="4EC16DD6" w14:textId="77777777" w:rsidR="006439CC" w:rsidRPr="006439CC" w:rsidRDefault="006439CC" w:rsidP="006439CC">
                  <w:pPr>
                    <w:spacing w:after="180" w:line="240" w:lineRule="auto"/>
                    <w:rPr>
                      <w:rFonts w:ascii="Arial" w:eastAsia="Calibri" w:hAnsi="Arial" w:cs="Arial"/>
                      <w:b/>
                      <w:bCs/>
                      <w:sz w:val="18"/>
                      <w:szCs w:val="18"/>
                      <w:lang w:eastAsia="en-ZA"/>
                    </w:rPr>
                  </w:pPr>
                  <w:r w:rsidRPr="006439CC">
                    <w:rPr>
                      <w:rFonts w:ascii="Arial" w:eastAsia="Calibri" w:hAnsi="Arial" w:cs="Arial"/>
                      <w:b/>
                      <w:bCs/>
                      <w:sz w:val="18"/>
                      <w:szCs w:val="18"/>
                      <w:lang w:eastAsia="en-ZA"/>
                    </w:rPr>
                    <w:t xml:space="preserve">Table 2 | </w:t>
                  </w:r>
                  <w:hyperlink r:id="rId6" w:tgtFrame="_new" w:history="1">
                    <w:r w:rsidRPr="006439CC">
                      <w:rPr>
                        <w:rFonts w:ascii="Arial" w:eastAsia="Calibri" w:hAnsi="Arial" w:cs="Arial"/>
                        <w:b/>
                        <w:bCs/>
                        <w:color w:val="0088CC"/>
                        <w:sz w:val="18"/>
                        <w:szCs w:val="18"/>
                        <w:lang w:eastAsia="en-ZA"/>
                      </w:rPr>
                      <w:t>Download Table</w:t>
                    </w:r>
                  </w:hyperlink>
                </w:p>
              </w:tc>
            </w:tr>
            <w:tr w:rsidR="006439CC" w:rsidRPr="006439CC" w14:paraId="61B97D22" w14:textId="77777777">
              <w:trPr>
                <w:tblCellSpacing w:w="0" w:type="dxa"/>
              </w:trPr>
              <w:tc>
                <w:tcPr>
                  <w:tcW w:w="0" w:type="auto"/>
                  <w:gridSpan w:val="62"/>
                  <w:shd w:val="clear" w:color="auto" w:fill="CC0033"/>
                  <w:tcMar>
                    <w:top w:w="45" w:type="dxa"/>
                    <w:left w:w="90" w:type="dxa"/>
                    <w:bottom w:w="45" w:type="dxa"/>
                    <w:right w:w="90" w:type="dxa"/>
                  </w:tcMar>
                  <w:vAlign w:val="center"/>
                  <w:hideMark/>
                </w:tcPr>
                <w:p w14:paraId="1B0D210C" w14:textId="77777777" w:rsidR="006439CC" w:rsidRPr="006439CC" w:rsidRDefault="006439CC" w:rsidP="006439CC">
                  <w:pPr>
                    <w:spacing w:after="180" w:line="240" w:lineRule="auto"/>
                    <w:rPr>
                      <w:rFonts w:ascii="Arial" w:eastAsia="Calibri" w:hAnsi="Arial" w:cs="Arial"/>
                      <w:b/>
                      <w:bCs/>
                      <w:color w:val="FFFFFF"/>
                      <w:sz w:val="18"/>
                      <w:szCs w:val="18"/>
                      <w:lang w:eastAsia="en-ZA"/>
                    </w:rPr>
                  </w:pPr>
                  <w:r w:rsidRPr="006439CC">
                    <w:rPr>
                      <w:rFonts w:ascii="Arial" w:eastAsia="Calibri" w:hAnsi="Arial" w:cs="Arial"/>
                      <w:b/>
                      <w:bCs/>
                      <w:color w:val="FFFFFF"/>
                      <w:sz w:val="18"/>
                      <w:szCs w:val="18"/>
                      <w:lang w:eastAsia="en-ZA"/>
                    </w:rPr>
                    <w:t>South Africa Ratings Score Snapshot</w:t>
                  </w:r>
                </w:p>
              </w:tc>
            </w:tr>
            <w:tr w:rsidR="006439CC" w:rsidRPr="006439CC" w14:paraId="466D86C7" w14:textId="77777777">
              <w:trPr>
                <w:tblCellSpacing w:w="0" w:type="dxa"/>
              </w:trPr>
              <w:tc>
                <w:tcPr>
                  <w:tcW w:w="0" w:type="auto"/>
                  <w:tcMar>
                    <w:top w:w="45" w:type="dxa"/>
                    <w:left w:w="90" w:type="dxa"/>
                    <w:bottom w:w="45" w:type="dxa"/>
                    <w:right w:w="90" w:type="dxa"/>
                  </w:tcMar>
                  <w:vAlign w:val="center"/>
                  <w:hideMark/>
                </w:tcPr>
                <w:p w14:paraId="24026EE6" w14:textId="77777777" w:rsidR="006439CC" w:rsidRPr="006439CC" w:rsidRDefault="006439CC" w:rsidP="006439CC">
                  <w:pPr>
                    <w:spacing w:after="180" w:line="240" w:lineRule="auto"/>
                    <w:rPr>
                      <w:rFonts w:ascii="Arial" w:eastAsia="Calibri" w:hAnsi="Arial" w:cs="Arial"/>
                      <w:b/>
                      <w:bCs/>
                      <w:sz w:val="18"/>
                      <w:szCs w:val="18"/>
                      <w:lang w:eastAsia="en-ZA"/>
                    </w:rPr>
                  </w:pPr>
                  <w:r w:rsidRPr="006439CC">
                    <w:rPr>
                      <w:rFonts w:ascii="Arial" w:eastAsia="Calibri" w:hAnsi="Arial" w:cs="Arial"/>
                      <w:b/>
                      <w:bCs/>
                      <w:sz w:val="18"/>
                      <w:szCs w:val="18"/>
                      <w:lang w:eastAsia="en-ZA"/>
                    </w:rPr>
                    <w:t>Key rating factors</w:t>
                  </w:r>
                </w:p>
              </w:tc>
              <w:tc>
                <w:tcPr>
                  <w:tcW w:w="0" w:type="auto"/>
                  <w:tcMar>
                    <w:top w:w="45" w:type="dxa"/>
                    <w:left w:w="90" w:type="dxa"/>
                    <w:bottom w:w="45" w:type="dxa"/>
                    <w:right w:w="90" w:type="dxa"/>
                  </w:tcMar>
                  <w:vAlign w:val="center"/>
                  <w:hideMark/>
                </w:tcPr>
                <w:p w14:paraId="0C653677" w14:textId="77777777" w:rsidR="006439CC" w:rsidRPr="006439CC" w:rsidRDefault="006439CC" w:rsidP="006439CC">
                  <w:pPr>
                    <w:spacing w:after="180" w:line="240" w:lineRule="auto"/>
                    <w:rPr>
                      <w:rFonts w:ascii="Arial" w:eastAsia="Calibri" w:hAnsi="Arial" w:cs="Arial"/>
                      <w:b/>
                      <w:bCs/>
                      <w:sz w:val="18"/>
                      <w:szCs w:val="18"/>
                      <w:lang w:eastAsia="en-ZA"/>
                    </w:rPr>
                  </w:pPr>
                  <w:r w:rsidRPr="006439CC">
                    <w:rPr>
                      <w:rFonts w:ascii="Arial" w:eastAsia="Calibri" w:hAnsi="Arial" w:cs="Arial"/>
                      <w:b/>
                      <w:bCs/>
                      <w:sz w:val="18"/>
                      <w:szCs w:val="18"/>
                      <w:lang w:eastAsia="en-ZA"/>
                    </w:rPr>
                    <w:t>Score</w:t>
                  </w:r>
                </w:p>
              </w:tc>
              <w:tc>
                <w:tcPr>
                  <w:tcW w:w="0" w:type="auto"/>
                  <w:tcMar>
                    <w:top w:w="45" w:type="dxa"/>
                    <w:left w:w="90" w:type="dxa"/>
                    <w:bottom w:w="45" w:type="dxa"/>
                    <w:right w:w="90" w:type="dxa"/>
                  </w:tcMar>
                  <w:vAlign w:val="center"/>
                  <w:hideMark/>
                </w:tcPr>
                <w:p w14:paraId="21E71C98" w14:textId="77777777" w:rsidR="006439CC" w:rsidRPr="006439CC" w:rsidRDefault="006439CC" w:rsidP="006439CC">
                  <w:pPr>
                    <w:spacing w:after="180" w:line="240" w:lineRule="auto"/>
                    <w:rPr>
                      <w:rFonts w:ascii="Arial" w:eastAsia="Calibri" w:hAnsi="Arial" w:cs="Arial"/>
                      <w:b/>
                      <w:bCs/>
                      <w:sz w:val="18"/>
                      <w:szCs w:val="18"/>
                      <w:lang w:eastAsia="en-ZA"/>
                    </w:rPr>
                  </w:pPr>
                  <w:r w:rsidRPr="006439CC">
                    <w:rPr>
                      <w:rFonts w:ascii="Arial" w:eastAsia="Calibri" w:hAnsi="Arial" w:cs="Arial"/>
                      <w:b/>
                      <w:bCs/>
                      <w:sz w:val="18"/>
                      <w:szCs w:val="18"/>
                      <w:lang w:eastAsia="en-ZA"/>
                    </w:rPr>
                    <w:t>Explanation</w:t>
                  </w:r>
                </w:p>
              </w:tc>
              <w:tc>
                <w:tcPr>
                  <w:tcW w:w="0" w:type="auto"/>
                  <w:vAlign w:val="center"/>
                  <w:hideMark/>
                </w:tcPr>
                <w:p w14:paraId="3A40B0E3" w14:textId="77777777" w:rsidR="006439CC" w:rsidRPr="006439CC" w:rsidRDefault="006439CC" w:rsidP="006439CC">
                  <w:pPr>
                    <w:spacing w:after="0" w:line="240" w:lineRule="auto"/>
                    <w:rPr>
                      <w:rFonts w:ascii="Arial" w:eastAsia="Calibri" w:hAnsi="Arial" w:cs="Arial"/>
                      <w:b/>
                      <w:bCs/>
                      <w:sz w:val="18"/>
                      <w:szCs w:val="18"/>
                      <w:lang w:eastAsia="en-ZA"/>
                    </w:rPr>
                  </w:pPr>
                </w:p>
              </w:tc>
              <w:tc>
                <w:tcPr>
                  <w:tcW w:w="0" w:type="auto"/>
                  <w:vAlign w:val="center"/>
                  <w:hideMark/>
                </w:tcPr>
                <w:p w14:paraId="5ECEBAB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BDF19C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8EC28A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6E06E3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AF08B2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916E48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E490F7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3E22F1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734E19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2C02B9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154F46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33013D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67505F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27230F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1CE417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0B226E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D8B605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6FC673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C116ED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3D62CA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A7C213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713224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417F6A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65F641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48F183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0A03A9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DF37E9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14BCC8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3F346C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6EFA01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1DDF4C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B04C01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04978D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DAC8A3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F3F6B3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F0049E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91F527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1AAB61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D1909B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4969E8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14B796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77E3E3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12581E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6F4233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EF7378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D1A851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D6FD88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6D1CC7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99DD7F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772ACF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5626D5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C09E59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2B8DDA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91BC10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8CA262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E27825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CC0E07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E70BF7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315338B9" w14:textId="77777777">
              <w:trPr>
                <w:tblCellSpacing w:w="0" w:type="dxa"/>
              </w:trPr>
              <w:tc>
                <w:tcPr>
                  <w:tcW w:w="0" w:type="auto"/>
                  <w:shd w:val="clear" w:color="auto" w:fill="EFEFEF"/>
                  <w:tcMar>
                    <w:top w:w="45" w:type="dxa"/>
                    <w:left w:w="90" w:type="dxa"/>
                    <w:bottom w:w="45" w:type="dxa"/>
                    <w:right w:w="90" w:type="dxa"/>
                  </w:tcMar>
                  <w:vAlign w:val="center"/>
                  <w:hideMark/>
                </w:tcPr>
                <w:p w14:paraId="72D85EA0"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Institutional assessment</w:t>
                  </w:r>
                </w:p>
              </w:tc>
              <w:tc>
                <w:tcPr>
                  <w:tcW w:w="0" w:type="auto"/>
                  <w:shd w:val="clear" w:color="auto" w:fill="EFEFEF"/>
                  <w:tcMar>
                    <w:top w:w="45" w:type="dxa"/>
                    <w:left w:w="90" w:type="dxa"/>
                    <w:bottom w:w="45" w:type="dxa"/>
                    <w:right w:w="90" w:type="dxa"/>
                  </w:tcMar>
                  <w:vAlign w:val="center"/>
                  <w:hideMark/>
                </w:tcPr>
                <w:p w14:paraId="71B31443"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4</w:t>
                  </w:r>
                </w:p>
              </w:tc>
              <w:tc>
                <w:tcPr>
                  <w:tcW w:w="0" w:type="auto"/>
                  <w:shd w:val="clear" w:color="auto" w:fill="EFEFEF"/>
                  <w:tcMar>
                    <w:top w:w="45" w:type="dxa"/>
                    <w:left w:w="90" w:type="dxa"/>
                    <w:bottom w:w="45" w:type="dxa"/>
                    <w:right w:w="90" w:type="dxa"/>
                  </w:tcMar>
                  <w:vAlign w:val="center"/>
                  <w:hideMark/>
                </w:tcPr>
                <w:p w14:paraId="7E1D3D28"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South Africa has a relatively clearly defined political structure, and checks and balances are strong, with division of powers and an independent judiciary. South Africa also benefits from a free press and relatively sophisticated deep financial markets. Nevertheless, under the previous (pre-Feb 2018) government, institutions had been eroding and graft increasing. Funding requirements for new policy priorities and redistribution could weaken support for sustainable public finances and undermine economic growth. Corruption is perceived to be present within society and ease of doing business is moderate.</w:t>
                  </w:r>
                </w:p>
              </w:tc>
              <w:tc>
                <w:tcPr>
                  <w:tcW w:w="0" w:type="auto"/>
                  <w:shd w:val="clear" w:color="auto" w:fill="EFEFEF"/>
                  <w:vAlign w:val="center"/>
                  <w:hideMark/>
                </w:tcPr>
                <w:p w14:paraId="42C01A3F"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5EBBC05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3CDF70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F8AE7A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EE644F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2F09A4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35AD0B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E059DD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8847AF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D6E7BB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28C425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9D8F16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2B2877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603A1C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462C01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B70EA6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5DE6C4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0EBE1D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443C1F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675A1F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9D323C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411234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082156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97D0C3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D4B033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1C7D96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AED397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9C332C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080936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FA3A15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3719F6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8FC5A7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426E48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31A582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4B497B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F2D7FF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F92951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56FAC2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82CA24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35B0BB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6DC1CC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547EC5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342590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35DA3A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A5C162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9CAEA3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88889E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91F9D7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CE9A93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B0C7C0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8FF712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AA5108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977F4B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9F3087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B99634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6815EC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C1E9C1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D55F77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60462E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350B5F8D" w14:textId="77777777">
              <w:trPr>
                <w:tblCellSpacing w:w="0" w:type="dxa"/>
              </w:trPr>
              <w:tc>
                <w:tcPr>
                  <w:tcW w:w="0" w:type="auto"/>
                  <w:tcMar>
                    <w:top w:w="45" w:type="dxa"/>
                    <w:left w:w="90" w:type="dxa"/>
                    <w:bottom w:w="45" w:type="dxa"/>
                    <w:right w:w="90" w:type="dxa"/>
                  </w:tcMar>
                  <w:vAlign w:val="center"/>
                  <w:hideMark/>
                </w:tcPr>
                <w:p w14:paraId="60B3CDE6"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Economic assessment</w:t>
                  </w:r>
                </w:p>
              </w:tc>
              <w:tc>
                <w:tcPr>
                  <w:tcW w:w="0" w:type="auto"/>
                  <w:tcMar>
                    <w:top w:w="45" w:type="dxa"/>
                    <w:left w:w="90" w:type="dxa"/>
                    <w:bottom w:w="45" w:type="dxa"/>
                    <w:right w:w="90" w:type="dxa"/>
                  </w:tcMar>
                  <w:vAlign w:val="center"/>
                  <w:hideMark/>
                </w:tcPr>
                <w:p w14:paraId="6CEECF56"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5</w:t>
                  </w:r>
                </w:p>
              </w:tc>
              <w:tc>
                <w:tcPr>
                  <w:tcW w:w="0" w:type="auto"/>
                  <w:tcMar>
                    <w:top w:w="45" w:type="dxa"/>
                    <w:left w:w="90" w:type="dxa"/>
                    <w:bottom w:w="45" w:type="dxa"/>
                    <w:right w:w="90" w:type="dxa"/>
                  </w:tcMar>
                  <w:vAlign w:val="center"/>
                  <w:hideMark/>
                </w:tcPr>
                <w:p w14:paraId="20950DD4"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Based on GDP per capita (US$) and growth trends as per Selected Indicators in Table 1.</w:t>
                  </w:r>
                </w:p>
              </w:tc>
              <w:tc>
                <w:tcPr>
                  <w:tcW w:w="0" w:type="auto"/>
                  <w:vAlign w:val="center"/>
                  <w:hideMark/>
                </w:tcPr>
                <w:p w14:paraId="114053F6"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6BE1C4F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F4DB48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312C06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16C462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1CCF18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E59D4C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745AEB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74D629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ECB7A0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F15CD5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273583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E0D5A5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14F228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3EB8E7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EC5891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B299FC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6E3A6B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6801D1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BE7D37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7A76DB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D28F33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708BC1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523752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C52FE2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6EC66C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630710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B6D205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47E7AA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3352D3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A14862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06C351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23E259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53541D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72C889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281CAE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851A78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F95CFC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1519D7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312248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A107AD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545EA5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63CE49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919BFB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BDD4B1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396893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11C124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CF5DFE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F9C282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4BCCAE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9C0503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1D1269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FC250F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CA7D81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E1A8A9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B442D6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18DD09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888B98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041529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02D4DFB2" w14:textId="77777777">
              <w:trPr>
                <w:tblCellSpacing w:w="0" w:type="dxa"/>
              </w:trPr>
              <w:tc>
                <w:tcPr>
                  <w:tcW w:w="0" w:type="auto"/>
                  <w:shd w:val="clear" w:color="auto" w:fill="EFEFEF"/>
                  <w:tcMar>
                    <w:top w:w="45" w:type="dxa"/>
                    <w:left w:w="0" w:type="dxa"/>
                    <w:bottom w:w="45" w:type="dxa"/>
                    <w:right w:w="0" w:type="dxa"/>
                  </w:tcMar>
                  <w:vAlign w:val="center"/>
                  <w:hideMark/>
                </w:tcPr>
                <w:p w14:paraId="105D6A2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tcMar>
                    <w:top w:w="45" w:type="dxa"/>
                    <w:left w:w="0" w:type="dxa"/>
                    <w:bottom w:w="45" w:type="dxa"/>
                    <w:right w:w="0" w:type="dxa"/>
                  </w:tcMar>
                  <w:vAlign w:val="center"/>
                  <w:hideMark/>
                </w:tcPr>
                <w:p w14:paraId="6ABD5FE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tcMar>
                    <w:top w:w="45" w:type="dxa"/>
                    <w:left w:w="90" w:type="dxa"/>
                    <w:bottom w:w="45" w:type="dxa"/>
                    <w:right w:w="90" w:type="dxa"/>
                  </w:tcMar>
                  <w:vAlign w:val="center"/>
                  <w:hideMark/>
                </w:tcPr>
                <w:p w14:paraId="7E145084"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Weighted average real GDP per capita trend growth over a 10-year period is at -0.3%, which is well below sovereigns in the same GDP category.</w:t>
                  </w:r>
                </w:p>
              </w:tc>
              <w:tc>
                <w:tcPr>
                  <w:tcW w:w="0" w:type="auto"/>
                  <w:shd w:val="clear" w:color="auto" w:fill="EFEFEF"/>
                  <w:vAlign w:val="center"/>
                  <w:hideMark/>
                </w:tcPr>
                <w:p w14:paraId="6C61DBF9"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0140E1C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121A48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2B1625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A17DCF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085017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996173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E062CF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DF6F2B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5CA365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992811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4701E8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C4F4D6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95A0D2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EB7D18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CED4C7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69BE5D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5CE781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CE239F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DD76FC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CE73EF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E6678E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C38BEC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7FB02F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3AD026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F416F3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C53CC3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5CD7DB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75DCB3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44A247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B6501F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D09C87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B5D0FD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C35A04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0533A6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3F392F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25A3E5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B1647F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0D325E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F619C4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EB4503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67534D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978785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DAE6F5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7F2112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C88057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94778D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5F356D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357AA0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521ED3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1960C5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463D8F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5867B0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329ACF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0DCF37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77417F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BC8E18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481071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4F980F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7719B8F2" w14:textId="77777777">
              <w:trPr>
                <w:tblCellSpacing w:w="0" w:type="dxa"/>
              </w:trPr>
              <w:tc>
                <w:tcPr>
                  <w:tcW w:w="0" w:type="auto"/>
                  <w:tcMar>
                    <w:top w:w="45" w:type="dxa"/>
                    <w:left w:w="90" w:type="dxa"/>
                    <w:bottom w:w="45" w:type="dxa"/>
                    <w:right w:w="90" w:type="dxa"/>
                  </w:tcMar>
                  <w:vAlign w:val="center"/>
                  <w:hideMark/>
                </w:tcPr>
                <w:p w14:paraId="3B9654FB"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External assessment</w:t>
                  </w:r>
                </w:p>
              </w:tc>
              <w:tc>
                <w:tcPr>
                  <w:tcW w:w="0" w:type="auto"/>
                  <w:tcMar>
                    <w:top w:w="45" w:type="dxa"/>
                    <w:left w:w="90" w:type="dxa"/>
                    <w:bottom w:w="45" w:type="dxa"/>
                    <w:right w:w="90" w:type="dxa"/>
                  </w:tcMar>
                  <w:vAlign w:val="center"/>
                  <w:hideMark/>
                </w:tcPr>
                <w:p w14:paraId="1146E633"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3</w:t>
                  </w:r>
                </w:p>
              </w:tc>
              <w:tc>
                <w:tcPr>
                  <w:tcW w:w="0" w:type="auto"/>
                  <w:tcMar>
                    <w:top w:w="45" w:type="dxa"/>
                    <w:left w:w="90" w:type="dxa"/>
                    <w:bottom w:w="45" w:type="dxa"/>
                    <w:right w:w="90" w:type="dxa"/>
                  </w:tcMar>
                  <w:vAlign w:val="center"/>
                  <w:hideMark/>
                </w:tcPr>
                <w:p w14:paraId="67F9E1CE"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Based on narrow net external debt, as per Selected Indicators in Table 1. We consider the South African rand to be an actively traded currency, accounting for 1.07% of global foreign exchange market turnover. </w:t>
                  </w:r>
                </w:p>
              </w:tc>
              <w:tc>
                <w:tcPr>
                  <w:tcW w:w="0" w:type="auto"/>
                  <w:vAlign w:val="center"/>
                  <w:hideMark/>
                </w:tcPr>
                <w:p w14:paraId="78588D46"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7830B6C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FE0F65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4573FC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237470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DABDFB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5B2F82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DE5D2B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4D2AB2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0FDA34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D6CE08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4EDCAA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184051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0C4A0E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25E357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3368EE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F15A20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BF63D3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09729D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22C11A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FAE7F6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45A416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58BBBA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CA9AD3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467B4E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994078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EF1279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489E25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8BD0CC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7A1159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9C580F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8F1786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2A48D6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DD1E35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80C480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A349EF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FC45DA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B4A82C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488BAD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C7528D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5ADA72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1F2B9E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7D3470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F58F5D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2DD181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6F13CE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FB99BD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E9C7CF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473054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B9EE7D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A31C60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287C68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DD8E34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494869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0FC409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846FD1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667DDC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9B307C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43D84B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2F43093F" w14:textId="77777777">
              <w:trPr>
                <w:tblCellSpacing w:w="0" w:type="dxa"/>
              </w:trPr>
              <w:tc>
                <w:tcPr>
                  <w:tcW w:w="0" w:type="auto"/>
                  <w:shd w:val="clear" w:color="auto" w:fill="EFEFEF"/>
                  <w:tcMar>
                    <w:top w:w="45" w:type="dxa"/>
                    <w:left w:w="0" w:type="dxa"/>
                    <w:bottom w:w="45" w:type="dxa"/>
                    <w:right w:w="0" w:type="dxa"/>
                  </w:tcMar>
                  <w:vAlign w:val="center"/>
                  <w:hideMark/>
                </w:tcPr>
                <w:p w14:paraId="30D912F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tcMar>
                    <w:top w:w="45" w:type="dxa"/>
                    <w:left w:w="0" w:type="dxa"/>
                    <w:bottom w:w="45" w:type="dxa"/>
                    <w:right w:w="0" w:type="dxa"/>
                  </w:tcMar>
                  <w:vAlign w:val="center"/>
                  <w:hideMark/>
                </w:tcPr>
                <w:p w14:paraId="12B9CC6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tcMar>
                    <w:top w:w="45" w:type="dxa"/>
                    <w:left w:w="90" w:type="dxa"/>
                    <w:bottom w:w="45" w:type="dxa"/>
                    <w:right w:w="90" w:type="dxa"/>
                  </w:tcMar>
                  <w:vAlign w:val="center"/>
                  <w:hideMark/>
                </w:tcPr>
                <w:p w14:paraId="7CE42FA3"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The sovereign is displaying high current account deficits at over 10% of CAR, as per Selected Indicators in Table 1.</w:t>
                  </w:r>
                </w:p>
              </w:tc>
              <w:tc>
                <w:tcPr>
                  <w:tcW w:w="0" w:type="auto"/>
                  <w:shd w:val="clear" w:color="auto" w:fill="EFEFEF"/>
                  <w:vAlign w:val="center"/>
                  <w:hideMark/>
                </w:tcPr>
                <w:p w14:paraId="59046957"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194A027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74CD96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A3E412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155659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427C43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4A0961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FAB4EF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A014CA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EE72E6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5EB65E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2B0416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EC8FB8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F6578D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2D9254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F76BF9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9A2198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AB9DD3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768F91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128232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BDA1D9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9ADCBB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B6D55F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C86E14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D7E569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2CD807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0C5BD8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D05BB2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FE923A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E0993C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0766E5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A74CD6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DF9170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7F43D6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FE39F0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A58EC3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06AF2E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1F5DB4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FEA8F6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48B72D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4C1DD4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C52BC9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D19D7D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37AAEB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48DB19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AE2EB8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E71CB8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E99795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0D1F30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164176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7E27A1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671F27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C6F5E4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77F9EB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5F951D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8C559C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6121BB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FBEB91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2D061C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636D6FD0" w14:textId="77777777">
              <w:trPr>
                <w:tblCellSpacing w:w="0" w:type="dxa"/>
              </w:trPr>
              <w:tc>
                <w:tcPr>
                  <w:tcW w:w="0" w:type="auto"/>
                  <w:tcMar>
                    <w:top w:w="45" w:type="dxa"/>
                    <w:left w:w="90" w:type="dxa"/>
                    <w:bottom w:w="45" w:type="dxa"/>
                    <w:right w:w="90" w:type="dxa"/>
                  </w:tcMar>
                  <w:vAlign w:val="center"/>
                  <w:hideMark/>
                </w:tcPr>
                <w:p w14:paraId="39C69173"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Fiscal assessment: flexibility and performance</w:t>
                  </w:r>
                </w:p>
              </w:tc>
              <w:tc>
                <w:tcPr>
                  <w:tcW w:w="0" w:type="auto"/>
                  <w:tcMar>
                    <w:top w:w="45" w:type="dxa"/>
                    <w:left w:w="90" w:type="dxa"/>
                    <w:bottom w:w="45" w:type="dxa"/>
                    <w:right w:w="90" w:type="dxa"/>
                  </w:tcMar>
                  <w:vAlign w:val="center"/>
                  <w:hideMark/>
                </w:tcPr>
                <w:p w14:paraId="11C6C145"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6</w:t>
                  </w:r>
                </w:p>
              </w:tc>
              <w:tc>
                <w:tcPr>
                  <w:tcW w:w="0" w:type="auto"/>
                  <w:tcMar>
                    <w:top w:w="45" w:type="dxa"/>
                    <w:left w:w="90" w:type="dxa"/>
                    <w:bottom w:w="45" w:type="dxa"/>
                    <w:right w:w="90" w:type="dxa"/>
                  </w:tcMar>
                  <w:vAlign w:val="center"/>
                  <w:hideMark/>
                </w:tcPr>
                <w:p w14:paraId="10F13B67"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Based on the change in net general government debt (% of GDP) as per Selected Indicators in Table 1.</w:t>
                  </w:r>
                </w:p>
              </w:tc>
              <w:tc>
                <w:tcPr>
                  <w:tcW w:w="0" w:type="auto"/>
                  <w:vAlign w:val="center"/>
                  <w:hideMark/>
                </w:tcPr>
                <w:p w14:paraId="11808EE6"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0BF6D50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7579F0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77D74F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2FCE6E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B32BDB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4A6516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B8ECB5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01BB56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20B005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B19E8B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C01BB2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974A42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AC92FD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33E6C7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CD3947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BF2F8B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33C3E6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932B88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9DEEFD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8A3ACD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A29EA7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51428C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16D1C7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1E976E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482E02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BDCDBA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2E3801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CB4E35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2817DC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CC3361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7FF521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8FE3E9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CB4CE3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F583B9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6F31CB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7A1AB4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034232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B36362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9C8A14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0E1021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319A3E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9B1278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C45A3B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6A7204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48E8B2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B7E248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14C071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CB8D21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960F3A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76F4C9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3D931C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E57E76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D5620A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C2FA1C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A5E137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61E146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B01682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0060EA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5E7EC56E" w14:textId="77777777">
              <w:trPr>
                <w:tblCellSpacing w:w="0" w:type="dxa"/>
              </w:trPr>
              <w:tc>
                <w:tcPr>
                  <w:tcW w:w="0" w:type="auto"/>
                  <w:shd w:val="clear" w:color="auto" w:fill="EFEFEF"/>
                  <w:tcMar>
                    <w:top w:w="45" w:type="dxa"/>
                    <w:left w:w="0" w:type="dxa"/>
                    <w:bottom w:w="45" w:type="dxa"/>
                    <w:right w:w="0" w:type="dxa"/>
                  </w:tcMar>
                  <w:vAlign w:val="center"/>
                  <w:hideMark/>
                </w:tcPr>
                <w:p w14:paraId="7867798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tcMar>
                    <w:top w:w="45" w:type="dxa"/>
                    <w:left w:w="0" w:type="dxa"/>
                    <w:bottom w:w="45" w:type="dxa"/>
                    <w:right w:w="0" w:type="dxa"/>
                  </w:tcMar>
                  <w:vAlign w:val="center"/>
                  <w:hideMark/>
                </w:tcPr>
                <w:p w14:paraId="34ADBFE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tcMar>
                    <w:top w:w="45" w:type="dxa"/>
                    <w:left w:w="90" w:type="dxa"/>
                    <w:bottom w:w="45" w:type="dxa"/>
                    <w:right w:w="90" w:type="dxa"/>
                  </w:tcMar>
                  <w:vAlign w:val="center"/>
                  <w:hideMark/>
                </w:tcPr>
                <w:p w14:paraId="08A8D46C"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The country faces shortfalls in basic services and infrastructure, as reflected, for instance, by its low ranking on the UNDP's human development index. South Africa falls in the medium human development category.</w:t>
                  </w:r>
                </w:p>
              </w:tc>
              <w:tc>
                <w:tcPr>
                  <w:tcW w:w="0" w:type="auto"/>
                  <w:shd w:val="clear" w:color="auto" w:fill="EFEFEF"/>
                  <w:vAlign w:val="center"/>
                  <w:hideMark/>
                </w:tcPr>
                <w:p w14:paraId="4FE9E73C"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5B58C4E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785F50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9151E9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A42C6F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ED6E7B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5841AF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80C4F0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B3F8CD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00AE5C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D1DDCD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DADB38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BCD9F0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A59DC7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46B27F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DE999E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5C31FD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9A8858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117FF8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0B3F78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32BC31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0E758E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649E40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BBD485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78D181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AE2B03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58F9AE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136773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18971D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0E2448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36B40E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4A5228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E2960C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47217F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80F4E7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E428B0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9DCEDF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BA2668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0438F8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AE4E82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AAB2B6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3AC3B2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166E86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3EE234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1CBA08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BD927A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4D3847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18CBB2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EF52B7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E91AC6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58FD76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A46E76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D29211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DE7E0D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3A9CF1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47A21F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C7693C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C10A50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597756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1EC9370A" w14:textId="77777777">
              <w:trPr>
                <w:tblCellSpacing w:w="0" w:type="dxa"/>
              </w:trPr>
              <w:tc>
                <w:tcPr>
                  <w:tcW w:w="0" w:type="auto"/>
                  <w:tcMar>
                    <w:top w:w="45" w:type="dxa"/>
                    <w:left w:w="90" w:type="dxa"/>
                    <w:bottom w:w="45" w:type="dxa"/>
                    <w:right w:w="90" w:type="dxa"/>
                  </w:tcMar>
                  <w:vAlign w:val="center"/>
                  <w:hideMark/>
                </w:tcPr>
                <w:p w14:paraId="4068F9D5"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Fiscal assessment: debt burden</w:t>
                  </w:r>
                </w:p>
              </w:tc>
              <w:tc>
                <w:tcPr>
                  <w:tcW w:w="0" w:type="auto"/>
                  <w:tcMar>
                    <w:top w:w="45" w:type="dxa"/>
                    <w:left w:w="90" w:type="dxa"/>
                    <w:bottom w:w="45" w:type="dxa"/>
                    <w:right w:w="90" w:type="dxa"/>
                  </w:tcMar>
                  <w:vAlign w:val="center"/>
                  <w:hideMark/>
                </w:tcPr>
                <w:p w14:paraId="1645374C"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6</w:t>
                  </w:r>
                </w:p>
              </w:tc>
              <w:tc>
                <w:tcPr>
                  <w:tcW w:w="0" w:type="auto"/>
                  <w:tcMar>
                    <w:top w:w="45" w:type="dxa"/>
                    <w:left w:w="90" w:type="dxa"/>
                    <w:bottom w:w="45" w:type="dxa"/>
                    <w:right w:w="90" w:type="dxa"/>
                  </w:tcMar>
                  <w:vAlign w:val="center"/>
                  <w:hideMark/>
                </w:tcPr>
                <w:p w14:paraId="78672D0E"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Based on net general government debt (% of GDP) and general government interest expenditure (% of general government revenue) as per Selected Indicators in Table 1.</w:t>
                  </w:r>
                </w:p>
              </w:tc>
              <w:tc>
                <w:tcPr>
                  <w:tcW w:w="0" w:type="auto"/>
                  <w:vAlign w:val="center"/>
                  <w:hideMark/>
                </w:tcPr>
                <w:p w14:paraId="2938791C"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768AE6E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9CA4EC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13C9D6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D7051D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90066A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F6F857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460DE4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33D44A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07EBCB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91A855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97AF2D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CC2E27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B76F08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CF7650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9ECB27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88733A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5D679B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0095E9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27DB3C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B66774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4FA385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E50CDE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CF8F96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684CB5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F7AC50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3E50B8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4F9566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C736A2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2BC4CB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CD897B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C415C5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28132A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18011F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93E3BE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38BD69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6B547D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392A24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B696CF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68534E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F4AD27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479E01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2960A8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11DA2E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9000A1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18F930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C07833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742173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D80ABD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C4C0B7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C60202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EBE6F2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ABB161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64B51E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292448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05B52D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A87037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89CA68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CAD48A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671565CB" w14:textId="77777777">
              <w:trPr>
                <w:tblCellSpacing w:w="0" w:type="dxa"/>
              </w:trPr>
              <w:tc>
                <w:tcPr>
                  <w:tcW w:w="0" w:type="auto"/>
                  <w:shd w:val="clear" w:color="auto" w:fill="EFEFEF"/>
                  <w:tcMar>
                    <w:top w:w="45" w:type="dxa"/>
                    <w:left w:w="0" w:type="dxa"/>
                    <w:bottom w:w="45" w:type="dxa"/>
                    <w:right w:w="0" w:type="dxa"/>
                  </w:tcMar>
                  <w:vAlign w:val="center"/>
                  <w:hideMark/>
                </w:tcPr>
                <w:p w14:paraId="2851449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tcMar>
                    <w:top w:w="45" w:type="dxa"/>
                    <w:left w:w="0" w:type="dxa"/>
                    <w:bottom w:w="45" w:type="dxa"/>
                    <w:right w:w="0" w:type="dxa"/>
                  </w:tcMar>
                  <w:vAlign w:val="center"/>
                  <w:hideMark/>
                </w:tcPr>
                <w:p w14:paraId="50C1130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tcMar>
                    <w:top w:w="45" w:type="dxa"/>
                    <w:left w:w="90" w:type="dxa"/>
                    <w:bottom w:w="45" w:type="dxa"/>
                    <w:right w:w="90" w:type="dxa"/>
                  </w:tcMar>
                  <w:vAlign w:val="center"/>
                  <w:hideMark/>
                </w:tcPr>
                <w:p w14:paraId="1A04840F"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Contingent liabilities are classified as medium under our criteria, with the sovereign having material exposure to Eskom, and the likelihood of extraordinary government support being significant.</w:t>
                  </w:r>
                </w:p>
              </w:tc>
              <w:tc>
                <w:tcPr>
                  <w:tcW w:w="0" w:type="auto"/>
                  <w:shd w:val="clear" w:color="auto" w:fill="EFEFEF"/>
                  <w:vAlign w:val="center"/>
                  <w:hideMark/>
                </w:tcPr>
                <w:p w14:paraId="3A4AFEFA"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6A249A4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93E9CD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214775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6323EA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099AF6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2EA16F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980162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1DF1C9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758330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DA9940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DA0319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59B93B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C7FE61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1AA18A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580AFE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4E85C8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13352D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8FD856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0F399F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C66282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61FBD4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AAD4DD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58F42E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405D0E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E2B66C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21404F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50E613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3B3BE9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1A3714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63CD8F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75CCD2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E37454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96AB00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CEEFB2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72579A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3B9EDB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EE24A4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A4908F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EE9F74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0BF0DF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C87B40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D11DDE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17A1E8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4F25C2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0C599E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7AE486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41C594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E99EC0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200D6A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538C11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D53FD6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A2C0EE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745D67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D4185C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5B6B28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CEBF9E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3DFCFD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C36382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47EC2620" w14:textId="77777777">
              <w:trPr>
                <w:tblCellSpacing w:w="0" w:type="dxa"/>
              </w:trPr>
              <w:tc>
                <w:tcPr>
                  <w:tcW w:w="0" w:type="auto"/>
                  <w:tcMar>
                    <w:top w:w="45" w:type="dxa"/>
                    <w:left w:w="90" w:type="dxa"/>
                    <w:bottom w:w="45" w:type="dxa"/>
                    <w:right w:w="90" w:type="dxa"/>
                  </w:tcMar>
                  <w:vAlign w:val="center"/>
                  <w:hideMark/>
                </w:tcPr>
                <w:p w14:paraId="3AEF01FA"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lastRenderedPageBreak/>
                    <w:t>Monetary assessment</w:t>
                  </w:r>
                </w:p>
              </w:tc>
              <w:tc>
                <w:tcPr>
                  <w:tcW w:w="0" w:type="auto"/>
                  <w:tcMar>
                    <w:top w:w="45" w:type="dxa"/>
                    <w:left w:w="90" w:type="dxa"/>
                    <w:bottom w:w="45" w:type="dxa"/>
                    <w:right w:w="90" w:type="dxa"/>
                  </w:tcMar>
                  <w:vAlign w:val="center"/>
                  <w:hideMark/>
                </w:tcPr>
                <w:p w14:paraId="7E2B9681"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2</w:t>
                  </w:r>
                </w:p>
              </w:tc>
              <w:tc>
                <w:tcPr>
                  <w:tcW w:w="0" w:type="auto"/>
                  <w:tcMar>
                    <w:top w:w="45" w:type="dxa"/>
                    <w:left w:w="90" w:type="dxa"/>
                    <w:bottom w:w="45" w:type="dxa"/>
                    <w:right w:w="90" w:type="dxa"/>
                  </w:tcMar>
                  <w:vAlign w:val="center"/>
                  <w:hideMark/>
                </w:tcPr>
                <w:p w14:paraId="6939C607"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The rand is a free-floating currency. The central bank has a track record of independence and uses market-based monetary instruments such as Repo Rate; CPI as per Selected Indicators in Table 1. The central bank </w:t>
                  </w:r>
                  <w:proofErr w:type="gramStart"/>
                  <w:r w:rsidRPr="006439CC">
                    <w:rPr>
                      <w:rFonts w:ascii="Arial" w:eastAsia="Calibri" w:hAnsi="Arial" w:cs="Arial"/>
                      <w:sz w:val="18"/>
                      <w:szCs w:val="18"/>
                      <w:lang w:eastAsia="en-ZA"/>
                    </w:rPr>
                    <w:t>has the ability to</w:t>
                  </w:r>
                  <w:proofErr w:type="gramEnd"/>
                  <w:r w:rsidRPr="006439CC">
                    <w:rPr>
                      <w:rFonts w:ascii="Arial" w:eastAsia="Calibri" w:hAnsi="Arial" w:cs="Arial"/>
                      <w:sz w:val="18"/>
                      <w:szCs w:val="18"/>
                      <w:lang w:eastAsia="en-ZA"/>
                    </w:rPr>
                    <w:t xml:space="preserve"> act as lender of last resort for the financial system.</w:t>
                  </w:r>
                </w:p>
              </w:tc>
              <w:tc>
                <w:tcPr>
                  <w:tcW w:w="0" w:type="auto"/>
                  <w:vAlign w:val="center"/>
                  <w:hideMark/>
                </w:tcPr>
                <w:p w14:paraId="686EDB6C"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7FE4B91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49E898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10F64A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695154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05D86D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F0A448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7F42D9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D85A9F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BD60D5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DCBC88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DD8ED2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60E287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83415E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1393E9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C233AD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E9519F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9127DC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5706C8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4FF343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D838B1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A7B81B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F2B2DB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6853A6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01DECA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70D038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94D671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97836F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3E1D02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8FBAFB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A905B2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F054A3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8FE286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95FF4D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13FDF2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A5FA95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2F12D5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965A40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B51405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71ED14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44F721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6DA0D9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6483D2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C5E350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525ABD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13EC79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07D218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B7B771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A9427F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0CDDF3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4F8E21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B06BDD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CAE868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E6BA83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320D7E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E07091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EF57BB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A98281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A4804C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2578C041" w14:textId="77777777">
              <w:trPr>
                <w:tblCellSpacing w:w="0" w:type="dxa"/>
              </w:trPr>
              <w:tc>
                <w:tcPr>
                  <w:tcW w:w="0" w:type="auto"/>
                  <w:shd w:val="clear" w:color="auto" w:fill="EFEFEF"/>
                  <w:tcMar>
                    <w:top w:w="45" w:type="dxa"/>
                    <w:left w:w="90" w:type="dxa"/>
                    <w:bottom w:w="45" w:type="dxa"/>
                    <w:right w:w="90" w:type="dxa"/>
                  </w:tcMar>
                  <w:vAlign w:val="center"/>
                  <w:hideMark/>
                </w:tcPr>
                <w:p w14:paraId="497F7FAD"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Indicative rating</w:t>
                  </w:r>
                </w:p>
              </w:tc>
              <w:tc>
                <w:tcPr>
                  <w:tcW w:w="0" w:type="auto"/>
                  <w:shd w:val="clear" w:color="auto" w:fill="EFEFEF"/>
                  <w:tcMar>
                    <w:top w:w="45" w:type="dxa"/>
                    <w:left w:w="90" w:type="dxa"/>
                    <w:bottom w:w="45" w:type="dxa"/>
                    <w:right w:w="90" w:type="dxa"/>
                  </w:tcMar>
                  <w:vAlign w:val="center"/>
                  <w:hideMark/>
                </w:tcPr>
                <w:p w14:paraId="3B51F8D3"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bb</w:t>
                  </w:r>
                </w:p>
              </w:tc>
              <w:tc>
                <w:tcPr>
                  <w:tcW w:w="0" w:type="auto"/>
                  <w:shd w:val="clear" w:color="auto" w:fill="EFEFEF"/>
                  <w:tcMar>
                    <w:top w:w="45" w:type="dxa"/>
                    <w:left w:w="90" w:type="dxa"/>
                    <w:bottom w:w="45" w:type="dxa"/>
                    <w:right w:w="90" w:type="dxa"/>
                  </w:tcMar>
                  <w:vAlign w:val="center"/>
                  <w:hideMark/>
                </w:tcPr>
                <w:p w14:paraId="52C37C7C"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As per Table 1 of "Sovereign Rating Methodology."</w:t>
                  </w:r>
                </w:p>
              </w:tc>
              <w:tc>
                <w:tcPr>
                  <w:tcW w:w="0" w:type="auto"/>
                  <w:shd w:val="clear" w:color="auto" w:fill="EFEFEF"/>
                  <w:vAlign w:val="center"/>
                  <w:hideMark/>
                </w:tcPr>
                <w:p w14:paraId="308B85FA"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739F94F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C23D7E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61F581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B84598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F6A853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484DF7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87E1F0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978B22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658140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C054CC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25F27E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78B09A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BFD6C9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43B7D1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93A1FC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5E252B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68BF12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1AF214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69BD4E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34308A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DB059C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1719A2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E3315F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8DDA79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A738BE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DCABEF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60BC27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C315CA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CBC365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B7D0F2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7BC295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8898E1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01E0D9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BFCE50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FEBF33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9DEA0D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CCCDE0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A6E736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A4F285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9CB624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A8715F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B617C9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5F595F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98791F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0F71A7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2BF962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AF1571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7A6513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2857DC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635E40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C7999A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007EBF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AF33B5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0385AB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CFBE2D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63AF25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E705E2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7D8065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208DF844" w14:textId="77777777">
              <w:trPr>
                <w:tblCellSpacing w:w="0" w:type="dxa"/>
              </w:trPr>
              <w:tc>
                <w:tcPr>
                  <w:tcW w:w="0" w:type="auto"/>
                  <w:tcMar>
                    <w:top w:w="45" w:type="dxa"/>
                    <w:left w:w="90" w:type="dxa"/>
                    <w:bottom w:w="45" w:type="dxa"/>
                    <w:right w:w="90" w:type="dxa"/>
                  </w:tcMar>
                  <w:vAlign w:val="center"/>
                  <w:hideMark/>
                </w:tcPr>
                <w:p w14:paraId="2474465F"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Notches of supplemental adjustments and flexibility</w:t>
                  </w:r>
                </w:p>
              </w:tc>
              <w:tc>
                <w:tcPr>
                  <w:tcW w:w="0" w:type="auto"/>
                  <w:tcMar>
                    <w:top w:w="45" w:type="dxa"/>
                    <w:left w:w="90" w:type="dxa"/>
                    <w:bottom w:w="45" w:type="dxa"/>
                    <w:right w:w="90" w:type="dxa"/>
                  </w:tcMar>
                  <w:vAlign w:val="center"/>
                  <w:hideMark/>
                </w:tcPr>
                <w:p w14:paraId="1BBC6C4D"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0</w:t>
                  </w:r>
                </w:p>
              </w:tc>
              <w:tc>
                <w:tcPr>
                  <w:tcW w:w="0" w:type="auto"/>
                  <w:tcMar>
                    <w:top w:w="45" w:type="dxa"/>
                    <w:left w:w="0" w:type="dxa"/>
                    <w:bottom w:w="45" w:type="dxa"/>
                    <w:right w:w="0" w:type="dxa"/>
                  </w:tcMar>
                  <w:vAlign w:val="center"/>
                  <w:hideMark/>
                </w:tcPr>
                <w:p w14:paraId="26938BE2"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056A22A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3BF904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70E84B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306AF5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282238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599DA5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A5A4CD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541C88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7B63A9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4F23CA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C0E647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F30AB6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92C728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9324BE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997CDB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FBBC0A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0DB3C2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59EC04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643ABD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D24A34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199003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5AADA0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67B55C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4956F5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3DDD04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F8BDB9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373A7E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6FD8C4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7FA880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142776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DEB56B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869F84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466A12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041E59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B12563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982F6F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04A34C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9D7B39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310DCD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8F577D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C03CC2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8BC961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5D5DB2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8460E6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2A2B8E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79CD7C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70DCC6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76825B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17CFA6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29F68C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8849EC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2CCCA8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58295C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DB7D87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0F9294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1B1318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5C6E73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AA1A9B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6F783F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72DB0F0C" w14:textId="77777777">
              <w:trPr>
                <w:tblCellSpacing w:w="0" w:type="dxa"/>
              </w:trPr>
              <w:tc>
                <w:tcPr>
                  <w:tcW w:w="0" w:type="auto"/>
                  <w:shd w:val="clear" w:color="auto" w:fill="EFEFEF"/>
                  <w:tcMar>
                    <w:top w:w="45" w:type="dxa"/>
                    <w:left w:w="90" w:type="dxa"/>
                    <w:bottom w:w="45" w:type="dxa"/>
                    <w:right w:w="90" w:type="dxa"/>
                  </w:tcMar>
                  <w:vAlign w:val="center"/>
                  <w:hideMark/>
                </w:tcPr>
                <w:p w14:paraId="017A0D44"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Final rating</w:t>
                  </w:r>
                </w:p>
              </w:tc>
              <w:tc>
                <w:tcPr>
                  <w:tcW w:w="0" w:type="auto"/>
                  <w:shd w:val="clear" w:color="auto" w:fill="EFEFEF"/>
                  <w:tcMar>
                    <w:top w:w="45" w:type="dxa"/>
                    <w:left w:w="0" w:type="dxa"/>
                    <w:bottom w:w="45" w:type="dxa"/>
                    <w:right w:w="0" w:type="dxa"/>
                  </w:tcMar>
                  <w:vAlign w:val="center"/>
                  <w:hideMark/>
                </w:tcPr>
                <w:p w14:paraId="425BA4E6"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tcMar>
                    <w:top w:w="45" w:type="dxa"/>
                    <w:left w:w="0" w:type="dxa"/>
                    <w:bottom w:w="45" w:type="dxa"/>
                    <w:right w:w="0" w:type="dxa"/>
                  </w:tcMar>
                  <w:vAlign w:val="center"/>
                  <w:hideMark/>
                </w:tcPr>
                <w:p w14:paraId="50D1D21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C74923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F194E9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8E9138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09F1AF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2DAC91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E61D3F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A0CBB2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575026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4EA734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1552B4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B6B383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B593B0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93A49B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C29F67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0E069E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C4A96E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48B342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B5C335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B29E6B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1850C7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83B1E9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F119B5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182248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8C08F3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E43C71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93A86F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5588CF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125CF6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292882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A7ECD1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D8E9B4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2E9092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110124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099043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944234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6092F0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95F200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15B79D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D5DFEC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A03F1A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45B94C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868483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3A7A50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1739E3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B8A850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C1ECCA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49D7AB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87A38E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3E55E5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1601B0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EF9879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5D3F14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EDC95A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F64EAA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D89CB4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A4728E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6F8C07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FFB946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17A109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5E59A528" w14:textId="77777777">
              <w:trPr>
                <w:tblCellSpacing w:w="0" w:type="dxa"/>
              </w:trPr>
              <w:tc>
                <w:tcPr>
                  <w:tcW w:w="0" w:type="auto"/>
                  <w:tcMar>
                    <w:top w:w="45" w:type="dxa"/>
                    <w:left w:w="180" w:type="dxa"/>
                    <w:bottom w:w="45" w:type="dxa"/>
                    <w:right w:w="0" w:type="dxa"/>
                  </w:tcMar>
                  <w:vAlign w:val="center"/>
                  <w:hideMark/>
                </w:tcPr>
                <w:p w14:paraId="58DD475A"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Foreign currency</w:t>
                  </w:r>
                </w:p>
              </w:tc>
              <w:tc>
                <w:tcPr>
                  <w:tcW w:w="0" w:type="auto"/>
                  <w:tcMar>
                    <w:top w:w="45" w:type="dxa"/>
                    <w:left w:w="90" w:type="dxa"/>
                    <w:bottom w:w="45" w:type="dxa"/>
                    <w:right w:w="90" w:type="dxa"/>
                  </w:tcMar>
                  <w:vAlign w:val="center"/>
                  <w:hideMark/>
                </w:tcPr>
                <w:p w14:paraId="3C073B9C"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BB</w:t>
                  </w:r>
                </w:p>
              </w:tc>
              <w:tc>
                <w:tcPr>
                  <w:tcW w:w="0" w:type="auto"/>
                  <w:tcMar>
                    <w:top w:w="45" w:type="dxa"/>
                    <w:left w:w="0" w:type="dxa"/>
                    <w:bottom w:w="45" w:type="dxa"/>
                    <w:right w:w="0" w:type="dxa"/>
                  </w:tcMar>
                  <w:vAlign w:val="center"/>
                  <w:hideMark/>
                </w:tcPr>
                <w:p w14:paraId="7C86A96F"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551EF86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02BF1E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0EC72D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9FDFA2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F73249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F4F1D4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922182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C04C22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D99C21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EB7B75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902177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04A2DC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8CB226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3F4A87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BEF69D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ABB648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20D1EB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C60DE0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B3364B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DAB1EE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8CDC27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8A9FF5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CB5513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2FAB0E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661980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9117BD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EC9B6C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B760D4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AE7D82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B5BF99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28373F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803CD1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4DF3AA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2D9EFF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DD77B5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EA4BE8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12E4B2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8054E9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EA3C3C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B9A7E7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0F3490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045F75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72EEEB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E87E2B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E11DF0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EA5C0E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7E6EC2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0FFA7B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AD2971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BFA0A7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270664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D106C9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A238D1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0E78A5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DB2D1D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028313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0F3FEB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B7F8B1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708F98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660656F2" w14:textId="77777777">
              <w:trPr>
                <w:tblCellSpacing w:w="0" w:type="dxa"/>
              </w:trPr>
              <w:tc>
                <w:tcPr>
                  <w:tcW w:w="0" w:type="auto"/>
                  <w:shd w:val="clear" w:color="auto" w:fill="EFEFEF"/>
                  <w:tcMar>
                    <w:top w:w="45" w:type="dxa"/>
                    <w:left w:w="90" w:type="dxa"/>
                    <w:bottom w:w="45" w:type="dxa"/>
                    <w:right w:w="90" w:type="dxa"/>
                  </w:tcMar>
                  <w:vAlign w:val="center"/>
                  <w:hideMark/>
                </w:tcPr>
                <w:p w14:paraId="3021C5B3"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Notches of uplift</w:t>
                  </w:r>
                </w:p>
              </w:tc>
              <w:tc>
                <w:tcPr>
                  <w:tcW w:w="0" w:type="auto"/>
                  <w:shd w:val="clear" w:color="auto" w:fill="EFEFEF"/>
                  <w:tcMar>
                    <w:top w:w="45" w:type="dxa"/>
                    <w:left w:w="90" w:type="dxa"/>
                    <w:bottom w:w="45" w:type="dxa"/>
                    <w:right w:w="90" w:type="dxa"/>
                  </w:tcMar>
                  <w:vAlign w:val="center"/>
                  <w:hideMark/>
                </w:tcPr>
                <w:p w14:paraId="1AAA3986"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1</w:t>
                  </w:r>
                </w:p>
              </w:tc>
              <w:tc>
                <w:tcPr>
                  <w:tcW w:w="0" w:type="auto"/>
                  <w:shd w:val="clear" w:color="auto" w:fill="EFEFEF"/>
                  <w:tcMar>
                    <w:top w:w="45" w:type="dxa"/>
                    <w:left w:w="90" w:type="dxa"/>
                    <w:bottom w:w="45" w:type="dxa"/>
                    <w:right w:w="90" w:type="dxa"/>
                  </w:tcMar>
                  <w:vAlign w:val="center"/>
                  <w:hideMark/>
                </w:tcPr>
                <w:p w14:paraId="0F6D86D3"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Default risks apply differently to foreign and local currency debt. South Africa has well-developed domestic capital markets and an independent monetary policy with a track record of free-floating exchange rate; with a very active local fixed-income market with secondary market trading. Foreign participation of around 40% of rand-denominated debt suggests the depth of the market and its diverse investor base.</w:t>
                  </w:r>
                </w:p>
              </w:tc>
              <w:tc>
                <w:tcPr>
                  <w:tcW w:w="0" w:type="auto"/>
                  <w:shd w:val="clear" w:color="auto" w:fill="EFEFEF"/>
                  <w:vAlign w:val="center"/>
                  <w:hideMark/>
                </w:tcPr>
                <w:p w14:paraId="77DA0884"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0285B52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E8457B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624DAB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EE6D4C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87CADC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22397F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A88BA9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A6A012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FBA1F2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24A4F6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7D3C36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1FD3D9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B30692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B3FBA5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6DC710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1E8CFB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B7585D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69C1AD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DBF6C0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39EFC1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538D74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0A7234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701DB0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D3D3D4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165294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0EE84F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9705D6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6BB6E6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F86BA7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EACFDE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D94DB5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2AE4A7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36C0FE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3ABB64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D7C06E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A21883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374481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EFEF34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5C7989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535189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0FC525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AF06B9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45D37D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734B3E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BE5D17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AA0F56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BF44FD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6A7745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12654B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68DC68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8060A2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AC03D3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BF9C9B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8BC3DA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89731F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B65F22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107BF4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142AD7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201375FC" w14:textId="77777777">
              <w:trPr>
                <w:tblCellSpacing w:w="0" w:type="dxa"/>
              </w:trPr>
              <w:tc>
                <w:tcPr>
                  <w:tcW w:w="0" w:type="auto"/>
                  <w:tcMar>
                    <w:top w:w="45" w:type="dxa"/>
                    <w:left w:w="180" w:type="dxa"/>
                    <w:bottom w:w="45" w:type="dxa"/>
                    <w:right w:w="0" w:type="dxa"/>
                  </w:tcMar>
                  <w:vAlign w:val="center"/>
                  <w:hideMark/>
                </w:tcPr>
                <w:p w14:paraId="1C426725"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Local currency</w:t>
                  </w:r>
                </w:p>
              </w:tc>
              <w:tc>
                <w:tcPr>
                  <w:tcW w:w="0" w:type="auto"/>
                  <w:tcMar>
                    <w:top w:w="45" w:type="dxa"/>
                    <w:left w:w="90" w:type="dxa"/>
                    <w:bottom w:w="45" w:type="dxa"/>
                    <w:right w:w="90" w:type="dxa"/>
                  </w:tcMar>
                  <w:vAlign w:val="center"/>
                  <w:hideMark/>
                </w:tcPr>
                <w:p w14:paraId="3A7BB921"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BB+</w:t>
                  </w:r>
                </w:p>
              </w:tc>
              <w:tc>
                <w:tcPr>
                  <w:tcW w:w="0" w:type="auto"/>
                  <w:tcMar>
                    <w:top w:w="45" w:type="dxa"/>
                    <w:left w:w="0" w:type="dxa"/>
                    <w:bottom w:w="45" w:type="dxa"/>
                    <w:right w:w="0" w:type="dxa"/>
                  </w:tcMar>
                  <w:vAlign w:val="center"/>
                  <w:hideMark/>
                </w:tcPr>
                <w:p w14:paraId="3779F3CA"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5C8A6D3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58BBE5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D125C7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471E59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080EF8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D72C21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68C222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908047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3A04D8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7CC11E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AD6E80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18F9DE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DAA309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517D4A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E44B83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D5B273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CFD175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474553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DF51FA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FCD18B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A3B3C9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D913C2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7BDC4A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62E8A7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282055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113B0D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B74514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85F89A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42FC81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81C1C0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96D2F0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CB23FF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D4CBC8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3E939C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55A134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BA28D6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617262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1202E9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AA8311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16F4DB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604441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CB4D03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FA5A29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05BE44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0508A8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CDFFD2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7FF37A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506D8E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2BB406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4A365C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B841E0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6815FE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C497EA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A8BD28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118A8C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A0F164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FD5BE8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5FA8DF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824350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5397BA20" w14:textId="77777777">
              <w:trPr>
                <w:tblCellSpacing w:w="0" w:type="dxa"/>
              </w:trPr>
              <w:tc>
                <w:tcPr>
                  <w:tcW w:w="0" w:type="auto"/>
                  <w:gridSpan w:val="62"/>
                  <w:tcMar>
                    <w:top w:w="45" w:type="dxa"/>
                    <w:left w:w="90" w:type="dxa"/>
                    <w:bottom w:w="45" w:type="dxa"/>
                    <w:right w:w="90" w:type="dxa"/>
                  </w:tcMar>
                  <w:vAlign w:val="center"/>
                  <w:hideMark/>
                </w:tcPr>
                <w:p w14:paraId="25A2049D"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S&amp;P Global Ratings' analysis of sovereign creditworthiness rests on its assessment and scoring of five key rating factors: (</w:t>
                  </w:r>
                  <w:proofErr w:type="spellStart"/>
                  <w:r w:rsidRPr="006439CC">
                    <w:rPr>
                      <w:rFonts w:ascii="Arial" w:eastAsia="Calibri" w:hAnsi="Arial" w:cs="Arial"/>
                      <w:sz w:val="18"/>
                      <w:szCs w:val="18"/>
                      <w:lang w:eastAsia="en-ZA"/>
                    </w:rPr>
                    <w:t>i</w:t>
                  </w:r>
                  <w:proofErr w:type="spellEnd"/>
                  <w:r w:rsidRPr="006439CC">
                    <w:rPr>
                      <w:rFonts w:ascii="Arial" w:eastAsia="Calibri" w:hAnsi="Arial" w:cs="Arial"/>
                      <w:sz w:val="18"/>
                      <w:szCs w:val="18"/>
                      <w:lang w:eastAsia="en-ZA"/>
                    </w:rPr>
                    <w:t xml:space="preserve">) institutional assessment; (ii) economic assessment; (iii) external assessment; (iv) the average of fiscal flexibility and performance, and debt burden; and (v) monetary assessment. Each of the factors is assessed on a continuum spanning from 1 (strongest) to 6 (weakest). S&amp;P Global Ratings' "Sovereign Rating Methodology," published on Dec. 18, 2017, details how we derive and combine the scores and then derive the sovereign foreign currency rating. In accordance with S&amp;P Global Ratings' sovereign ratings methodology, a change in score does not in all cases lead to a change in the rating, nor is a change in the rating necessarily predicated on changes in one or more of the scores. In determining the final </w:t>
                  </w:r>
                  <w:proofErr w:type="gramStart"/>
                  <w:r w:rsidRPr="006439CC">
                    <w:rPr>
                      <w:rFonts w:ascii="Arial" w:eastAsia="Calibri" w:hAnsi="Arial" w:cs="Arial"/>
                      <w:sz w:val="18"/>
                      <w:szCs w:val="18"/>
                      <w:lang w:eastAsia="en-ZA"/>
                    </w:rPr>
                    <w:t>rating</w:t>
                  </w:r>
                  <w:proofErr w:type="gramEnd"/>
                  <w:r w:rsidRPr="006439CC">
                    <w:rPr>
                      <w:rFonts w:ascii="Arial" w:eastAsia="Calibri" w:hAnsi="Arial" w:cs="Arial"/>
                      <w:sz w:val="18"/>
                      <w:szCs w:val="18"/>
                      <w:lang w:eastAsia="en-ZA"/>
                    </w:rPr>
                    <w:t xml:space="preserve"> the committee can make use of the flexibility afforded by §15 and §§126-128 of the rating methodology.</w:t>
                  </w:r>
                </w:p>
              </w:tc>
            </w:tr>
          </w:tbl>
          <w:p w14:paraId="7ECC3536" w14:textId="77777777" w:rsidR="006439CC" w:rsidRPr="006439CC" w:rsidRDefault="006439CC" w:rsidP="006439CC">
            <w:pPr>
              <w:spacing w:before="30" w:after="45" w:line="240" w:lineRule="auto"/>
              <w:rPr>
                <w:rFonts w:ascii="Arial" w:eastAsia="Calibri" w:hAnsi="Arial" w:cs="Arial"/>
                <w:b/>
                <w:bCs/>
                <w:color w:val="CC0033"/>
                <w:lang w:eastAsia="en-ZA"/>
              </w:rPr>
            </w:pPr>
            <w:r w:rsidRPr="006439CC">
              <w:rPr>
                <w:rFonts w:ascii="Arial" w:eastAsia="Calibri" w:hAnsi="Arial" w:cs="Arial"/>
                <w:b/>
                <w:bCs/>
                <w:color w:val="CC0033"/>
                <w:lang w:eastAsia="en-ZA"/>
              </w:rPr>
              <w:t>Related Criteria</w:t>
            </w:r>
          </w:p>
          <w:tbl>
            <w:tblPr>
              <w:tblW w:w="0" w:type="auto"/>
              <w:tblCellSpacing w:w="0" w:type="dxa"/>
              <w:tblCellMar>
                <w:left w:w="0" w:type="dxa"/>
                <w:right w:w="0" w:type="dxa"/>
              </w:tblCellMar>
              <w:tblLook w:val="04A0" w:firstRow="1" w:lastRow="0" w:firstColumn="1" w:lastColumn="0" w:noHBand="0" w:noVBand="1"/>
            </w:tblPr>
            <w:tblGrid>
              <w:gridCol w:w="259"/>
              <w:gridCol w:w="9533"/>
            </w:tblGrid>
            <w:tr w:rsidR="006439CC" w:rsidRPr="006439CC" w14:paraId="43A2E2EB" w14:textId="77777777">
              <w:trPr>
                <w:tblCellSpacing w:w="0" w:type="dxa"/>
              </w:trPr>
              <w:tc>
                <w:tcPr>
                  <w:tcW w:w="0" w:type="auto"/>
                  <w:tcMar>
                    <w:top w:w="0" w:type="dxa"/>
                    <w:left w:w="150" w:type="dxa"/>
                    <w:bottom w:w="0" w:type="dxa"/>
                    <w:right w:w="45" w:type="dxa"/>
                  </w:tcMar>
                  <w:hideMark/>
                </w:tcPr>
                <w:p w14:paraId="7B2265C7"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71A78B96" w14:textId="77777777" w:rsidR="006439CC" w:rsidRPr="006439CC" w:rsidRDefault="006439CC" w:rsidP="006439CC">
                  <w:pPr>
                    <w:spacing w:after="0" w:line="240" w:lineRule="auto"/>
                    <w:rPr>
                      <w:rFonts w:ascii="Arial" w:eastAsia="Calibri" w:hAnsi="Arial" w:cs="Arial"/>
                      <w:sz w:val="18"/>
                      <w:szCs w:val="18"/>
                      <w:lang w:eastAsia="en-ZA"/>
                    </w:rPr>
                  </w:pPr>
                  <w:hyperlink r:id="rId7" w:tgtFrame="_new" w:history="1">
                    <w:r w:rsidRPr="006439CC">
                      <w:rPr>
                        <w:rFonts w:ascii="Arial" w:eastAsia="Calibri" w:hAnsi="Arial" w:cs="Arial"/>
                        <w:b/>
                        <w:bCs/>
                        <w:color w:val="0088CC"/>
                        <w:sz w:val="18"/>
                        <w:szCs w:val="18"/>
                        <w:lang w:eastAsia="en-ZA"/>
                      </w:rPr>
                      <w:t xml:space="preserve">General Criteria: Methodology </w:t>
                    </w:r>
                    <w:proofErr w:type="gramStart"/>
                    <w:r w:rsidRPr="006439CC">
                      <w:rPr>
                        <w:rFonts w:ascii="Arial" w:eastAsia="Calibri" w:hAnsi="Arial" w:cs="Arial"/>
                        <w:b/>
                        <w:bCs/>
                        <w:color w:val="0088CC"/>
                        <w:sz w:val="18"/>
                        <w:szCs w:val="18"/>
                        <w:lang w:eastAsia="en-ZA"/>
                      </w:rPr>
                      <w:t>For</w:t>
                    </w:r>
                    <w:proofErr w:type="gramEnd"/>
                    <w:r w:rsidRPr="006439CC">
                      <w:rPr>
                        <w:rFonts w:ascii="Arial" w:eastAsia="Calibri" w:hAnsi="Arial" w:cs="Arial"/>
                        <w:b/>
                        <w:bCs/>
                        <w:color w:val="0088CC"/>
                        <w:sz w:val="18"/>
                        <w:szCs w:val="18"/>
                        <w:lang w:eastAsia="en-ZA"/>
                      </w:rPr>
                      <w:t xml:space="preserve"> National And Regional Scale Credit Ratings</w:t>
                    </w:r>
                  </w:hyperlink>
                  <w:r w:rsidRPr="006439CC">
                    <w:rPr>
                      <w:rFonts w:ascii="Arial" w:eastAsia="Calibri" w:hAnsi="Arial" w:cs="Arial"/>
                      <w:sz w:val="18"/>
                      <w:szCs w:val="18"/>
                      <w:lang w:eastAsia="en-ZA"/>
                    </w:rPr>
                    <w:t xml:space="preserve">, June 25, 2018 </w:t>
                  </w:r>
                </w:p>
              </w:tc>
            </w:tr>
            <w:tr w:rsidR="006439CC" w:rsidRPr="006439CC" w14:paraId="24CC5854" w14:textId="77777777">
              <w:trPr>
                <w:tblCellSpacing w:w="0" w:type="dxa"/>
              </w:trPr>
              <w:tc>
                <w:tcPr>
                  <w:tcW w:w="0" w:type="auto"/>
                  <w:tcMar>
                    <w:top w:w="0" w:type="dxa"/>
                    <w:left w:w="150" w:type="dxa"/>
                    <w:bottom w:w="0" w:type="dxa"/>
                    <w:right w:w="45" w:type="dxa"/>
                  </w:tcMar>
                  <w:hideMark/>
                </w:tcPr>
                <w:p w14:paraId="5AE81AB9"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155624BE" w14:textId="77777777" w:rsidR="006439CC" w:rsidRPr="006439CC" w:rsidRDefault="006439CC" w:rsidP="006439CC">
                  <w:pPr>
                    <w:spacing w:after="0" w:line="240" w:lineRule="auto"/>
                    <w:rPr>
                      <w:rFonts w:ascii="Arial" w:eastAsia="Calibri" w:hAnsi="Arial" w:cs="Arial"/>
                      <w:sz w:val="18"/>
                      <w:szCs w:val="18"/>
                      <w:lang w:eastAsia="en-ZA"/>
                    </w:rPr>
                  </w:pPr>
                  <w:hyperlink r:id="rId8" w:tgtFrame="_new" w:history="1">
                    <w:r w:rsidRPr="006439CC">
                      <w:rPr>
                        <w:rFonts w:ascii="Arial" w:eastAsia="Calibri" w:hAnsi="Arial" w:cs="Arial"/>
                        <w:b/>
                        <w:bCs/>
                        <w:color w:val="0088CC"/>
                        <w:sz w:val="18"/>
                        <w:szCs w:val="18"/>
                        <w:lang w:eastAsia="en-ZA"/>
                      </w:rPr>
                      <w:t>Criteria | Governments | Sovereigns: Sovereign Rating Methodology</w:t>
                    </w:r>
                  </w:hyperlink>
                  <w:r w:rsidRPr="006439CC">
                    <w:rPr>
                      <w:rFonts w:ascii="Arial" w:eastAsia="Calibri" w:hAnsi="Arial" w:cs="Arial"/>
                      <w:sz w:val="18"/>
                      <w:szCs w:val="18"/>
                      <w:lang w:eastAsia="en-ZA"/>
                    </w:rPr>
                    <w:t xml:space="preserve">, Dec. 18, 2017 </w:t>
                  </w:r>
                </w:p>
              </w:tc>
            </w:tr>
            <w:tr w:rsidR="006439CC" w:rsidRPr="006439CC" w14:paraId="62DA1E94" w14:textId="77777777">
              <w:trPr>
                <w:tblCellSpacing w:w="0" w:type="dxa"/>
              </w:trPr>
              <w:tc>
                <w:tcPr>
                  <w:tcW w:w="0" w:type="auto"/>
                  <w:tcMar>
                    <w:top w:w="0" w:type="dxa"/>
                    <w:left w:w="150" w:type="dxa"/>
                    <w:bottom w:w="0" w:type="dxa"/>
                    <w:right w:w="45" w:type="dxa"/>
                  </w:tcMar>
                  <w:hideMark/>
                </w:tcPr>
                <w:p w14:paraId="4E65570C"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20C93A9B" w14:textId="77777777" w:rsidR="006439CC" w:rsidRPr="006439CC" w:rsidRDefault="006439CC" w:rsidP="006439CC">
                  <w:pPr>
                    <w:spacing w:after="0" w:line="240" w:lineRule="auto"/>
                    <w:rPr>
                      <w:rFonts w:ascii="Arial" w:eastAsia="Calibri" w:hAnsi="Arial" w:cs="Arial"/>
                      <w:sz w:val="18"/>
                      <w:szCs w:val="18"/>
                      <w:lang w:eastAsia="en-ZA"/>
                    </w:rPr>
                  </w:pPr>
                  <w:hyperlink r:id="rId9" w:tgtFrame="_new" w:history="1">
                    <w:r w:rsidRPr="006439CC">
                      <w:rPr>
                        <w:rFonts w:ascii="Arial" w:eastAsia="Calibri" w:hAnsi="Arial" w:cs="Arial"/>
                        <w:b/>
                        <w:bCs/>
                        <w:color w:val="0088CC"/>
                        <w:sz w:val="18"/>
                        <w:szCs w:val="18"/>
                        <w:lang w:eastAsia="en-ZA"/>
                      </w:rPr>
                      <w:t xml:space="preserve">General Criteria: Methodology </w:t>
                    </w:r>
                    <w:proofErr w:type="gramStart"/>
                    <w:r w:rsidRPr="006439CC">
                      <w:rPr>
                        <w:rFonts w:ascii="Arial" w:eastAsia="Calibri" w:hAnsi="Arial" w:cs="Arial"/>
                        <w:b/>
                        <w:bCs/>
                        <w:color w:val="0088CC"/>
                        <w:sz w:val="18"/>
                        <w:szCs w:val="18"/>
                        <w:lang w:eastAsia="en-ZA"/>
                      </w:rPr>
                      <w:t>For</w:t>
                    </w:r>
                    <w:proofErr w:type="gramEnd"/>
                    <w:r w:rsidRPr="006439CC">
                      <w:rPr>
                        <w:rFonts w:ascii="Arial" w:eastAsia="Calibri" w:hAnsi="Arial" w:cs="Arial"/>
                        <w:b/>
                        <w:bCs/>
                        <w:color w:val="0088CC"/>
                        <w:sz w:val="18"/>
                        <w:szCs w:val="18"/>
                        <w:lang w:eastAsia="en-ZA"/>
                      </w:rPr>
                      <w:t xml:space="preserve"> Linking Long-Term And Short-Term Ratings</w:t>
                    </w:r>
                  </w:hyperlink>
                  <w:r w:rsidRPr="006439CC">
                    <w:rPr>
                      <w:rFonts w:ascii="Arial" w:eastAsia="Calibri" w:hAnsi="Arial" w:cs="Arial"/>
                      <w:sz w:val="18"/>
                      <w:szCs w:val="18"/>
                      <w:lang w:eastAsia="en-ZA"/>
                    </w:rPr>
                    <w:t xml:space="preserve">, April 7, 2017 </w:t>
                  </w:r>
                </w:p>
              </w:tc>
            </w:tr>
            <w:tr w:rsidR="006439CC" w:rsidRPr="006439CC" w14:paraId="1E7405DE" w14:textId="77777777">
              <w:trPr>
                <w:tblCellSpacing w:w="0" w:type="dxa"/>
              </w:trPr>
              <w:tc>
                <w:tcPr>
                  <w:tcW w:w="0" w:type="auto"/>
                  <w:tcMar>
                    <w:top w:w="0" w:type="dxa"/>
                    <w:left w:w="150" w:type="dxa"/>
                    <w:bottom w:w="0" w:type="dxa"/>
                    <w:right w:w="45" w:type="dxa"/>
                  </w:tcMar>
                  <w:hideMark/>
                </w:tcPr>
                <w:p w14:paraId="64D3FE89"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33D8C7C1" w14:textId="77777777" w:rsidR="006439CC" w:rsidRPr="006439CC" w:rsidRDefault="006439CC" w:rsidP="006439CC">
                  <w:pPr>
                    <w:spacing w:after="0" w:line="240" w:lineRule="auto"/>
                    <w:rPr>
                      <w:rFonts w:ascii="Arial" w:eastAsia="Calibri" w:hAnsi="Arial" w:cs="Arial"/>
                      <w:sz w:val="18"/>
                      <w:szCs w:val="18"/>
                      <w:lang w:eastAsia="en-ZA"/>
                    </w:rPr>
                  </w:pPr>
                  <w:hyperlink r:id="rId10" w:tgtFrame="_new" w:history="1">
                    <w:r w:rsidRPr="006439CC">
                      <w:rPr>
                        <w:rFonts w:ascii="Arial" w:eastAsia="Calibri" w:hAnsi="Arial" w:cs="Arial"/>
                        <w:b/>
                        <w:bCs/>
                        <w:color w:val="0088CC"/>
                        <w:sz w:val="18"/>
                        <w:szCs w:val="18"/>
                        <w:lang w:eastAsia="en-ZA"/>
                      </w:rPr>
                      <w:t xml:space="preserve">General Criteria: Methodology </w:t>
                    </w:r>
                    <w:proofErr w:type="gramStart"/>
                    <w:r w:rsidRPr="006439CC">
                      <w:rPr>
                        <w:rFonts w:ascii="Arial" w:eastAsia="Calibri" w:hAnsi="Arial" w:cs="Arial"/>
                        <w:b/>
                        <w:bCs/>
                        <w:color w:val="0088CC"/>
                        <w:sz w:val="18"/>
                        <w:szCs w:val="18"/>
                        <w:lang w:eastAsia="en-ZA"/>
                      </w:rPr>
                      <w:t>For</w:t>
                    </w:r>
                    <w:proofErr w:type="gramEnd"/>
                    <w:r w:rsidRPr="006439CC">
                      <w:rPr>
                        <w:rFonts w:ascii="Arial" w:eastAsia="Calibri" w:hAnsi="Arial" w:cs="Arial"/>
                        <w:b/>
                        <w:bCs/>
                        <w:color w:val="0088CC"/>
                        <w:sz w:val="18"/>
                        <w:szCs w:val="18"/>
                        <w:lang w:eastAsia="en-ZA"/>
                      </w:rPr>
                      <w:t xml:space="preserve"> Rating Sukuk</w:t>
                    </w:r>
                  </w:hyperlink>
                  <w:r w:rsidRPr="006439CC">
                    <w:rPr>
                      <w:rFonts w:ascii="Arial" w:eastAsia="Calibri" w:hAnsi="Arial" w:cs="Arial"/>
                      <w:sz w:val="18"/>
                      <w:szCs w:val="18"/>
                      <w:lang w:eastAsia="en-ZA"/>
                    </w:rPr>
                    <w:t xml:space="preserve">, Jan. 19, 2015 </w:t>
                  </w:r>
                </w:p>
              </w:tc>
            </w:tr>
            <w:tr w:rsidR="006439CC" w:rsidRPr="006439CC" w14:paraId="1CADD25C" w14:textId="77777777">
              <w:trPr>
                <w:tblCellSpacing w:w="0" w:type="dxa"/>
              </w:trPr>
              <w:tc>
                <w:tcPr>
                  <w:tcW w:w="0" w:type="auto"/>
                  <w:tcMar>
                    <w:top w:w="0" w:type="dxa"/>
                    <w:left w:w="150" w:type="dxa"/>
                    <w:bottom w:w="0" w:type="dxa"/>
                    <w:right w:w="45" w:type="dxa"/>
                  </w:tcMar>
                  <w:hideMark/>
                </w:tcPr>
                <w:p w14:paraId="6411C573"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18D0C8A3" w14:textId="77777777" w:rsidR="006439CC" w:rsidRPr="006439CC" w:rsidRDefault="006439CC" w:rsidP="006439CC">
                  <w:pPr>
                    <w:spacing w:after="0" w:line="240" w:lineRule="auto"/>
                    <w:rPr>
                      <w:rFonts w:ascii="Arial" w:eastAsia="Calibri" w:hAnsi="Arial" w:cs="Arial"/>
                      <w:sz w:val="18"/>
                      <w:szCs w:val="18"/>
                      <w:lang w:eastAsia="en-ZA"/>
                    </w:rPr>
                  </w:pPr>
                  <w:hyperlink r:id="rId11" w:tgtFrame="_new" w:history="1">
                    <w:r w:rsidRPr="006439CC">
                      <w:rPr>
                        <w:rFonts w:ascii="Arial" w:eastAsia="Calibri" w:hAnsi="Arial" w:cs="Arial"/>
                        <w:b/>
                        <w:bCs/>
                        <w:color w:val="0088CC"/>
                        <w:sz w:val="18"/>
                        <w:szCs w:val="18"/>
                        <w:lang w:eastAsia="en-ZA"/>
                      </w:rPr>
                      <w:t xml:space="preserve">General Criteria: Use </w:t>
                    </w:r>
                    <w:proofErr w:type="gramStart"/>
                    <w:r w:rsidRPr="006439CC">
                      <w:rPr>
                        <w:rFonts w:ascii="Arial" w:eastAsia="Calibri" w:hAnsi="Arial" w:cs="Arial"/>
                        <w:b/>
                        <w:bCs/>
                        <w:color w:val="0088CC"/>
                        <w:sz w:val="18"/>
                        <w:szCs w:val="18"/>
                        <w:lang w:eastAsia="en-ZA"/>
                      </w:rPr>
                      <w:t>Of</w:t>
                    </w:r>
                    <w:proofErr w:type="gramEnd"/>
                    <w:r w:rsidRPr="006439CC">
                      <w:rPr>
                        <w:rFonts w:ascii="Arial" w:eastAsia="Calibri" w:hAnsi="Arial" w:cs="Arial"/>
                        <w:b/>
                        <w:bCs/>
                        <w:color w:val="0088CC"/>
                        <w:sz w:val="18"/>
                        <w:szCs w:val="18"/>
                        <w:lang w:eastAsia="en-ZA"/>
                      </w:rPr>
                      <w:t xml:space="preserve"> CreditWatch And Outlooks</w:t>
                    </w:r>
                  </w:hyperlink>
                  <w:r w:rsidRPr="006439CC">
                    <w:rPr>
                      <w:rFonts w:ascii="Arial" w:eastAsia="Calibri" w:hAnsi="Arial" w:cs="Arial"/>
                      <w:sz w:val="18"/>
                      <w:szCs w:val="18"/>
                      <w:lang w:eastAsia="en-ZA"/>
                    </w:rPr>
                    <w:t xml:space="preserve">, Sept. 14, 2009 </w:t>
                  </w:r>
                </w:p>
              </w:tc>
            </w:tr>
            <w:tr w:rsidR="006439CC" w:rsidRPr="006439CC" w14:paraId="09B3D938" w14:textId="77777777">
              <w:trPr>
                <w:tblCellSpacing w:w="0" w:type="dxa"/>
              </w:trPr>
              <w:tc>
                <w:tcPr>
                  <w:tcW w:w="0" w:type="auto"/>
                  <w:tcMar>
                    <w:top w:w="0" w:type="dxa"/>
                    <w:left w:w="150" w:type="dxa"/>
                    <w:bottom w:w="0" w:type="dxa"/>
                    <w:right w:w="45" w:type="dxa"/>
                  </w:tcMar>
                  <w:hideMark/>
                </w:tcPr>
                <w:p w14:paraId="536BCF4A"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69FC28BD" w14:textId="77777777" w:rsidR="006439CC" w:rsidRPr="006439CC" w:rsidRDefault="006439CC" w:rsidP="006439CC">
                  <w:pPr>
                    <w:spacing w:after="0" w:line="240" w:lineRule="auto"/>
                    <w:rPr>
                      <w:rFonts w:ascii="Arial" w:eastAsia="Calibri" w:hAnsi="Arial" w:cs="Arial"/>
                      <w:sz w:val="18"/>
                      <w:szCs w:val="18"/>
                      <w:lang w:eastAsia="en-ZA"/>
                    </w:rPr>
                  </w:pPr>
                  <w:hyperlink r:id="rId12" w:tgtFrame="_new" w:history="1">
                    <w:r w:rsidRPr="006439CC">
                      <w:rPr>
                        <w:rFonts w:ascii="Arial" w:eastAsia="Calibri" w:hAnsi="Arial" w:cs="Arial"/>
                        <w:b/>
                        <w:bCs/>
                        <w:color w:val="0088CC"/>
                        <w:sz w:val="18"/>
                        <w:szCs w:val="18"/>
                        <w:lang w:eastAsia="en-ZA"/>
                      </w:rPr>
                      <w:t xml:space="preserve">General Criteria: Methodology: Criteria </w:t>
                    </w:r>
                    <w:proofErr w:type="gramStart"/>
                    <w:r w:rsidRPr="006439CC">
                      <w:rPr>
                        <w:rFonts w:ascii="Arial" w:eastAsia="Calibri" w:hAnsi="Arial" w:cs="Arial"/>
                        <w:b/>
                        <w:bCs/>
                        <w:color w:val="0088CC"/>
                        <w:sz w:val="18"/>
                        <w:szCs w:val="18"/>
                        <w:lang w:eastAsia="en-ZA"/>
                      </w:rPr>
                      <w:t>For</w:t>
                    </w:r>
                    <w:proofErr w:type="gramEnd"/>
                    <w:r w:rsidRPr="006439CC">
                      <w:rPr>
                        <w:rFonts w:ascii="Arial" w:eastAsia="Calibri" w:hAnsi="Arial" w:cs="Arial"/>
                        <w:b/>
                        <w:bCs/>
                        <w:color w:val="0088CC"/>
                        <w:sz w:val="18"/>
                        <w:szCs w:val="18"/>
                        <w:lang w:eastAsia="en-ZA"/>
                      </w:rPr>
                      <w:t xml:space="preserve"> Determining Transfer And Convertibility Assessments</w:t>
                    </w:r>
                  </w:hyperlink>
                  <w:r w:rsidRPr="006439CC">
                    <w:rPr>
                      <w:rFonts w:ascii="Arial" w:eastAsia="Calibri" w:hAnsi="Arial" w:cs="Arial"/>
                      <w:sz w:val="18"/>
                      <w:szCs w:val="18"/>
                      <w:lang w:eastAsia="en-ZA"/>
                    </w:rPr>
                    <w:t xml:space="preserve">, May 18, 2009 </w:t>
                  </w:r>
                </w:p>
              </w:tc>
            </w:tr>
          </w:tbl>
          <w:p w14:paraId="53A0E4CD" w14:textId="77777777" w:rsidR="006439CC" w:rsidRPr="006439CC" w:rsidRDefault="006439CC" w:rsidP="006439CC">
            <w:pPr>
              <w:spacing w:before="30" w:after="45" w:line="240" w:lineRule="auto"/>
              <w:rPr>
                <w:rFonts w:ascii="Arial" w:eastAsia="Calibri" w:hAnsi="Arial" w:cs="Arial"/>
                <w:b/>
                <w:bCs/>
                <w:color w:val="CC0033"/>
                <w:lang w:eastAsia="en-ZA"/>
              </w:rPr>
            </w:pPr>
            <w:r w:rsidRPr="006439CC">
              <w:rPr>
                <w:rFonts w:ascii="Arial" w:eastAsia="Calibri" w:hAnsi="Arial" w:cs="Arial"/>
                <w:b/>
                <w:bCs/>
                <w:color w:val="CC0033"/>
                <w:lang w:eastAsia="en-ZA"/>
              </w:rPr>
              <w:t>Related Research</w:t>
            </w:r>
          </w:p>
          <w:tbl>
            <w:tblPr>
              <w:tblW w:w="0" w:type="auto"/>
              <w:tblCellSpacing w:w="0" w:type="dxa"/>
              <w:tblCellMar>
                <w:left w:w="0" w:type="dxa"/>
                <w:right w:w="0" w:type="dxa"/>
              </w:tblCellMar>
              <w:tblLook w:val="04A0" w:firstRow="1" w:lastRow="0" w:firstColumn="1" w:lastColumn="0" w:noHBand="0" w:noVBand="1"/>
            </w:tblPr>
            <w:tblGrid>
              <w:gridCol w:w="259"/>
              <w:gridCol w:w="9084"/>
            </w:tblGrid>
            <w:tr w:rsidR="006439CC" w:rsidRPr="006439CC" w14:paraId="59866601" w14:textId="77777777">
              <w:trPr>
                <w:tblCellSpacing w:w="0" w:type="dxa"/>
              </w:trPr>
              <w:tc>
                <w:tcPr>
                  <w:tcW w:w="0" w:type="auto"/>
                  <w:tcMar>
                    <w:top w:w="0" w:type="dxa"/>
                    <w:left w:w="150" w:type="dxa"/>
                    <w:bottom w:w="0" w:type="dxa"/>
                    <w:right w:w="45" w:type="dxa"/>
                  </w:tcMar>
                  <w:hideMark/>
                </w:tcPr>
                <w:p w14:paraId="5E7673CC"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01454576"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Sovereign Ratings List, Nov. 18, 2019 </w:t>
                  </w:r>
                </w:p>
              </w:tc>
            </w:tr>
            <w:tr w:rsidR="006439CC" w:rsidRPr="006439CC" w14:paraId="081A4471" w14:textId="77777777">
              <w:trPr>
                <w:tblCellSpacing w:w="0" w:type="dxa"/>
              </w:trPr>
              <w:tc>
                <w:tcPr>
                  <w:tcW w:w="0" w:type="auto"/>
                  <w:tcMar>
                    <w:top w:w="0" w:type="dxa"/>
                    <w:left w:w="150" w:type="dxa"/>
                    <w:bottom w:w="0" w:type="dxa"/>
                    <w:right w:w="45" w:type="dxa"/>
                  </w:tcMar>
                  <w:hideMark/>
                </w:tcPr>
                <w:p w14:paraId="14041FAA"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7D3F7FE4"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Sovereign Ratings History, Nov. 18, 2019 </w:t>
                  </w:r>
                </w:p>
              </w:tc>
            </w:tr>
            <w:tr w:rsidR="006439CC" w:rsidRPr="006439CC" w14:paraId="045D51D9" w14:textId="77777777">
              <w:trPr>
                <w:tblCellSpacing w:w="0" w:type="dxa"/>
              </w:trPr>
              <w:tc>
                <w:tcPr>
                  <w:tcW w:w="0" w:type="auto"/>
                  <w:tcMar>
                    <w:top w:w="0" w:type="dxa"/>
                    <w:left w:w="150" w:type="dxa"/>
                    <w:bottom w:w="0" w:type="dxa"/>
                    <w:right w:w="45" w:type="dxa"/>
                  </w:tcMar>
                  <w:hideMark/>
                </w:tcPr>
                <w:p w14:paraId="72C06B34"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5ADDA705"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Sovereign Risk Indicators, Oct. 10, 2019. An interactive version is also available at </w:t>
                  </w:r>
                  <w:hyperlink r:id="rId13" w:tgtFrame="_new" w:history="1">
                    <w:r w:rsidRPr="006439CC">
                      <w:rPr>
                        <w:rFonts w:ascii="Arial" w:eastAsia="Calibri" w:hAnsi="Arial" w:cs="Arial"/>
                        <w:b/>
                        <w:bCs/>
                        <w:color w:val="0088CC"/>
                        <w:sz w:val="18"/>
                        <w:szCs w:val="18"/>
                        <w:lang w:eastAsia="en-ZA"/>
                      </w:rPr>
                      <w:t>http://www.spratings.com/sri</w:t>
                    </w:r>
                  </w:hyperlink>
                </w:p>
              </w:tc>
            </w:tr>
            <w:tr w:rsidR="006439CC" w:rsidRPr="006439CC" w14:paraId="0491F692" w14:textId="77777777">
              <w:trPr>
                <w:tblCellSpacing w:w="0" w:type="dxa"/>
              </w:trPr>
              <w:tc>
                <w:tcPr>
                  <w:tcW w:w="0" w:type="auto"/>
                  <w:tcMar>
                    <w:top w:w="0" w:type="dxa"/>
                    <w:left w:w="150" w:type="dxa"/>
                    <w:bottom w:w="0" w:type="dxa"/>
                    <w:right w:w="45" w:type="dxa"/>
                  </w:tcMar>
                  <w:hideMark/>
                </w:tcPr>
                <w:p w14:paraId="0B199BF2"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70804989"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Global Sovereign Rating Trends: Midyear 2019, July 25, 2019 </w:t>
                  </w:r>
                </w:p>
              </w:tc>
            </w:tr>
            <w:tr w:rsidR="006439CC" w:rsidRPr="006439CC" w14:paraId="0A4357FD" w14:textId="77777777">
              <w:trPr>
                <w:tblCellSpacing w:w="0" w:type="dxa"/>
              </w:trPr>
              <w:tc>
                <w:tcPr>
                  <w:tcW w:w="0" w:type="auto"/>
                  <w:tcMar>
                    <w:top w:w="0" w:type="dxa"/>
                    <w:left w:w="150" w:type="dxa"/>
                    <w:bottom w:w="0" w:type="dxa"/>
                    <w:right w:w="45" w:type="dxa"/>
                  </w:tcMar>
                  <w:hideMark/>
                </w:tcPr>
                <w:p w14:paraId="6EAD04CB"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7E9DE411"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Default, Transition, and Recovery: 2018 Annual Sovereign Default Study </w:t>
                  </w:r>
                  <w:proofErr w:type="gramStart"/>
                  <w:r w:rsidRPr="006439CC">
                    <w:rPr>
                      <w:rFonts w:ascii="Arial" w:eastAsia="Calibri" w:hAnsi="Arial" w:cs="Arial"/>
                      <w:sz w:val="18"/>
                      <w:szCs w:val="18"/>
                      <w:lang w:eastAsia="en-ZA"/>
                    </w:rPr>
                    <w:t>And</w:t>
                  </w:r>
                  <w:proofErr w:type="gramEnd"/>
                  <w:r w:rsidRPr="006439CC">
                    <w:rPr>
                      <w:rFonts w:ascii="Arial" w:eastAsia="Calibri" w:hAnsi="Arial" w:cs="Arial"/>
                      <w:sz w:val="18"/>
                      <w:szCs w:val="18"/>
                      <w:lang w:eastAsia="en-ZA"/>
                    </w:rPr>
                    <w:t xml:space="preserve"> Rating Transition, March 15, 2019 </w:t>
                  </w:r>
                </w:p>
              </w:tc>
            </w:tr>
          </w:tbl>
          <w:p w14:paraId="54934978"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In accordance with our relevant policies and procedures, the Rating Committee was composed of analysts that are qualified to vote in the committee, with sufficient experience to convey the appropriate level of knowledge and understanding of the methodology applicable (see 'Related Criteria </w:t>
            </w:r>
            <w:proofErr w:type="gramStart"/>
            <w:r w:rsidRPr="006439CC">
              <w:rPr>
                <w:rFonts w:ascii="Arial" w:eastAsia="Calibri" w:hAnsi="Arial" w:cs="Arial"/>
                <w:sz w:val="18"/>
                <w:szCs w:val="18"/>
                <w:lang w:eastAsia="en-ZA"/>
              </w:rPr>
              <w:t>And</w:t>
            </w:r>
            <w:proofErr w:type="gramEnd"/>
            <w:r w:rsidRPr="006439CC">
              <w:rPr>
                <w:rFonts w:ascii="Arial" w:eastAsia="Calibri" w:hAnsi="Arial" w:cs="Arial"/>
                <w:sz w:val="18"/>
                <w:szCs w:val="18"/>
                <w:lang w:eastAsia="en-ZA"/>
              </w:rPr>
              <w:t xml:space="preserve"> Research'). At the onset of the committee, the chair confirmed that the information provided to the Rating Committee by the primary analyst had been distributed in a timely manner and was </w:t>
            </w:r>
            <w:proofErr w:type="gramStart"/>
            <w:r w:rsidRPr="006439CC">
              <w:rPr>
                <w:rFonts w:ascii="Arial" w:eastAsia="Calibri" w:hAnsi="Arial" w:cs="Arial"/>
                <w:sz w:val="18"/>
                <w:szCs w:val="18"/>
                <w:lang w:eastAsia="en-ZA"/>
              </w:rPr>
              <w:t>sufficient</w:t>
            </w:r>
            <w:proofErr w:type="gramEnd"/>
            <w:r w:rsidRPr="006439CC">
              <w:rPr>
                <w:rFonts w:ascii="Arial" w:eastAsia="Calibri" w:hAnsi="Arial" w:cs="Arial"/>
                <w:sz w:val="18"/>
                <w:szCs w:val="18"/>
                <w:lang w:eastAsia="en-ZA"/>
              </w:rPr>
              <w:t xml:space="preserve"> for Committee members to make an informed decision. </w:t>
            </w:r>
          </w:p>
          <w:p w14:paraId="31766227"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After the primary analyst gave opening remarks and explained the recommendation, the Committee discussed key rating factors and critical issues in accordance with the relevant criteria. Qualitative and quantitative risk factors were considered and discussed, looking at track-record and forecasts. </w:t>
            </w:r>
          </w:p>
          <w:p w14:paraId="25A038AD"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The committee's assessment of the key rating factors is reflected in the Ratings Score Snapshot above. </w:t>
            </w:r>
          </w:p>
          <w:p w14:paraId="0EAB1BC5"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The chair ensured every voting member was given the opportunity to articulate his/her opinion. The chair or designee reviewed the draft report to ensure consistency with the Committee decision. The views and the decision of the rating committee are summarized in the above rationale and outlook. The weighting of all rating factors is described in the methodology used in this rating action (see 'Related Criteria </w:t>
            </w:r>
            <w:proofErr w:type="gramStart"/>
            <w:r w:rsidRPr="006439CC">
              <w:rPr>
                <w:rFonts w:ascii="Arial" w:eastAsia="Calibri" w:hAnsi="Arial" w:cs="Arial"/>
                <w:sz w:val="18"/>
                <w:szCs w:val="18"/>
                <w:lang w:eastAsia="en-ZA"/>
              </w:rPr>
              <w:t>And</w:t>
            </w:r>
            <w:proofErr w:type="gramEnd"/>
            <w:r w:rsidRPr="006439CC">
              <w:rPr>
                <w:rFonts w:ascii="Arial" w:eastAsia="Calibri" w:hAnsi="Arial" w:cs="Arial"/>
                <w:sz w:val="18"/>
                <w:szCs w:val="18"/>
                <w:lang w:eastAsia="en-ZA"/>
              </w:rPr>
              <w:t xml:space="preserve"> Research'). </w:t>
            </w:r>
          </w:p>
          <w:p w14:paraId="5554FCA7" w14:textId="77777777" w:rsidR="006439CC" w:rsidRPr="006439CC" w:rsidRDefault="006439CC" w:rsidP="006439CC">
            <w:pPr>
              <w:spacing w:before="30" w:after="45" w:line="240" w:lineRule="auto"/>
              <w:rPr>
                <w:rFonts w:ascii="Arial" w:eastAsia="Calibri" w:hAnsi="Arial" w:cs="Arial"/>
                <w:b/>
                <w:bCs/>
                <w:color w:val="CC0033"/>
                <w:lang w:eastAsia="en-ZA"/>
              </w:rPr>
            </w:pPr>
            <w:r w:rsidRPr="006439CC">
              <w:rPr>
                <w:rFonts w:ascii="Arial" w:eastAsia="Calibri" w:hAnsi="Arial" w:cs="Arial"/>
                <w:b/>
                <w:bCs/>
                <w:color w:val="CC0033"/>
                <w:lang w:eastAsia="en-ZA"/>
              </w:rPr>
              <w:lastRenderedPageBreak/>
              <w:t>Ratings List</w:t>
            </w:r>
          </w:p>
          <w:tbl>
            <w:tblPr>
              <w:tblW w:w="0" w:type="auto"/>
              <w:tblCellSpacing w:w="0" w:type="dxa"/>
              <w:tblCellMar>
                <w:left w:w="0" w:type="dxa"/>
                <w:right w:w="0" w:type="dxa"/>
              </w:tblCellMar>
              <w:tblLook w:val="04A0" w:firstRow="1" w:lastRow="0" w:firstColumn="1" w:lastColumn="0" w:noHBand="0" w:noVBand="1"/>
            </w:tblPr>
            <w:tblGrid>
              <w:gridCol w:w="4140"/>
              <w:gridCol w:w="1526"/>
              <w:gridCol w:w="125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6439CC" w:rsidRPr="006439CC" w14:paraId="59EE1D21" w14:textId="77777777">
              <w:trPr>
                <w:tblCellSpacing w:w="0" w:type="dxa"/>
              </w:trPr>
              <w:tc>
                <w:tcPr>
                  <w:tcW w:w="0" w:type="auto"/>
                  <w:gridSpan w:val="62"/>
                  <w:vAlign w:val="center"/>
                  <w:hideMark/>
                </w:tcPr>
                <w:p w14:paraId="386D7354" w14:textId="77777777" w:rsidR="006439CC" w:rsidRPr="006439CC" w:rsidRDefault="006439CC" w:rsidP="006439CC">
                  <w:pPr>
                    <w:spacing w:after="180" w:line="240" w:lineRule="auto"/>
                    <w:rPr>
                      <w:rFonts w:ascii="Times New Roman" w:eastAsia="Calibri" w:hAnsi="Times New Roman" w:cs="Times New Roman"/>
                      <w:sz w:val="24"/>
                      <w:szCs w:val="24"/>
                      <w:lang w:eastAsia="en-ZA"/>
                    </w:rPr>
                  </w:pPr>
                  <w:hyperlink r:id="rId14" w:tgtFrame="_new" w:history="1">
                    <w:r w:rsidRPr="006439CC">
                      <w:rPr>
                        <w:rFonts w:ascii="Arial" w:eastAsia="Calibri" w:hAnsi="Arial" w:cs="Arial"/>
                        <w:b/>
                        <w:bCs/>
                        <w:color w:val="0088CC"/>
                        <w:sz w:val="18"/>
                        <w:szCs w:val="18"/>
                        <w:lang w:eastAsia="en-ZA"/>
                      </w:rPr>
                      <w:t>Download Table</w:t>
                    </w:r>
                  </w:hyperlink>
                </w:p>
              </w:tc>
            </w:tr>
            <w:tr w:rsidR="006439CC" w:rsidRPr="006439CC" w14:paraId="6F6BCC01" w14:textId="77777777">
              <w:trPr>
                <w:tblCellSpacing w:w="0" w:type="dxa"/>
              </w:trPr>
              <w:tc>
                <w:tcPr>
                  <w:tcW w:w="0" w:type="auto"/>
                  <w:vAlign w:val="center"/>
                  <w:hideMark/>
                </w:tcPr>
                <w:p w14:paraId="1EE05CFF" w14:textId="77777777" w:rsidR="006439CC" w:rsidRPr="006439CC" w:rsidRDefault="006439CC" w:rsidP="006439CC">
                  <w:pPr>
                    <w:spacing w:after="0" w:line="240" w:lineRule="auto"/>
                    <w:rPr>
                      <w:rFonts w:ascii="Times New Roman" w:eastAsia="Calibri" w:hAnsi="Times New Roman" w:cs="Times New Roman"/>
                      <w:sz w:val="24"/>
                      <w:szCs w:val="24"/>
                      <w:lang w:eastAsia="en-ZA"/>
                    </w:rPr>
                  </w:pPr>
                </w:p>
              </w:tc>
              <w:tc>
                <w:tcPr>
                  <w:tcW w:w="0" w:type="auto"/>
                  <w:vAlign w:val="center"/>
                  <w:hideMark/>
                </w:tcPr>
                <w:p w14:paraId="205C6C9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4BEC16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50EA9D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E968EF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0F8AA1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EA161C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0312F6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9F4E12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26F7C4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A00609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B86CA7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D12EF7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A79317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66AC97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9BEC48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68625D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365946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AF9EB5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0C7030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DCB54C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C80CD4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44F2AD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C2AD64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26BB57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91D753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A278B4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A175F7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DB619F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E0E17D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DB5F63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8B364A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529889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5695FC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68CDA4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49E55A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94866D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99E466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7FEF63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B397DC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79BA35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8D6559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19D530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B87D61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52DFFF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0C149A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233318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0FF17A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53B29D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9C0716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6CBE09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67344E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F2792D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C39D13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11B4BC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F35BD6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BAFB1D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E458ED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D86C2B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5E9188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A5E233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87AF09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0674E15A" w14:textId="77777777">
              <w:trPr>
                <w:tblCellSpacing w:w="0" w:type="dxa"/>
              </w:trPr>
              <w:tc>
                <w:tcPr>
                  <w:tcW w:w="0" w:type="auto"/>
                  <w:tcMar>
                    <w:top w:w="45" w:type="dxa"/>
                    <w:left w:w="90" w:type="dxa"/>
                    <w:bottom w:w="45" w:type="dxa"/>
                    <w:right w:w="90" w:type="dxa"/>
                  </w:tcMar>
                  <w:vAlign w:val="center"/>
                  <w:hideMark/>
                </w:tcPr>
                <w:p w14:paraId="157E40B2" w14:textId="77777777" w:rsidR="006439CC" w:rsidRPr="006439CC" w:rsidRDefault="006439CC" w:rsidP="006439CC">
                  <w:pPr>
                    <w:spacing w:after="180" w:line="240" w:lineRule="auto"/>
                    <w:rPr>
                      <w:rFonts w:ascii="Arial" w:eastAsia="Calibri" w:hAnsi="Arial" w:cs="Arial"/>
                      <w:b/>
                      <w:bCs/>
                      <w:sz w:val="18"/>
                      <w:szCs w:val="18"/>
                      <w:lang w:eastAsia="en-ZA"/>
                    </w:rPr>
                  </w:pPr>
                  <w:r w:rsidRPr="006439CC">
                    <w:rPr>
                      <w:rFonts w:ascii="Arial" w:eastAsia="Calibri" w:hAnsi="Arial" w:cs="Arial"/>
                      <w:b/>
                      <w:bCs/>
                      <w:sz w:val="18"/>
                      <w:szCs w:val="18"/>
                      <w:lang w:eastAsia="en-ZA"/>
                    </w:rPr>
                    <w:t>Ratings Affirmed; CreditWatch/Outlook Action</w:t>
                  </w:r>
                </w:p>
              </w:tc>
              <w:tc>
                <w:tcPr>
                  <w:tcW w:w="0" w:type="auto"/>
                  <w:tcMar>
                    <w:top w:w="45" w:type="dxa"/>
                    <w:left w:w="0" w:type="dxa"/>
                    <w:bottom w:w="45" w:type="dxa"/>
                    <w:right w:w="0" w:type="dxa"/>
                  </w:tcMar>
                  <w:vAlign w:val="center"/>
                  <w:hideMark/>
                </w:tcPr>
                <w:p w14:paraId="2784A9BC" w14:textId="77777777" w:rsidR="006439CC" w:rsidRPr="006439CC" w:rsidRDefault="006439CC" w:rsidP="006439CC">
                  <w:pPr>
                    <w:spacing w:after="0" w:line="240" w:lineRule="auto"/>
                    <w:rPr>
                      <w:rFonts w:ascii="Arial" w:eastAsia="Calibri" w:hAnsi="Arial" w:cs="Arial"/>
                      <w:b/>
                      <w:bCs/>
                      <w:sz w:val="18"/>
                      <w:szCs w:val="18"/>
                      <w:lang w:eastAsia="en-ZA"/>
                    </w:rPr>
                  </w:pPr>
                </w:p>
              </w:tc>
              <w:tc>
                <w:tcPr>
                  <w:tcW w:w="0" w:type="auto"/>
                  <w:tcMar>
                    <w:top w:w="45" w:type="dxa"/>
                    <w:left w:w="0" w:type="dxa"/>
                    <w:bottom w:w="45" w:type="dxa"/>
                    <w:right w:w="0" w:type="dxa"/>
                  </w:tcMar>
                  <w:vAlign w:val="center"/>
                  <w:hideMark/>
                </w:tcPr>
                <w:p w14:paraId="2770463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941CF2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CB4964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6F5375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8581A5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6F7FF8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312E28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688C12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768231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117A66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3570D2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DA0DF0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F97B53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A0F5A3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A03DC8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12FC88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12D111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8F5EA6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D2EACE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2ACDC1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C84FA1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47BD92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E46132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15A315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C238C7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AD1152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225C06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D5308A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57FFBA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9E73C9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70B784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E11B0A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7B1E7D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F188E7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C1DE66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21E188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7A0A61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910F4D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A8E7C5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745802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051605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CEA724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92DF05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26B3CA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703ED0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CA9DFA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BF5813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46A6DA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1FD574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F099D0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ED8E5E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1F8FE7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847584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41259F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F12E93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38AE16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1F67CF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82416D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B8E435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BBB95F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64C1A52C" w14:textId="77777777">
              <w:trPr>
                <w:tblCellSpacing w:w="0" w:type="dxa"/>
              </w:trPr>
              <w:tc>
                <w:tcPr>
                  <w:tcW w:w="0" w:type="auto"/>
                  <w:shd w:val="clear" w:color="auto" w:fill="EFEFEF"/>
                  <w:tcMar>
                    <w:top w:w="45" w:type="dxa"/>
                    <w:left w:w="0" w:type="dxa"/>
                    <w:bottom w:w="45" w:type="dxa"/>
                    <w:right w:w="0" w:type="dxa"/>
                  </w:tcMar>
                  <w:vAlign w:val="center"/>
                  <w:hideMark/>
                </w:tcPr>
                <w:p w14:paraId="4CF5EB2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tcMar>
                    <w:top w:w="45" w:type="dxa"/>
                    <w:left w:w="90" w:type="dxa"/>
                    <w:bottom w:w="45" w:type="dxa"/>
                    <w:right w:w="90" w:type="dxa"/>
                  </w:tcMar>
                  <w:vAlign w:val="center"/>
                  <w:hideMark/>
                </w:tcPr>
                <w:p w14:paraId="114AE627" w14:textId="77777777" w:rsidR="006439CC" w:rsidRPr="006439CC" w:rsidRDefault="006439CC" w:rsidP="006439CC">
                  <w:pPr>
                    <w:spacing w:after="180" w:line="240" w:lineRule="auto"/>
                    <w:rPr>
                      <w:rFonts w:ascii="Arial" w:eastAsia="Calibri" w:hAnsi="Arial" w:cs="Arial"/>
                      <w:b/>
                      <w:bCs/>
                      <w:sz w:val="18"/>
                      <w:szCs w:val="18"/>
                      <w:lang w:eastAsia="en-ZA"/>
                    </w:rPr>
                  </w:pPr>
                  <w:r w:rsidRPr="006439CC">
                    <w:rPr>
                      <w:rFonts w:ascii="Arial" w:eastAsia="Calibri" w:hAnsi="Arial" w:cs="Arial"/>
                      <w:b/>
                      <w:bCs/>
                      <w:color w:val="000000"/>
                      <w:sz w:val="18"/>
                      <w:szCs w:val="18"/>
                      <w:lang w:eastAsia="en-ZA"/>
                    </w:rPr>
                    <w:t>To</w:t>
                  </w:r>
                </w:p>
              </w:tc>
              <w:tc>
                <w:tcPr>
                  <w:tcW w:w="0" w:type="auto"/>
                  <w:shd w:val="clear" w:color="auto" w:fill="EFEFEF"/>
                  <w:tcMar>
                    <w:top w:w="45" w:type="dxa"/>
                    <w:left w:w="90" w:type="dxa"/>
                    <w:bottom w:w="45" w:type="dxa"/>
                    <w:right w:w="90" w:type="dxa"/>
                  </w:tcMar>
                  <w:vAlign w:val="center"/>
                  <w:hideMark/>
                </w:tcPr>
                <w:p w14:paraId="016C1560" w14:textId="77777777" w:rsidR="006439CC" w:rsidRPr="006439CC" w:rsidRDefault="006439CC" w:rsidP="006439CC">
                  <w:pPr>
                    <w:spacing w:after="180" w:line="240" w:lineRule="auto"/>
                    <w:rPr>
                      <w:rFonts w:ascii="Arial" w:eastAsia="Calibri" w:hAnsi="Arial" w:cs="Arial"/>
                      <w:b/>
                      <w:bCs/>
                      <w:sz w:val="18"/>
                      <w:szCs w:val="18"/>
                      <w:lang w:eastAsia="en-ZA"/>
                    </w:rPr>
                  </w:pPr>
                  <w:r w:rsidRPr="006439CC">
                    <w:rPr>
                      <w:rFonts w:ascii="Arial" w:eastAsia="Calibri" w:hAnsi="Arial" w:cs="Arial"/>
                      <w:b/>
                      <w:bCs/>
                      <w:color w:val="000000"/>
                      <w:sz w:val="18"/>
                      <w:szCs w:val="18"/>
                      <w:lang w:eastAsia="en-ZA"/>
                    </w:rPr>
                    <w:t>From</w:t>
                  </w:r>
                </w:p>
              </w:tc>
              <w:tc>
                <w:tcPr>
                  <w:tcW w:w="0" w:type="auto"/>
                  <w:shd w:val="clear" w:color="auto" w:fill="EFEFEF"/>
                  <w:vAlign w:val="center"/>
                  <w:hideMark/>
                </w:tcPr>
                <w:p w14:paraId="2A7CC7FD" w14:textId="77777777" w:rsidR="006439CC" w:rsidRPr="006439CC" w:rsidRDefault="006439CC" w:rsidP="006439CC">
                  <w:pPr>
                    <w:spacing w:after="0" w:line="240" w:lineRule="auto"/>
                    <w:rPr>
                      <w:rFonts w:ascii="Arial" w:eastAsia="Calibri" w:hAnsi="Arial" w:cs="Arial"/>
                      <w:b/>
                      <w:bCs/>
                      <w:sz w:val="18"/>
                      <w:szCs w:val="18"/>
                      <w:lang w:eastAsia="en-ZA"/>
                    </w:rPr>
                  </w:pPr>
                </w:p>
              </w:tc>
              <w:tc>
                <w:tcPr>
                  <w:tcW w:w="0" w:type="auto"/>
                  <w:shd w:val="clear" w:color="auto" w:fill="EFEFEF"/>
                  <w:vAlign w:val="center"/>
                  <w:hideMark/>
                </w:tcPr>
                <w:p w14:paraId="1010ECA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453D3C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EEFE98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4DE775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595579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D4F0A6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C4F38F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648EE8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6F3EE4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70A464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03816F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2D612D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99EA24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5C3FFD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B39CB1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3312D3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0A0543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1CAEB5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0B4298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AA9D24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FF3893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CE2C92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34BF1C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386340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E8601B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5FCFD9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59A16A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362C08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E80008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FA1625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D472E0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EBE7F4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D2525C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5260C9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FBEE96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A0C223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E89EBC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C28046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63E5AC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12C8EE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57235B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98471F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916116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EA6D7D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1B22B4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B32AE5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25702E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F16C32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749F00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A8A519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768591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92F3F7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4A1BBB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BAAA03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BD11DE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074B1C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7D52C7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817666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0647B781" w14:textId="77777777">
              <w:trPr>
                <w:tblCellSpacing w:w="0" w:type="dxa"/>
              </w:trPr>
              <w:tc>
                <w:tcPr>
                  <w:tcW w:w="0" w:type="auto"/>
                  <w:gridSpan w:val="62"/>
                  <w:tcMar>
                    <w:top w:w="45" w:type="dxa"/>
                    <w:left w:w="90" w:type="dxa"/>
                    <w:bottom w:w="45" w:type="dxa"/>
                    <w:right w:w="90" w:type="dxa"/>
                  </w:tcMar>
                  <w:vAlign w:val="center"/>
                  <w:hideMark/>
                </w:tcPr>
                <w:p w14:paraId="73EA8044" w14:textId="77777777" w:rsidR="006439CC" w:rsidRPr="006439CC" w:rsidRDefault="006439CC" w:rsidP="006439CC">
                  <w:pPr>
                    <w:spacing w:after="0" w:line="240" w:lineRule="auto"/>
                    <w:rPr>
                      <w:rFonts w:ascii="Arial" w:eastAsia="Calibri" w:hAnsi="Arial" w:cs="Arial"/>
                      <w:b/>
                      <w:bCs/>
                      <w:sz w:val="18"/>
                      <w:szCs w:val="18"/>
                      <w:lang w:eastAsia="en-ZA"/>
                    </w:rPr>
                  </w:pPr>
                  <w:hyperlink r:id="rId15" w:tgtFrame="_new" w:history="1">
                    <w:r w:rsidRPr="006439CC">
                      <w:rPr>
                        <w:rFonts w:ascii="Arial" w:eastAsia="Calibri" w:hAnsi="Arial" w:cs="Arial"/>
                        <w:b/>
                        <w:bCs/>
                        <w:color w:val="0088CC"/>
                        <w:sz w:val="18"/>
                        <w:szCs w:val="18"/>
                        <w:lang w:eastAsia="en-ZA"/>
                      </w:rPr>
                      <w:t>South Africa</w:t>
                    </w:r>
                  </w:hyperlink>
                </w:p>
              </w:tc>
            </w:tr>
            <w:tr w:rsidR="006439CC" w:rsidRPr="006439CC" w14:paraId="6D9A3A07" w14:textId="77777777">
              <w:trPr>
                <w:tblCellSpacing w:w="0" w:type="dxa"/>
              </w:trPr>
              <w:tc>
                <w:tcPr>
                  <w:tcW w:w="0" w:type="auto"/>
                  <w:shd w:val="clear" w:color="auto" w:fill="EFEFEF"/>
                  <w:tcMar>
                    <w:top w:w="45" w:type="dxa"/>
                    <w:left w:w="180" w:type="dxa"/>
                    <w:bottom w:w="45" w:type="dxa"/>
                    <w:right w:w="0" w:type="dxa"/>
                  </w:tcMar>
                  <w:vAlign w:val="center"/>
                  <w:hideMark/>
                </w:tcPr>
                <w:p w14:paraId="08577AA7"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Sovereign Credit Rating</w:t>
                  </w:r>
                </w:p>
              </w:tc>
              <w:tc>
                <w:tcPr>
                  <w:tcW w:w="0" w:type="auto"/>
                  <w:shd w:val="clear" w:color="auto" w:fill="EFEFEF"/>
                  <w:tcMar>
                    <w:top w:w="45" w:type="dxa"/>
                    <w:left w:w="0" w:type="dxa"/>
                    <w:bottom w:w="45" w:type="dxa"/>
                    <w:right w:w="0" w:type="dxa"/>
                  </w:tcMar>
                  <w:vAlign w:val="center"/>
                  <w:hideMark/>
                </w:tcPr>
                <w:p w14:paraId="1F090148"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tcMar>
                    <w:top w:w="45" w:type="dxa"/>
                    <w:left w:w="0" w:type="dxa"/>
                    <w:bottom w:w="45" w:type="dxa"/>
                    <w:right w:w="0" w:type="dxa"/>
                  </w:tcMar>
                  <w:vAlign w:val="center"/>
                  <w:hideMark/>
                </w:tcPr>
                <w:p w14:paraId="3782EBD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49F6CC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31CF2E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8A01F6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1E179D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20B717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C0CA59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C39770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39769C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2C2FB3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D2B949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BEF4BA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63527D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0475B7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C8CF30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654CEC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E8D83B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602814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927835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BE6CA6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FEF4F1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ABA33B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45EF82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A63CA7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15BE5B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D88822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8F723B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C21C06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5DF0D9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919B33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9FD693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9BA8F8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521873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24BFF3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88A1B4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5460F7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BCB644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4D2C5C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4FAD9F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688645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97E63B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0C4B5A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579B4D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91B688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B86193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28303B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732530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0A9162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1C4B13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1D0326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B2B3B1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486C3B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10FF01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B7A98A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93FAAB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A84289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B15C5A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D4B81B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4BCF7B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07903F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48D137BC" w14:textId="77777777">
              <w:trPr>
                <w:tblCellSpacing w:w="0" w:type="dxa"/>
              </w:trPr>
              <w:tc>
                <w:tcPr>
                  <w:tcW w:w="0" w:type="auto"/>
                  <w:tcMar>
                    <w:top w:w="45" w:type="dxa"/>
                    <w:left w:w="300" w:type="dxa"/>
                    <w:bottom w:w="45" w:type="dxa"/>
                    <w:right w:w="0" w:type="dxa"/>
                  </w:tcMar>
                  <w:vAlign w:val="center"/>
                  <w:hideMark/>
                </w:tcPr>
                <w:p w14:paraId="50B0FEFA"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Foreign Currency</w:t>
                  </w:r>
                </w:p>
              </w:tc>
              <w:tc>
                <w:tcPr>
                  <w:tcW w:w="0" w:type="auto"/>
                  <w:tcMar>
                    <w:top w:w="45" w:type="dxa"/>
                    <w:left w:w="90" w:type="dxa"/>
                    <w:bottom w:w="45" w:type="dxa"/>
                    <w:right w:w="90" w:type="dxa"/>
                  </w:tcMar>
                  <w:vAlign w:val="center"/>
                  <w:hideMark/>
                </w:tcPr>
                <w:p w14:paraId="31328DF8"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BB/Negative/B</w:t>
                  </w:r>
                </w:p>
              </w:tc>
              <w:tc>
                <w:tcPr>
                  <w:tcW w:w="0" w:type="auto"/>
                  <w:tcMar>
                    <w:top w:w="45" w:type="dxa"/>
                    <w:left w:w="90" w:type="dxa"/>
                    <w:bottom w:w="45" w:type="dxa"/>
                    <w:right w:w="90" w:type="dxa"/>
                  </w:tcMar>
                  <w:vAlign w:val="center"/>
                  <w:hideMark/>
                </w:tcPr>
                <w:p w14:paraId="7B7D3211"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BB/Stable/B</w:t>
                  </w:r>
                </w:p>
              </w:tc>
              <w:tc>
                <w:tcPr>
                  <w:tcW w:w="0" w:type="auto"/>
                  <w:vAlign w:val="center"/>
                  <w:hideMark/>
                </w:tcPr>
                <w:p w14:paraId="0CF6A140"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6C94DD7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60096B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FA3A43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3DF4D0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89B2CB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40EFED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E5229F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12179C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C49508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3A2722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A03183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3C4D71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17C506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925E22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D61BE5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9D111F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4A9EC5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5DCC2B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1278D2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55FB9E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46AF85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6C597A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557426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F9C0CE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0A750A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DCD2D7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3562D8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C1DAB9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94DDE4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B55631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5C781F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1D27A7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2B0D98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595257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5CC47B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8E8E5E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9C8399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1552C1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B88717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C752A7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5EBAB7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D1ECF7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2093DF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79B797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28E7A7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EFC99E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BA8B34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1F31AA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651C99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AB0632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BD998C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5C6E58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A615B9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402A17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3FA341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0AE387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6B917B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5CF328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7AB7108D" w14:textId="77777777">
              <w:trPr>
                <w:tblCellSpacing w:w="0" w:type="dxa"/>
              </w:trPr>
              <w:tc>
                <w:tcPr>
                  <w:tcW w:w="0" w:type="auto"/>
                  <w:shd w:val="clear" w:color="auto" w:fill="EFEFEF"/>
                  <w:tcMar>
                    <w:top w:w="45" w:type="dxa"/>
                    <w:left w:w="300" w:type="dxa"/>
                    <w:bottom w:w="45" w:type="dxa"/>
                    <w:right w:w="0" w:type="dxa"/>
                  </w:tcMar>
                  <w:vAlign w:val="center"/>
                  <w:hideMark/>
                </w:tcPr>
                <w:p w14:paraId="1D53FBF8"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Local Currency</w:t>
                  </w:r>
                </w:p>
              </w:tc>
              <w:tc>
                <w:tcPr>
                  <w:tcW w:w="0" w:type="auto"/>
                  <w:shd w:val="clear" w:color="auto" w:fill="EFEFEF"/>
                  <w:tcMar>
                    <w:top w:w="45" w:type="dxa"/>
                    <w:left w:w="90" w:type="dxa"/>
                    <w:bottom w:w="45" w:type="dxa"/>
                    <w:right w:w="90" w:type="dxa"/>
                  </w:tcMar>
                  <w:vAlign w:val="center"/>
                  <w:hideMark/>
                </w:tcPr>
                <w:p w14:paraId="39F61650"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BB+/Negative/B</w:t>
                  </w:r>
                </w:p>
              </w:tc>
              <w:tc>
                <w:tcPr>
                  <w:tcW w:w="0" w:type="auto"/>
                  <w:shd w:val="clear" w:color="auto" w:fill="EFEFEF"/>
                  <w:tcMar>
                    <w:top w:w="45" w:type="dxa"/>
                    <w:left w:w="90" w:type="dxa"/>
                    <w:bottom w:w="45" w:type="dxa"/>
                    <w:right w:w="90" w:type="dxa"/>
                  </w:tcMar>
                  <w:vAlign w:val="center"/>
                  <w:hideMark/>
                </w:tcPr>
                <w:p w14:paraId="30C2BDE6"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BB+/Stable/B</w:t>
                  </w:r>
                </w:p>
              </w:tc>
              <w:tc>
                <w:tcPr>
                  <w:tcW w:w="0" w:type="auto"/>
                  <w:shd w:val="clear" w:color="auto" w:fill="EFEFEF"/>
                  <w:vAlign w:val="center"/>
                  <w:hideMark/>
                </w:tcPr>
                <w:p w14:paraId="39FBFB4B"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12E444D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A30ADD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88ACA0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F74769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1F6136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8528DF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21CFDC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D403B8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43825B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90B097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777C28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86D63E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79F09C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B472E9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4D28CF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C77291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26F274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D4287D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C61192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40F61F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D2DDDF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3A8AD7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91451B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B8F303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F38C4C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FE2059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CFD895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58B72E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1C3D1A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04E9CF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2E819B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D2ED8F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9458B7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C0510A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95CB32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450D85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C89971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577353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94228C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A21FB1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4AA2A5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F276A6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628E11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950A8C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668415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8A0BA3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915C97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3DEDE7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809DF0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DBD571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3C422B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674BA6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71F8E7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0A8E95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B0D339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480A7B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6AE96A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2D684F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48EB7029" w14:textId="77777777">
              <w:trPr>
                <w:tblCellSpacing w:w="0" w:type="dxa"/>
              </w:trPr>
              <w:tc>
                <w:tcPr>
                  <w:tcW w:w="0" w:type="auto"/>
                  <w:tcMar>
                    <w:top w:w="45" w:type="dxa"/>
                    <w:left w:w="90" w:type="dxa"/>
                    <w:bottom w:w="45" w:type="dxa"/>
                    <w:right w:w="90" w:type="dxa"/>
                  </w:tcMar>
                  <w:vAlign w:val="center"/>
                  <w:hideMark/>
                </w:tcPr>
                <w:p w14:paraId="5C02ECDB" w14:textId="77777777" w:rsidR="006439CC" w:rsidRPr="006439CC" w:rsidRDefault="006439CC" w:rsidP="006439CC">
                  <w:pPr>
                    <w:spacing w:after="0" w:line="240" w:lineRule="auto"/>
                    <w:rPr>
                      <w:rFonts w:ascii="Arial" w:eastAsia="Calibri" w:hAnsi="Arial" w:cs="Arial"/>
                      <w:b/>
                      <w:bCs/>
                      <w:sz w:val="18"/>
                      <w:szCs w:val="18"/>
                      <w:lang w:eastAsia="en-ZA"/>
                    </w:rPr>
                  </w:pPr>
                  <w:r w:rsidRPr="006439CC">
                    <w:rPr>
                      <w:rFonts w:ascii="Arial" w:eastAsia="Calibri" w:hAnsi="Arial" w:cs="Arial"/>
                      <w:b/>
                      <w:bCs/>
                      <w:sz w:val="18"/>
                      <w:szCs w:val="18"/>
                      <w:lang w:eastAsia="en-ZA"/>
                    </w:rPr>
                    <w:t>Ratings Affirmed</w:t>
                  </w:r>
                </w:p>
              </w:tc>
              <w:tc>
                <w:tcPr>
                  <w:tcW w:w="0" w:type="auto"/>
                  <w:tcMar>
                    <w:top w:w="45" w:type="dxa"/>
                    <w:left w:w="0" w:type="dxa"/>
                    <w:bottom w:w="45" w:type="dxa"/>
                    <w:right w:w="0" w:type="dxa"/>
                  </w:tcMar>
                  <w:vAlign w:val="center"/>
                  <w:hideMark/>
                </w:tcPr>
                <w:p w14:paraId="7745733C" w14:textId="77777777" w:rsidR="006439CC" w:rsidRPr="006439CC" w:rsidRDefault="006439CC" w:rsidP="006439CC">
                  <w:pPr>
                    <w:spacing w:after="0" w:line="240" w:lineRule="auto"/>
                    <w:rPr>
                      <w:rFonts w:ascii="Arial" w:eastAsia="Calibri" w:hAnsi="Arial" w:cs="Arial"/>
                      <w:b/>
                      <w:bCs/>
                      <w:sz w:val="18"/>
                      <w:szCs w:val="18"/>
                      <w:lang w:eastAsia="en-ZA"/>
                    </w:rPr>
                  </w:pPr>
                </w:p>
              </w:tc>
              <w:tc>
                <w:tcPr>
                  <w:tcW w:w="0" w:type="auto"/>
                  <w:tcMar>
                    <w:top w:w="45" w:type="dxa"/>
                    <w:left w:w="0" w:type="dxa"/>
                    <w:bottom w:w="45" w:type="dxa"/>
                    <w:right w:w="0" w:type="dxa"/>
                  </w:tcMar>
                  <w:vAlign w:val="center"/>
                  <w:hideMark/>
                </w:tcPr>
                <w:p w14:paraId="3E62B14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B3864A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D7B70A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39CAF6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D02A17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8F94D4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F15E6E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648AE9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D5DF1C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81137D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798C13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A397A6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A1A95D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8F2542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394601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E367A0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AF3BF6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4018A2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A1D266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B56EE0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0F717C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25809D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67DF05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87B24A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739369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8EF18B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794F01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7CC602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690926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34E418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C34C16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EEC022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F1B706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AB4F2C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AD23BF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E54639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67DED1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7FDD65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0147D8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D21820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98657C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1E161B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E6E010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D29F35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D69E26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21F0BB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C1243C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3BEF54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FD438F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B9996C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E3AE5C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48CE83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CB479C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2B119F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F3EF66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D805C3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05E485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C0987A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4A5A99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2671DB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65E6A41E" w14:textId="77777777">
              <w:trPr>
                <w:tblCellSpacing w:w="0" w:type="dxa"/>
              </w:trPr>
              <w:tc>
                <w:tcPr>
                  <w:tcW w:w="0" w:type="auto"/>
                  <w:gridSpan w:val="62"/>
                  <w:shd w:val="clear" w:color="auto" w:fill="EFEFEF"/>
                  <w:tcMar>
                    <w:top w:w="45" w:type="dxa"/>
                    <w:left w:w="90" w:type="dxa"/>
                    <w:bottom w:w="45" w:type="dxa"/>
                    <w:right w:w="90" w:type="dxa"/>
                  </w:tcMar>
                  <w:vAlign w:val="center"/>
                  <w:hideMark/>
                </w:tcPr>
                <w:p w14:paraId="0B3AB2B6" w14:textId="77777777" w:rsidR="006439CC" w:rsidRPr="006439CC" w:rsidRDefault="006439CC" w:rsidP="006439CC">
                  <w:pPr>
                    <w:spacing w:after="0" w:line="240" w:lineRule="auto"/>
                    <w:rPr>
                      <w:rFonts w:ascii="Arial" w:eastAsia="Calibri" w:hAnsi="Arial" w:cs="Arial"/>
                      <w:b/>
                      <w:bCs/>
                      <w:sz w:val="18"/>
                      <w:szCs w:val="18"/>
                      <w:lang w:eastAsia="en-ZA"/>
                    </w:rPr>
                  </w:pPr>
                  <w:hyperlink r:id="rId16" w:tgtFrame="_new" w:history="1">
                    <w:r w:rsidRPr="006439CC">
                      <w:rPr>
                        <w:rFonts w:ascii="Arial" w:eastAsia="Calibri" w:hAnsi="Arial" w:cs="Arial"/>
                        <w:b/>
                        <w:bCs/>
                        <w:color w:val="0088CC"/>
                        <w:sz w:val="18"/>
                        <w:szCs w:val="18"/>
                        <w:lang w:eastAsia="en-ZA"/>
                      </w:rPr>
                      <w:t>South Africa</w:t>
                    </w:r>
                  </w:hyperlink>
                </w:p>
              </w:tc>
            </w:tr>
            <w:tr w:rsidR="006439CC" w:rsidRPr="006439CC" w14:paraId="63A5C9FB" w14:textId="77777777">
              <w:trPr>
                <w:tblCellSpacing w:w="0" w:type="dxa"/>
              </w:trPr>
              <w:tc>
                <w:tcPr>
                  <w:tcW w:w="0" w:type="auto"/>
                  <w:tcMar>
                    <w:top w:w="45" w:type="dxa"/>
                    <w:left w:w="180" w:type="dxa"/>
                    <w:bottom w:w="45" w:type="dxa"/>
                    <w:right w:w="0" w:type="dxa"/>
                  </w:tcMar>
                  <w:vAlign w:val="center"/>
                  <w:hideMark/>
                </w:tcPr>
                <w:p w14:paraId="5C32EEFC"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Sovereign Credit Rating</w:t>
                  </w:r>
                </w:p>
              </w:tc>
              <w:tc>
                <w:tcPr>
                  <w:tcW w:w="0" w:type="auto"/>
                  <w:tcMar>
                    <w:top w:w="45" w:type="dxa"/>
                    <w:left w:w="0" w:type="dxa"/>
                    <w:bottom w:w="45" w:type="dxa"/>
                    <w:right w:w="0" w:type="dxa"/>
                  </w:tcMar>
                  <w:vAlign w:val="center"/>
                  <w:hideMark/>
                </w:tcPr>
                <w:p w14:paraId="29071C74"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tcMar>
                    <w:top w:w="45" w:type="dxa"/>
                    <w:left w:w="0" w:type="dxa"/>
                    <w:bottom w:w="45" w:type="dxa"/>
                    <w:right w:w="0" w:type="dxa"/>
                  </w:tcMar>
                  <w:vAlign w:val="center"/>
                  <w:hideMark/>
                </w:tcPr>
                <w:p w14:paraId="10DB5EF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AD7E96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820DD1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FCDC32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3C53B5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0822FA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D6BED1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073851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AC689D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DA2006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AF725D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673BDE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14989C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D388ED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DCC69E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607ABA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F51966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8042B7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30333B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CE4C18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EE08EF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7DA560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E2232E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107161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7E7524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04CA3D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7376FD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4C9D0A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D56C98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57DE34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984430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20D2F0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ED1E93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5EC123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C835C6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67DFEC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AA47DF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380A2B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8EE9B8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4D220A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C3A810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B73C5E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37BEDC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45DFAC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46A9E6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94C984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A7AF67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A4D49A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20F8E7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9DA572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84E7C2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5FD260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BA9AAC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7083C2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1F7703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C97D61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7FD762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1AB177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BB0849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DDAF2E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460BF99E" w14:textId="77777777">
              <w:trPr>
                <w:tblCellSpacing w:w="0" w:type="dxa"/>
              </w:trPr>
              <w:tc>
                <w:tcPr>
                  <w:tcW w:w="0" w:type="auto"/>
                  <w:shd w:val="clear" w:color="auto" w:fill="EFEFEF"/>
                  <w:tcMar>
                    <w:top w:w="45" w:type="dxa"/>
                    <w:left w:w="180" w:type="dxa"/>
                    <w:bottom w:w="45" w:type="dxa"/>
                    <w:right w:w="0" w:type="dxa"/>
                  </w:tcMar>
                  <w:vAlign w:val="center"/>
                  <w:hideMark/>
                </w:tcPr>
                <w:p w14:paraId="6A428D41"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South Africa National Scale</w:t>
                  </w:r>
                </w:p>
              </w:tc>
              <w:tc>
                <w:tcPr>
                  <w:tcW w:w="0" w:type="auto"/>
                  <w:shd w:val="clear" w:color="auto" w:fill="EFEFEF"/>
                  <w:tcMar>
                    <w:top w:w="45" w:type="dxa"/>
                    <w:left w:w="90" w:type="dxa"/>
                    <w:bottom w:w="45" w:type="dxa"/>
                    <w:right w:w="90" w:type="dxa"/>
                  </w:tcMar>
                  <w:vAlign w:val="center"/>
                  <w:hideMark/>
                </w:tcPr>
                <w:p w14:paraId="1631E61C" w14:textId="77777777" w:rsidR="006439CC" w:rsidRPr="006439CC" w:rsidRDefault="006439CC" w:rsidP="006439CC">
                  <w:pPr>
                    <w:spacing w:after="0" w:line="240" w:lineRule="auto"/>
                    <w:rPr>
                      <w:rFonts w:ascii="Arial" w:eastAsia="Calibri" w:hAnsi="Arial" w:cs="Arial"/>
                      <w:sz w:val="18"/>
                      <w:szCs w:val="18"/>
                      <w:lang w:eastAsia="en-ZA"/>
                    </w:rPr>
                  </w:pPr>
                  <w:proofErr w:type="spellStart"/>
                  <w:r w:rsidRPr="006439CC">
                    <w:rPr>
                      <w:rFonts w:ascii="Arial" w:eastAsia="Calibri" w:hAnsi="Arial" w:cs="Arial"/>
                      <w:color w:val="000000"/>
                      <w:sz w:val="18"/>
                      <w:szCs w:val="18"/>
                      <w:lang w:eastAsia="en-ZA"/>
                    </w:rPr>
                    <w:t>zaAAA</w:t>
                  </w:r>
                  <w:proofErr w:type="spellEnd"/>
                  <w:r w:rsidRPr="006439CC">
                    <w:rPr>
                      <w:rFonts w:ascii="Arial" w:eastAsia="Calibri" w:hAnsi="Arial" w:cs="Arial"/>
                      <w:color w:val="000000"/>
                      <w:sz w:val="18"/>
                      <w:szCs w:val="18"/>
                      <w:lang w:eastAsia="en-ZA"/>
                    </w:rPr>
                    <w:t>/--/zaA-1+</w:t>
                  </w:r>
                </w:p>
              </w:tc>
              <w:tc>
                <w:tcPr>
                  <w:tcW w:w="0" w:type="auto"/>
                  <w:shd w:val="clear" w:color="auto" w:fill="EFEFEF"/>
                  <w:tcMar>
                    <w:top w:w="45" w:type="dxa"/>
                    <w:left w:w="0" w:type="dxa"/>
                    <w:bottom w:w="45" w:type="dxa"/>
                    <w:right w:w="0" w:type="dxa"/>
                  </w:tcMar>
                  <w:vAlign w:val="center"/>
                  <w:hideMark/>
                </w:tcPr>
                <w:p w14:paraId="13557E71"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51E0665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8C3787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DF14B0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CD8A85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EBF904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60F299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EBA92F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6A5E2A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4F50C5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7E7401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D93A8E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4C4406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7E75AA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18D8B1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E1DC3B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6E99BC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B09A43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BEDAF0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861036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CCC480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3F51F6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DC3400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67B7B6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A39B67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319FF4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762E6A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836DC9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BBA9EB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166F1D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557F95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B05D96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A71E08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DBF063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45E32C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CCF3BD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536588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0EF153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F0D1D6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52E6E2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145D28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EAA233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016BCB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352A55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49E449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6BB097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067BAB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672715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F74052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0F6997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F6B0E9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91BFAA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16B578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E0A53E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D4187A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5FEF1F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09606D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69266F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983DB6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285E76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3BAD2B0F" w14:textId="77777777">
              <w:trPr>
                <w:tblCellSpacing w:w="0" w:type="dxa"/>
              </w:trPr>
              <w:tc>
                <w:tcPr>
                  <w:tcW w:w="0" w:type="auto"/>
                  <w:tcMar>
                    <w:top w:w="45" w:type="dxa"/>
                    <w:left w:w="180" w:type="dxa"/>
                    <w:bottom w:w="45" w:type="dxa"/>
                    <w:right w:w="0" w:type="dxa"/>
                  </w:tcMar>
                  <w:vAlign w:val="center"/>
                  <w:hideMark/>
                </w:tcPr>
                <w:p w14:paraId="54740501"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Transfer &amp; Convertibility Assessment</w:t>
                  </w:r>
                </w:p>
              </w:tc>
              <w:tc>
                <w:tcPr>
                  <w:tcW w:w="0" w:type="auto"/>
                  <w:tcMar>
                    <w:top w:w="45" w:type="dxa"/>
                    <w:left w:w="90" w:type="dxa"/>
                    <w:bottom w:w="45" w:type="dxa"/>
                    <w:right w:w="90" w:type="dxa"/>
                  </w:tcMar>
                  <w:vAlign w:val="center"/>
                  <w:hideMark/>
                </w:tcPr>
                <w:p w14:paraId="01F0D2B4"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BBB-</w:t>
                  </w:r>
                </w:p>
              </w:tc>
              <w:tc>
                <w:tcPr>
                  <w:tcW w:w="0" w:type="auto"/>
                  <w:tcMar>
                    <w:top w:w="45" w:type="dxa"/>
                    <w:left w:w="0" w:type="dxa"/>
                    <w:bottom w:w="45" w:type="dxa"/>
                    <w:right w:w="0" w:type="dxa"/>
                  </w:tcMar>
                  <w:vAlign w:val="center"/>
                  <w:hideMark/>
                </w:tcPr>
                <w:p w14:paraId="0ED006FB"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5DA8788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3244CA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29E51D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EB608B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878E7A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15C2B6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7FA665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C35C3F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5ACC8A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09B9A2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C755C9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D6E4DA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BA59AA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B2A6E6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5DA43C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16610E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3A2C32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624D40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DE7FBB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7B0AB7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FAFDEF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909433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36418C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218546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A6BBF4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295CCE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7E37A8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CE0BCD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4B8C97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0149EE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221269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CD22F7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672FF8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4C2CDF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0636AD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106C79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C23037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6495E8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7BD0B0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A5D1A8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0CEB69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53F454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752664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F2A7A5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BA3956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DA73C5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3C2271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A61E58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8AF863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0BDF1A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1ED956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289473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77CF42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FB01FD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2C3400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77AE3E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0857BE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BEED76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4CA9B1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14D07EDA" w14:textId="77777777">
              <w:trPr>
                <w:tblCellSpacing w:w="0" w:type="dxa"/>
              </w:trPr>
              <w:tc>
                <w:tcPr>
                  <w:tcW w:w="0" w:type="auto"/>
                  <w:shd w:val="clear" w:color="auto" w:fill="EFEFEF"/>
                  <w:tcMar>
                    <w:top w:w="45" w:type="dxa"/>
                    <w:left w:w="180" w:type="dxa"/>
                    <w:bottom w:w="45" w:type="dxa"/>
                    <w:right w:w="0" w:type="dxa"/>
                  </w:tcMar>
                  <w:vAlign w:val="center"/>
                  <w:hideMark/>
                </w:tcPr>
                <w:p w14:paraId="7D59A687"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Senior Unsecured</w:t>
                  </w:r>
                </w:p>
              </w:tc>
              <w:tc>
                <w:tcPr>
                  <w:tcW w:w="0" w:type="auto"/>
                  <w:shd w:val="clear" w:color="auto" w:fill="EFEFEF"/>
                  <w:tcMar>
                    <w:top w:w="45" w:type="dxa"/>
                    <w:left w:w="90" w:type="dxa"/>
                    <w:bottom w:w="45" w:type="dxa"/>
                    <w:right w:w="90" w:type="dxa"/>
                  </w:tcMar>
                  <w:vAlign w:val="center"/>
                  <w:hideMark/>
                </w:tcPr>
                <w:p w14:paraId="73567F34"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BB</w:t>
                  </w:r>
                </w:p>
              </w:tc>
              <w:tc>
                <w:tcPr>
                  <w:tcW w:w="0" w:type="auto"/>
                  <w:shd w:val="clear" w:color="auto" w:fill="EFEFEF"/>
                  <w:tcMar>
                    <w:top w:w="45" w:type="dxa"/>
                    <w:left w:w="0" w:type="dxa"/>
                    <w:bottom w:w="45" w:type="dxa"/>
                    <w:right w:w="0" w:type="dxa"/>
                  </w:tcMar>
                  <w:vAlign w:val="center"/>
                  <w:hideMark/>
                </w:tcPr>
                <w:p w14:paraId="585AD8F6"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304244F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95B706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3F4B2C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D7B6A8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2B204D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270C9D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BFBB16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1D222D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58EC10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0903B9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84A774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BCEC8D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6FAD49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FBA769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F64D24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9E4C47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850EF2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3F4802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5E5BDE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9B2F6F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1B88C6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FEE901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E1A082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7B6FB6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1D6C22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6E447E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EA7906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D5AD82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123B7E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253AB7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EE56F5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2EDFDA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F29CD3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1B251A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0F366F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4C299E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89804C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AFBD41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A03ED4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3B30A8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6A86E9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6A810A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8943A3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98A8F3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3A45FF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40312D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4F5FF0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C46336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C2E80D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F114EB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60656B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C3A85B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C27F33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3AAD1A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B3B09B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2F0243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1AA4C7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D45309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265573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53A880D9" w14:textId="77777777">
              <w:trPr>
                <w:tblCellSpacing w:w="0" w:type="dxa"/>
              </w:trPr>
              <w:tc>
                <w:tcPr>
                  <w:tcW w:w="0" w:type="auto"/>
                  <w:tcMar>
                    <w:top w:w="45" w:type="dxa"/>
                    <w:left w:w="180" w:type="dxa"/>
                    <w:bottom w:w="45" w:type="dxa"/>
                    <w:right w:w="0" w:type="dxa"/>
                  </w:tcMar>
                  <w:vAlign w:val="center"/>
                  <w:hideMark/>
                </w:tcPr>
                <w:p w14:paraId="1D9F33CF"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Senior Unsecured</w:t>
                  </w:r>
                </w:p>
              </w:tc>
              <w:tc>
                <w:tcPr>
                  <w:tcW w:w="0" w:type="auto"/>
                  <w:tcMar>
                    <w:top w:w="45" w:type="dxa"/>
                    <w:left w:w="90" w:type="dxa"/>
                    <w:bottom w:w="45" w:type="dxa"/>
                    <w:right w:w="90" w:type="dxa"/>
                  </w:tcMar>
                  <w:vAlign w:val="center"/>
                  <w:hideMark/>
                </w:tcPr>
                <w:p w14:paraId="7F935207"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BB+</w:t>
                  </w:r>
                </w:p>
              </w:tc>
              <w:tc>
                <w:tcPr>
                  <w:tcW w:w="0" w:type="auto"/>
                  <w:tcMar>
                    <w:top w:w="45" w:type="dxa"/>
                    <w:left w:w="0" w:type="dxa"/>
                    <w:bottom w:w="45" w:type="dxa"/>
                    <w:right w:w="0" w:type="dxa"/>
                  </w:tcMar>
                  <w:vAlign w:val="center"/>
                  <w:hideMark/>
                </w:tcPr>
                <w:p w14:paraId="51BEE1D5"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vAlign w:val="center"/>
                  <w:hideMark/>
                </w:tcPr>
                <w:p w14:paraId="22EA9BF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D6F438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07E6D3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D314C7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74E8D5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B918AA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98174D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66C81A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BB593F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FFA577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1F9C61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63269F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717958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ED108E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44E849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341816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30F140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47F494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22BC7C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49B9E4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1137E6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3E5353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B38871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2A2F84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11AEEB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143D9A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3020EA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0F9B41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67E23B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02C925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8F63D2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994506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9DCDCA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909C1B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6597B9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1E7688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5A316F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CB57DA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9A1C9F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ECE6E0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05F3C0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08F020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94DC1C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710A79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4FA5A8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370E41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CEB617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3D080F2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93939D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36CF55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60C53A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41F334F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2A42EF9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4EF7A1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522B50D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62CA3B4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0351CCF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7431115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vAlign w:val="center"/>
                  <w:hideMark/>
                </w:tcPr>
                <w:p w14:paraId="19725EB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3468532F" w14:textId="77777777">
              <w:trPr>
                <w:tblCellSpacing w:w="0" w:type="dxa"/>
              </w:trPr>
              <w:tc>
                <w:tcPr>
                  <w:tcW w:w="0" w:type="auto"/>
                  <w:shd w:val="clear" w:color="auto" w:fill="EFEFEF"/>
                  <w:tcMar>
                    <w:top w:w="45" w:type="dxa"/>
                    <w:left w:w="180" w:type="dxa"/>
                    <w:bottom w:w="45" w:type="dxa"/>
                    <w:right w:w="0" w:type="dxa"/>
                  </w:tcMar>
                  <w:vAlign w:val="center"/>
                  <w:hideMark/>
                </w:tcPr>
                <w:p w14:paraId="0263F408"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Senior Unsecured</w:t>
                  </w:r>
                </w:p>
              </w:tc>
              <w:tc>
                <w:tcPr>
                  <w:tcW w:w="0" w:type="auto"/>
                  <w:shd w:val="clear" w:color="auto" w:fill="EFEFEF"/>
                  <w:tcMar>
                    <w:top w:w="45" w:type="dxa"/>
                    <w:left w:w="90" w:type="dxa"/>
                    <w:bottom w:w="45" w:type="dxa"/>
                    <w:right w:w="90" w:type="dxa"/>
                  </w:tcMar>
                  <w:vAlign w:val="center"/>
                  <w:hideMark/>
                </w:tcPr>
                <w:p w14:paraId="4F95794C" w14:textId="77777777" w:rsidR="006439CC" w:rsidRPr="006439CC" w:rsidRDefault="006439CC" w:rsidP="006439CC">
                  <w:pPr>
                    <w:spacing w:after="0" w:line="240" w:lineRule="auto"/>
                    <w:rPr>
                      <w:rFonts w:ascii="Arial" w:eastAsia="Calibri" w:hAnsi="Arial" w:cs="Arial"/>
                      <w:sz w:val="18"/>
                      <w:szCs w:val="18"/>
                      <w:lang w:eastAsia="en-ZA"/>
                    </w:rPr>
                  </w:pPr>
                  <w:proofErr w:type="spellStart"/>
                  <w:r w:rsidRPr="006439CC">
                    <w:rPr>
                      <w:rFonts w:ascii="Arial" w:eastAsia="Calibri" w:hAnsi="Arial" w:cs="Arial"/>
                      <w:color w:val="000000"/>
                      <w:sz w:val="18"/>
                      <w:szCs w:val="18"/>
                      <w:lang w:eastAsia="en-ZA"/>
                    </w:rPr>
                    <w:t>zaAAA</w:t>
                  </w:r>
                  <w:proofErr w:type="spellEnd"/>
                </w:p>
              </w:tc>
              <w:tc>
                <w:tcPr>
                  <w:tcW w:w="0" w:type="auto"/>
                  <w:shd w:val="clear" w:color="auto" w:fill="EFEFEF"/>
                  <w:tcMar>
                    <w:top w:w="45" w:type="dxa"/>
                    <w:left w:w="0" w:type="dxa"/>
                    <w:bottom w:w="45" w:type="dxa"/>
                    <w:right w:w="0" w:type="dxa"/>
                  </w:tcMar>
                  <w:vAlign w:val="center"/>
                  <w:hideMark/>
                </w:tcPr>
                <w:p w14:paraId="345B40C3"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2BD055C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276899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888E30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679A17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3340E9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F21D30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FA9E1F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34F084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9FCE76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645437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A39104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A32FE6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156007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B5BDF2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E8C5E1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A0280E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D17208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B49129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D5A585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DFC9BC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EF14A1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9B4D0C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8BAAD3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C9352E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ADF0A9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9A5BA3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5E6944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9D2FA4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DD930A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02BE72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F4FD2C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4570A8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A3C4AF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613CE3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0DB564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9896EA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867EC5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5E2B6F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592417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6E6C90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EBBC87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50782A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C2B5A2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62EEAE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0F5899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6AD17A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970AC9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29B128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222727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E8D827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5D2DD2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57B1DC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F32116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ED208D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AAAD07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60C385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DD9B2D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3AF21D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0B254B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r w:rsidR="006439CC" w:rsidRPr="006439CC" w14:paraId="7D524319" w14:textId="77777777">
              <w:trPr>
                <w:tblCellSpacing w:w="0" w:type="dxa"/>
              </w:trPr>
              <w:tc>
                <w:tcPr>
                  <w:tcW w:w="0" w:type="auto"/>
                  <w:gridSpan w:val="62"/>
                  <w:tcMar>
                    <w:top w:w="45" w:type="dxa"/>
                    <w:left w:w="90" w:type="dxa"/>
                    <w:bottom w:w="45" w:type="dxa"/>
                    <w:right w:w="90" w:type="dxa"/>
                  </w:tcMar>
                  <w:vAlign w:val="center"/>
                  <w:hideMark/>
                </w:tcPr>
                <w:p w14:paraId="214C0B17" w14:textId="77777777" w:rsidR="006439CC" w:rsidRPr="006439CC" w:rsidRDefault="006439CC" w:rsidP="006439CC">
                  <w:pPr>
                    <w:spacing w:after="0" w:line="240" w:lineRule="auto"/>
                    <w:rPr>
                      <w:rFonts w:ascii="Arial" w:eastAsia="Calibri" w:hAnsi="Arial" w:cs="Arial"/>
                      <w:b/>
                      <w:bCs/>
                      <w:sz w:val="18"/>
                      <w:szCs w:val="18"/>
                      <w:lang w:eastAsia="en-ZA"/>
                    </w:rPr>
                  </w:pPr>
                  <w:hyperlink r:id="rId17" w:tgtFrame="_new" w:history="1">
                    <w:r w:rsidRPr="006439CC">
                      <w:rPr>
                        <w:rFonts w:ascii="Arial" w:eastAsia="Calibri" w:hAnsi="Arial" w:cs="Arial"/>
                        <w:b/>
                        <w:bCs/>
                        <w:color w:val="0088CC"/>
                        <w:sz w:val="18"/>
                        <w:szCs w:val="18"/>
                        <w:lang w:eastAsia="en-ZA"/>
                      </w:rPr>
                      <w:t>Republic of South Africa Sukuk No. 1 Trust</w:t>
                    </w:r>
                  </w:hyperlink>
                </w:p>
              </w:tc>
            </w:tr>
            <w:tr w:rsidR="006439CC" w:rsidRPr="006439CC" w14:paraId="06ADA5C5" w14:textId="77777777">
              <w:trPr>
                <w:tblCellSpacing w:w="0" w:type="dxa"/>
              </w:trPr>
              <w:tc>
                <w:tcPr>
                  <w:tcW w:w="0" w:type="auto"/>
                  <w:shd w:val="clear" w:color="auto" w:fill="EFEFEF"/>
                  <w:tcMar>
                    <w:top w:w="45" w:type="dxa"/>
                    <w:left w:w="180" w:type="dxa"/>
                    <w:bottom w:w="45" w:type="dxa"/>
                    <w:right w:w="0" w:type="dxa"/>
                  </w:tcMar>
                  <w:vAlign w:val="center"/>
                  <w:hideMark/>
                </w:tcPr>
                <w:p w14:paraId="57E51CCD"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Senior Unsecured</w:t>
                  </w:r>
                </w:p>
              </w:tc>
              <w:tc>
                <w:tcPr>
                  <w:tcW w:w="0" w:type="auto"/>
                  <w:shd w:val="clear" w:color="auto" w:fill="EFEFEF"/>
                  <w:tcMar>
                    <w:top w:w="45" w:type="dxa"/>
                    <w:left w:w="90" w:type="dxa"/>
                    <w:bottom w:w="45" w:type="dxa"/>
                    <w:right w:w="90" w:type="dxa"/>
                  </w:tcMar>
                  <w:vAlign w:val="center"/>
                  <w:hideMark/>
                </w:tcPr>
                <w:p w14:paraId="0B8ED518"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color w:val="000000"/>
                      <w:sz w:val="18"/>
                      <w:szCs w:val="18"/>
                      <w:lang w:eastAsia="en-ZA"/>
                    </w:rPr>
                    <w:t>BB</w:t>
                  </w:r>
                </w:p>
              </w:tc>
              <w:tc>
                <w:tcPr>
                  <w:tcW w:w="0" w:type="auto"/>
                  <w:shd w:val="clear" w:color="auto" w:fill="EFEFEF"/>
                  <w:tcMar>
                    <w:top w:w="45" w:type="dxa"/>
                    <w:left w:w="0" w:type="dxa"/>
                    <w:bottom w:w="45" w:type="dxa"/>
                    <w:right w:w="0" w:type="dxa"/>
                  </w:tcMar>
                  <w:vAlign w:val="center"/>
                  <w:hideMark/>
                </w:tcPr>
                <w:p w14:paraId="0191AD6C" w14:textId="77777777" w:rsidR="006439CC" w:rsidRPr="006439CC" w:rsidRDefault="006439CC" w:rsidP="006439CC">
                  <w:pPr>
                    <w:spacing w:after="0" w:line="240" w:lineRule="auto"/>
                    <w:rPr>
                      <w:rFonts w:ascii="Arial" w:eastAsia="Calibri" w:hAnsi="Arial" w:cs="Arial"/>
                      <w:sz w:val="18"/>
                      <w:szCs w:val="18"/>
                      <w:lang w:eastAsia="en-ZA"/>
                    </w:rPr>
                  </w:pPr>
                </w:p>
              </w:tc>
              <w:tc>
                <w:tcPr>
                  <w:tcW w:w="0" w:type="auto"/>
                  <w:shd w:val="clear" w:color="auto" w:fill="EFEFEF"/>
                  <w:vAlign w:val="center"/>
                  <w:hideMark/>
                </w:tcPr>
                <w:p w14:paraId="4CB6C87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B34B0C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F6FA9A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9CC24D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7AE164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C99C19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1A58EC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7646EE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2FF1CE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004E8B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75FA42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B29E59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15A390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D49E96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78CE36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2FD901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48E4EE7"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275A76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6A39F5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E258C2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17F7F94"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34E138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54FF5D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79614C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3A6E65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4DED4C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395628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4F0E00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7CE6AD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14E5AA3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9BF362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78E396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63D3B8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62251D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DAB434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E4008C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99C9C6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8299993"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EF57B09"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A7DF1EC"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CB6A2B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58CC788"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44CF74B6"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5BD4ED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A85ACED"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547C36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D1F64C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86A593A"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2EDB04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238F9192"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5D04D8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333A21EF"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5834A005"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5EBC39E"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70BC828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AE75D5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8F3A6CB"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6652A6B1"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c>
                <w:tcPr>
                  <w:tcW w:w="0" w:type="auto"/>
                  <w:shd w:val="clear" w:color="auto" w:fill="EFEFEF"/>
                  <w:vAlign w:val="center"/>
                  <w:hideMark/>
                </w:tcPr>
                <w:p w14:paraId="0BD1B230" w14:textId="77777777" w:rsidR="006439CC" w:rsidRPr="006439CC" w:rsidRDefault="006439CC" w:rsidP="006439CC">
                  <w:pPr>
                    <w:spacing w:after="0" w:line="240" w:lineRule="auto"/>
                    <w:rPr>
                      <w:rFonts w:ascii="Times New Roman" w:eastAsia="Times New Roman" w:hAnsi="Times New Roman" w:cs="Times New Roman"/>
                      <w:sz w:val="20"/>
                      <w:szCs w:val="20"/>
                      <w:lang w:eastAsia="en-ZA"/>
                    </w:rPr>
                  </w:pPr>
                </w:p>
              </w:tc>
            </w:tr>
          </w:tbl>
          <w:p w14:paraId="4EBD313C" w14:textId="77777777" w:rsidR="006439CC" w:rsidRPr="006439CC" w:rsidRDefault="006439CC" w:rsidP="006439CC">
            <w:pPr>
              <w:spacing w:before="30" w:after="45" w:line="240" w:lineRule="auto"/>
              <w:rPr>
                <w:rFonts w:ascii="Arial" w:eastAsia="Calibri" w:hAnsi="Arial" w:cs="Arial"/>
                <w:b/>
                <w:bCs/>
                <w:color w:val="CC0033"/>
                <w:lang w:eastAsia="en-ZA"/>
              </w:rPr>
            </w:pPr>
            <w:r w:rsidRPr="006439CC">
              <w:rPr>
                <w:rFonts w:ascii="Arial" w:eastAsia="Calibri" w:hAnsi="Arial" w:cs="Arial"/>
                <w:b/>
                <w:bCs/>
                <w:color w:val="CC0033"/>
                <w:lang w:eastAsia="en-ZA"/>
              </w:rPr>
              <w:t>Regulatory Disclosures</w:t>
            </w:r>
          </w:p>
          <w:tbl>
            <w:tblPr>
              <w:tblW w:w="0" w:type="auto"/>
              <w:tblCellSpacing w:w="0" w:type="dxa"/>
              <w:tblCellMar>
                <w:left w:w="0" w:type="dxa"/>
                <w:right w:w="0" w:type="dxa"/>
              </w:tblCellMar>
              <w:tblLook w:val="04A0" w:firstRow="1" w:lastRow="0" w:firstColumn="1" w:lastColumn="0" w:noHBand="0" w:noVBand="1"/>
            </w:tblPr>
            <w:tblGrid>
              <w:gridCol w:w="259"/>
              <w:gridCol w:w="3952"/>
            </w:tblGrid>
            <w:tr w:rsidR="006439CC" w:rsidRPr="006439CC" w14:paraId="1066B949" w14:textId="77777777">
              <w:trPr>
                <w:tblCellSpacing w:w="0" w:type="dxa"/>
              </w:trPr>
              <w:tc>
                <w:tcPr>
                  <w:tcW w:w="0" w:type="auto"/>
                  <w:tcMar>
                    <w:top w:w="0" w:type="dxa"/>
                    <w:left w:w="150" w:type="dxa"/>
                    <w:bottom w:w="0" w:type="dxa"/>
                    <w:right w:w="45" w:type="dxa"/>
                  </w:tcMar>
                  <w:hideMark/>
                </w:tcPr>
                <w:p w14:paraId="4B16AD41"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40016404"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Primary Credit Analyst: Ravi Bhatia, Director</w:t>
                  </w:r>
                </w:p>
              </w:tc>
            </w:tr>
            <w:tr w:rsidR="006439CC" w:rsidRPr="006439CC" w14:paraId="51F42226" w14:textId="77777777">
              <w:trPr>
                <w:tblCellSpacing w:w="0" w:type="dxa"/>
              </w:trPr>
              <w:tc>
                <w:tcPr>
                  <w:tcW w:w="0" w:type="auto"/>
                  <w:tcMar>
                    <w:top w:w="0" w:type="dxa"/>
                    <w:left w:w="150" w:type="dxa"/>
                    <w:bottom w:w="0" w:type="dxa"/>
                    <w:right w:w="45" w:type="dxa"/>
                  </w:tcMar>
                  <w:hideMark/>
                </w:tcPr>
                <w:p w14:paraId="4FDED21A"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322F0C35"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Rating Committee </w:t>
                  </w:r>
                  <w:proofErr w:type="gramStart"/>
                  <w:r w:rsidRPr="006439CC">
                    <w:rPr>
                      <w:rFonts w:ascii="Arial" w:eastAsia="Calibri" w:hAnsi="Arial" w:cs="Arial"/>
                      <w:sz w:val="18"/>
                      <w:szCs w:val="18"/>
                      <w:lang w:eastAsia="en-ZA"/>
                    </w:rPr>
                    <w:t>Chair Person</w:t>
                  </w:r>
                  <w:proofErr w:type="gramEnd"/>
                  <w:r w:rsidRPr="006439CC">
                    <w:rPr>
                      <w:rFonts w:ascii="Arial" w:eastAsia="Calibri" w:hAnsi="Arial" w:cs="Arial"/>
                      <w:sz w:val="18"/>
                      <w:szCs w:val="18"/>
                      <w:lang w:eastAsia="en-ZA"/>
                    </w:rPr>
                    <w:t xml:space="preserve">: Patrice </w:t>
                  </w:r>
                  <w:proofErr w:type="spellStart"/>
                  <w:r w:rsidRPr="006439CC">
                    <w:rPr>
                      <w:rFonts w:ascii="Arial" w:eastAsia="Calibri" w:hAnsi="Arial" w:cs="Arial"/>
                      <w:sz w:val="18"/>
                      <w:szCs w:val="18"/>
                      <w:lang w:eastAsia="en-ZA"/>
                    </w:rPr>
                    <w:t>Cochelin</w:t>
                  </w:r>
                  <w:proofErr w:type="spellEnd"/>
                </w:p>
              </w:tc>
            </w:tr>
            <w:tr w:rsidR="006439CC" w:rsidRPr="006439CC" w14:paraId="2D9811B0" w14:textId="77777777">
              <w:trPr>
                <w:tblCellSpacing w:w="0" w:type="dxa"/>
              </w:trPr>
              <w:tc>
                <w:tcPr>
                  <w:tcW w:w="0" w:type="auto"/>
                  <w:tcMar>
                    <w:top w:w="0" w:type="dxa"/>
                    <w:left w:w="150" w:type="dxa"/>
                    <w:bottom w:w="0" w:type="dxa"/>
                    <w:right w:w="45" w:type="dxa"/>
                  </w:tcMar>
                  <w:hideMark/>
                </w:tcPr>
                <w:p w14:paraId="1DCEDDEE"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2424A9F0"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Date Initial Rating Assigned: Oct. 3, 1994</w:t>
                  </w:r>
                </w:p>
              </w:tc>
            </w:tr>
            <w:tr w:rsidR="006439CC" w:rsidRPr="006439CC" w14:paraId="408CCF65" w14:textId="77777777">
              <w:trPr>
                <w:tblCellSpacing w:w="0" w:type="dxa"/>
              </w:trPr>
              <w:tc>
                <w:tcPr>
                  <w:tcW w:w="0" w:type="auto"/>
                  <w:tcMar>
                    <w:top w:w="0" w:type="dxa"/>
                    <w:left w:w="150" w:type="dxa"/>
                    <w:bottom w:w="0" w:type="dxa"/>
                    <w:right w:w="45" w:type="dxa"/>
                  </w:tcMar>
                  <w:hideMark/>
                </w:tcPr>
                <w:p w14:paraId="3DEB5AF0"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090C8667"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Date of Previous Review: May 24, 2019</w:t>
                  </w:r>
                </w:p>
              </w:tc>
            </w:tr>
          </w:tbl>
          <w:p w14:paraId="74FD3572" w14:textId="77777777" w:rsidR="006439CC" w:rsidRPr="006439CC" w:rsidRDefault="006439CC" w:rsidP="006439CC">
            <w:pPr>
              <w:spacing w:before="30" w:after="45" w:line="240" w:lineRule="auto"/>
              <w:rPr>
                <w:rFonts w:ascii="Arial" w:eastAsia="Calibri" w:hAnsi="Arial" w:cs="Arial"/>
                <w:b/>
                <w:bCs/>
                <w:color w:val="CC0033"/>
                <w:lang w:eastAsia="en-ZA"/>
              </w:rPr>
            </w:pPr>
            <w:r w:rsidRPr="006439CC">
              <w:rPr>
                <w:rFonts w:ascii="Arial" w:eastAsia="Calibri" w:hAnsi="Arial" w:cs="Arial"/>
                <w:b/>
                <w:bCs/>
                <w:color w:val="CC0033"/>
                <w:lang w:eastAsia="en-ZA"/>
              </w:rPr>
              <w:t>Disclaimers</w:t>
            </w:r>
          </w:p>
          <w:p w14:paraId="30F85BDD"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This rating has been determined by a rating committee based solely on the committee's independent evaluation of the credit risks and merits of the issuer or issue being rated in accordance with S&amp;P Global Ratings' published criteria and no part of this rating was influenced by any other business activities of S&amp;P Global Ratings.</w:t>
            </w:r>
          </w:p>
          <w:p w14:paraId="42E8F418"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This credit rating is solicited. The rated entity did participate in the credit rating process. S&amp;P Global Ratings did have access to the accounts, financial records and other relevant internal, non-public documents of the rated entity or a related third party. S&amp;P Global Ratings has used information from sources believed to be reliable but does not guarantee the accuracy, adequacy, or completeness of any information used.</w:t>
            </w:r>
          </w:p>
          <w:p w14:paraId="7DE90924" w14:textId="77777777" w:rsidR="006439CC" w:rsidRPr="006439CC" w:rsidRDefault="006439CC" w:rsidP="006439CC">
            <w:pPr>
              <w:spacing w:before="30" w:after="45" w:line="240" w:lineRule="auto"/>
              <w:rPr>
                <w:rFonts w:ascii="Arial" w:eastAsia="Calibri" w:hAnsi="Arial" w:cs="Arial"/>
                <w:b/>
                <w:bCs/>
                <w:color w:val="CC0033"/>
                <w:lang w:eastAsia="en-ZA"/>
              </w:rPr>
            </w:pPr>
            <w:r w:rsidRPr="006439CC">
              <w:rPr>
                <w:rFonts w:ascii="Arial" w:eastAsia="Calibri" w:hAnsi="Arial" w:cs="Arial"/>
                <w:b/>
                <w:bCs/>
                <w:color w:val="CC0033"/>
                <w:lang w:eastAsia="en-ZA"/>
              </w:rPr>
              <w:t xml:space="preserve">Materials Used </w:t>
            </w:r>
            <w:proofErr w:type="gramStart"/>
            <w:r w:rsidRPr="006439CC">
              <w:rPr>
                <w:rFonts w:ascii="Arial" w:eastAsia="Calibri" w:hAnsi="Arial" w:cs="Arial"/>
                <w:b/>
                <w:bCs/>
                <w:color w:val="CC0033"/>
                <w:lang w:eastAsia="en-ZA"/>
              </w:rPr>
              <w:t>In</w:t>
            </w:r>
            <w:proofErr w:type="gramEnd"/>
            <w:r w:rsidRPr="006439CC">
              <w:rPr>
                <w:rFonts w:ascii="Arial" w:eastAsia="Calibri" w:hAnsi="Arial" w:cs="Arial"/>
                <w:b/>
                <w:bCs/>
                <w:color w:val="CC0033"/>
                <w:lang w:eastAsia="en-ZA"/>
              </w:rPr>
              <w:t xml:space="preserve"> The Credit Rating Process</w:t>
            </w:r>
          </w:p>
          <w:p w14:paraId="7010B4C5" w14:textId="77777777" w:rsidR="006439CC" w:rsidRPr="006439CC" w:rsidRDefault="006439CC" w:rsidP="006439CC">
            <w:pPr>
              <w:spacing w:after="180" w:line="240" w:lineRule="auto"/>
              <w:rPr>
                <w:rFonts w:ascii="Arial" w:eastAsia="Calibri" w:hAnsi="Arial" w:cs="Arial"/>
                <w:sz w:val="18"/>
                <w:szCs w:val="18"/>
                <w:lang w:eastAsia="en-ZA"/>
              </w:rPr>
            </w:pPr>
            <w:proofErr w:type="gramStart"/>
            <w:r w:rsidRPr="006439CC">
              <w:rPr>
                <w:rFonts w:ascii="Arial" w:eastAsia="Calibri" w:hAnsi="Arial" w:cs="Arial"/>
                <w:sz w:val="18"/>
                <w:szCs w:val="18"/>
                <w:lang w:eastAsia="en-ZA"/>
              </w:rPr>
              <w:t>Sufficient</w:t>
            </w:r>
            <w:proofErr w:type="gramEnd"/>
            <w:r w:rsidRPr="006439CC">
              <w:rPr>
                <w:rFonts w:ascii="Arial" w:eastAsia="Calibri" w:hAnsi="Arial" w:cs="Arial"/>
                <w:sz w:val="18"/>
                <w:szCs w:val="18"/>
                <w:lang w:eastAsia="en-ZA"/>
              </w:rPr>
              <w:t xml:space="preserve"> information in general consists of both (</w:t>
            </w:r>
            <w:proofErr w:type="spellStart"/>
            <w:r w:rsidRPr="006439CC">
              <w:rPr>
                <w:rFonts w:ascii="Arial" w:eastAsia="Calibri" w:hAnsi="Arial" w:cs="Arial"/>
                <w:sz w:val="18"/>
                <w:szCs w:val="18"/>
                <w:lang w:eastAsia="en-ZA"/>
              </w:rPr>
              <w:t>i</w:t>
            </w:r>
            <w:proofErr w:type="spellEnd"/>
            <w:r w:rsidRPr="006439CC">
              <w:rPr>
                <w:rFonts w:ascii="Arial" w:eastAsia="Calibri" w:hAnsi="Arial" w:cs="Arial"/>
                <w:sz w:val="18"/>
                <w:szCs w:val="18"/>
                <w:lang w:eastAsia="en-ZA"/>
              </w:rPr>
              <w:t xml:space="preserve">) financial statements that describe the issuer's financial condition, results of operations, and cash-flows, and (ii) a description of the activities and obligations of the entity including of its governance and legal structure. </w:t>
            </w:r>
          </w:p>
          <w:p w14:paraId="4BF3CBCC"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This credit rating was disclosed to the rated entity or related third party before being issued.</w:t>
            </w:r>
          </w:p>
          <w:p w14:paraId="62DE300B" w14:textId="77777777" w:rsidR="006439CC" w:rsidRPr="006439CC" w:rsidRDefault="006439CC" w:rsidP="006439CC">
            <w:pPr>
              <w:spacing w:after="180" w:line="240" w:lineRule="auto"/>
              <w:rPr>
                <w:rFonts w:ascii="Arial" w:eastAsia="Calibri" w:hAnsi="Arial" w:cs="Arial"/>
                <w:sz w:val="18"/>
                <w:szCs w:val="18"/>
                <w:lang w:eastAsia="en-ZA"/>
              </w:rPr>
            </w:pPr>
            <w:r w:rsidRPr="006439CC">
              <w:rPr>
                <w:rFonts w:ascii="Arial" w:eastAsia="Calibri" w:hAnsi="Arial" w:cs="Arial"/>
                <w:sz w:val="18"/>
                <w:szCs w:val="18"/>
                <w:lang w:eastAsia="en-ZA"/>
              </w:rPr>
              <w:t>S&amp;P Global Ratings' regulatory disclosures (PCRs) are published as of a point-in-time, which is current as of the date a Credit Rating Action was last published. S&amp;P Global Ratings updates the PCR for a given Credit Rating to include any changes to PCR disclosures only when a subsequent Credit Rating Action is published. Thus, disclosure information in this PCR may not reflect changes to data within PCR disclosures that can occur over time subsequent to the publication of a PCR but that are not otherwise associated with a Credit Rating Action.</w:t>
            </w:r>
          </w:p>
          <w:p w14:paraId="00E5F529" w14:textId="77777777" w:rsidR="006439CC" w:rsidRPr="006439CC" w:rsidRDefault="006439CC" w:rsidP="006439CC">
            <w:pPr>
              <w:spacing w:before="30" w:after="45" w:line="240" w:lineRule="auto"/>
              <w:rPr>
                <w:rFonts w:ascii="Arial" w:eastAsia="Calibri" w:hAnsi="Arial" w:cs="Arial"/>
                <w:b/>
                <w:bCs/>
                <w:color w:val="CC0033"/>
                <w:lang w:eastAsia="en-ZA"/>
              </w:rPr>
            </w:pPr>
            <w:r w:rsidRPr="006439CC">
              <w:rPr>
                <w:rFonts w:ascii="Arial" w:eastAsia="Calibri" w:hAnsi="Arial" w:cs="Arial"/>
                <w:b/>
                <w:bCs/>
                <w:color w:val="CC0033"/>
                <w:lang w:eastAsia="en-ZA"/>
              </w:rPr>
              <w:t>Glossary</w:t>
            </w:r>
          </w:p>
          <w:tbl>
            <w:tblPr>
              <w:tblW w:w="0" w:type="auto"/>
              <w:tblCellSpacing w:w="0" w:type="dxa"/>
              <w:tblCellMar>
                <w:left w:w="0" w:type="dxa"/>
                <w:right w:w="0" w:type="dxa"/>
              </w:tblCellMar>
              <w:tblLook w:val="04A0" w:firstRow="1" w:lastRow="0" w:firstColumn="1" w:lastColumn="0" w:noHBand="0" w:noVBand="1"/>
            </w:tblPr>
            <w:tblGrid>
              <w:gridCol w:w="259"/>
              <w:gridCol w:w="9881"/>
            </w:tblGrid>
            <w:tr w:rsidR="006439CC" w:rsidRPr="006439CC" w14:paraId="1D9664AE" w14:textId="77777777">
              <w:trPr>
                <w:tblCellSpacing w:w="0" w:type="dxa"/>
              </w:trPr>
              <w:tc>
                <w:tcPr>
                  <w:tcW w:w="0" w:type="auto"/>
                  <w:tcMar>
                    <w:top w:w="0" w:type="dxa"/>
                    <w:left w:w="150" w:type="dxa"/>
                    <w:bottom w:w="0" w:type="dxa"/>
                    <w:right w:w="45" w:type="dxa"/>
                  </w:tcMar>
                  <w:hideMark/>
                </w:tcPr>
                <w:p w14:paraId="10FACD3C"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00A03824"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Consumer price index (CPI): Index of prices of a representative set of consumer goods regularly bought by a typical household.</w:t>
                  </w:r>
                </w:p>
              </w:tc>
            </w:tr>
            <w:tr w:rsidR="006439CC" w:rsidRPr="006439CC" w14:paraId="160FF263" w14:textId="77777777">
              <w:trPr>
                <w:tblCellSpacing w:w="0" w:type="dxa"/>
              </w:trPr>
              <w:tc>
                <w:tcPr>
                  <w:tcW w:w="0" w:type="auto"/>
                  <w:tcMar>
                    <w:top w:w="0" w:type="dxa"/>
                    <w:left w:w="150" w:type="dxa"/>
                    <w:bottom w:w="0" w:type="dxa"/>
                    <w:right w:w="45" w:type="dxa"/>
                  </w:tcMar>
                  <w:hideMark/>
                </w:tcPr>
                <w:p w14:paraId="2DA12DC2"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1B653E33"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Current account balance: Exports of goods and services minus imports of the same plus net factor income plus official and private net transfers.</w:t>
                  </w:r>
                </w:p>
              </w:tc>
            </w:tr>
            <w:tr w:rsidR="006439CC" w:rsidRPr="006439CC" w14:paraId="31D590D9" w14:textId="77777777">
              <w:trPr>
                <w:tblCellSpacing w:w="0" w:type="dxa"/>
              </w:trPr>
              <w:tc>
                <w:tcPr>
                  <w:tcW w:w="0" w:type="auto"/>
                  <w:tcMar>
                    <w:top w:w="0" w:type="dxa"/>
                    <w:left w:w="150" w:type="dxa"/>
                    <w:bottom w:w="0" w:type="dxa"/>
                    <w:right w:w="45" w:type="dxa"/>
                  </w:tcMar>
                  <w:hideMark/>
                </w:tcPr>
                <w:p w14:paraId="7CD27ADB"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31C01AEC"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Current account receipts (CAR): Proceeds from exports of goods and services plus factor income earned by residents from </w:t>
                  </w:r>
                  <w:proofErr w:type="spellStart"/>
                  <w:r w:rsidRPr="006439CC">
                    <w:rPr>
                      <w:rFonts w:ascii="Arial" w:eastAsia="Calibri" w:hAnsi="Arial" w:cs="Arial"/>
                      <w:sz w:val="18"/>
                      <w:szCs w:val="18"/>
                      <w:lang w:eastAsia="en-ZA"/>
                    </w:rPr>
                    <w:t>nonresidents</w:t>
                  </w:r>
                  <w:proofErr w:type="spellEnd"/>
                  <w:r w:rsidRPr="006439CC">
                    <w:rPr>
                      <w:rFonts w:ascii="Arial" w:eastAsia="Calibri" w:hAnsi="Arial" w:cs="Arial"/>
                      <w:sz w:val="18"/>
                      <w:szCs w:val="18"/>
                      <w:lang w:eastAsia="en-ZA"/>
                    </w:rPr>
                    <w:t xml:space="preserve"> plus official and private transfers to residents from </w:t>
                  </w:r>
                  <w:proofErr w:type="spellStart"/>
                  <w:r w:rsidRPr="006439CC">
                    <w:rPr>
                      <w:rFonts w:ascii="Arial" w:eastAsia="Calibri" w:hAnsi="Arial" w:cs="Arial"/>
                      <w:sz w:val="18"/>
                      <w:szCs w:val="18"/>
                      <w:lang w:eastAsia="en-ZA"/>
                    </w:rPr>
                    <w:t>nonresidents</w:t>
                  </w:r>
                  <w:proofErr w:type="spellEnd"/>
                  <w:r w:rsidRPr="006439CC">
                    <w:rPr>
                      <w:rFonts w:ascii="Arial" w:eastAsia="Calibri" w:hAnsi="Arial" w:cs="Arial"/>
                      <w:sz w:val="18"/>
                      <w:szCs w:val="18"/>
                      <w:lang w:eastAsia="en-ZA"/>
                    </w:rPr>
                    <w:t>.</w:t>
                  </w:r>
                </w:p>
              </w:tc>
            </w:tr>
            <w:tr w:rsidR="006439CC" w:rsidRPr="006439CC" w14:paraId="239E008F" w14:textId="77777777">
              <w:trPr>
                <w:tblCellSpacing w:w="0" w:type="dxa"/>
              </w:trPr>
              <w:tc>
                <w:tcPr>
                  <w:tcW w:w="0" w:type="auto"/>
                  <w:tcMar>
                    <w:top w:w="0" w:type="dxa"/>
                    <w:left w:w="150" w:type="dxa"/>
                    <w:bottom w:w="0" w:type="dxa"/>
                    <w:right w:w="45" w:type="dxa"/>
                  </w:tcMar>
                  <w:hideMark/>
                </w:tcPr>
                <w:p w14:paraId="6922A8C0"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71B0B85F"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Date initial rating assigned: The date S&amp;P Global Ratings assigned the long-term foreign currency issuer credit rating on the </w:t>
                  </w:r>
                  <w:r w:rsidRPr="006439CC">
                    <w:rPr>
                      <w:rFonts w:ascii="Arial" w:eastAsia="Calibri" w:hAnsi="Arial" w:cs="Arial"/>
                      <w:sz w:val="18"/>
                      <w:szCs w:val="18"/>
                      <w:lang w:eastAsia="en-ZA"/>
                    </w:rPr>
                    <w:lastRenderedPageBreak/>
                    <w:t>entity.</w:t>
                  </w:r>
                </w:p>
              </w:tc>
            </w:tr>
            <w:tr w:rsidR="006439CC" w:rsidRPr="006439CC" w14:paraId="14A42890" w14:textId="77777777">
              <w:trPr>
                <w:tblCellSpacing w:w="0" w:type="dxa"/>
              </w:trPr>
              <w:tc>
                <w:tcPr>
                  <w:tcW w:w="0" w:type="auto"/>
                  <w:tcMar>
                    <w:top w:w="0" w:type="dxa"/>
                    <w:left w:w="150" w:type="dxa"/>
                    <w:bottom w:w="0" w:type="dxa"/>
                    <w:right w:w="45" w:type="dxa"/>
                  </w:tcMar>
                  <w:hideMark/>
                </w:tcPr>
                <w:p w14:paraId="7F884516"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lastRenderedPageBreak/>
                    <w:t>•</w:t>
                  </w:r>
                </w:p>
              </w:tc>
              <w:tc>
                <w:tcPr>
                  <w:tcW w:w="0" w:type="auto"/>
                  <w:hideMark/>
                </w:tcPr>
                <w:p w14:paraId="29CF66B6"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Date of previous review: The date S&amp;P Global Ratings last reviewed the credit rating on the entity.</w:t>
                  </w:r>
                </w:p>
              </w:tc>
            </w:tr>
            <w:tr w:rsidR="006439CC" w:rsidRPr="006439CC" w14:paraId="70C1FADC" w14:textId="77777777">
              <w:trPr>
                <w:tblCellSpacing w:w="0" w:type="dxa"/>
              </w:trPr>
              <w:tc>
                <w:tcPr>
                  <w:tcW w:w="0" w:type="auto"/>
                  <w:tcMar>
                    <w:top w:w="0" w:type="dxa"/>
                    <w:left w:w="150" w:type="dxa"/>
                    <w:bottom w:w="0" w:type="dxa"/>
                    <w:right w:w="45" w:type="dxa"/>
                  </w:tcMar>
                  <w:hideMark/>
                </w:tcPr>
                <w:p w14:paraId="78B4EAFC"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4FA7BB1C"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Debt burden assessment: Reflects a sovereign's prospective debt level, as indicated by the general government debt relative to GDP (including assessment of contingent liabilities), the interest cost of the debt relative to general government revenue, and debt structure and funding access.</w:t>
                  </w:r>
                </w:p>
              </w:tc>
            </w:tr>
            <w:tr w:rsidR="006439CC" w:rsidRPr="006439CC" w14:paraId="16F1DA42" w14:textId="77777777">
              <w:trPr>
                <w:tblCellSpacing w:w="0" w:type="dxa"/>
              </w:trPr>
              <w:tc>
                <w:tcPr>
                  <w:tcW w:w="0" w:type="auto"/>
                  <w:tcMar>
                    <w:top w:w="0" w:type="dxa"/>
                    <w:left w:w="150" w:type="dxa"/>
                    <w:bottom w:w="0" w:type="dxa"/>
                    <w:right w:w="45" w:type="dxa"/>
                  </w:tcMar>
                  <w:hideMark/>
                </w:tcPr>
                <w:p w14:paraId="5CC1B405"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0E240574"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Depository corporation claims: Claims from resident depository corporations (excluding those of the central bank) on the resident nongovernment sector.</w:t>
                  </w:r>
                </w:p>
              </w:tc>
            </w:tr>
            <w:tr w:rsidR="006439CC" w:rsidRPr="006439CC" w14:paraId="211C7B3B" w14:textId="77777777">
              <w:trPr>
                <w:tblCellSpacing w:w="0" w:type="dxa"/>
              </w:trPr>
              <w:tc>
                <w:tcPr>
                  <w:tcW w:w="0" w:type="auto"/>
                  <w:tcMar>
                    <w:top w:w="0" w:type="dxa"/>
                    <w:left w:w="150" w:type="dxa"/>
                    <w:bottom w:w="0" w:type="dxa"/>
                    <w:right w:w="45" w:type="dxa"/>
                  </w:tcMar>
                  <w:hideMark/>
                </w:tcPr>
                <w:p w14:paraId="574EC268"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038504F9"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Economic assessment: Based on the analysis of economic structure and growth prospects. Reflects income levels (GDP per capita), economic growth prospects, and economic diversity and volatility.</w:t>
                  </w:r>
                </w:p>
              </w:tc>
            </w:tr>
            <w:tr w:rsidR="006439CC" w:rsidRPr="006439CC" w14:paraId="58891430" w14:textId="77777777">
              <w:trPr>
                <w:tblCellSpacing w:w="0" w:type="dxa"/>
              </w:trPr>
              <w:tc>
                <w:tcPr>
                  <w:tcW w:w="0" w:type="auto"/>
                  <w:tcMar>
                    <w:top w:w="0" w:type="dxa"/>
                    <w:left w:w="150" w:type="dxa"/>
                    <w:bottom w:w="0" w:type="dxa"/>
                    <w:right w:w="45" w:type="dxa"/>
                  </w:tcMar>
                  <w:hideMark/>
                </w:tcPr>
                <w:p w14:paraId="5CB057CE"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74255DB6"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External assessment: Based on the analysis of external liquidity and international investment position as well as the status of a sovereign's currency in international transactions. Reflects a country's ability to obtain funds from abroad necessary to meet its public- and private-sector obligations to </w:t>
                  </w:r>
                  <w:proofErr w:type="spellStart"/>
                  <w:r w:rsidRPr="006439CC">
                    <w:rPr>
                      <w:rFonts w:ascii="Arial" w:eastAsia="Calibri" w:hAnsi="Arial" w:cs="Arial"/>
                      <w:sz w:val="18"/>
                      <w:szCs w:val="18"/>
                      <w:lang w:eastAsia="en-ZA"/>
                    </w:rPr>
                    <w:t>nonresidents</w:t>
                  </w:r>
                  <w:proofErr w:type="spellEnd"/>
                  <w:r w:rsidRPr="006439CC">
                    <w:rPr>
                      <w:rFonts w:ascii="Arial" w:eastAsia="Calibri" w:hAnsi="Arial" w:cs="Arial"/>
                      <w:sz w:val="18"/>
                      <w:szCs w:val="18"/>
                      <w:lang w:eastAsia="en-ZA"/>
                    </w:rPr>
                    <w:t>.</w:t>
                  </w:r>
                </w:p>
              </w:tc>
            </w:tr>
            <w:tr w:rsidR="006439CC" w:rsidRPr="006439CC" w14:paraId="73C8F561" w14:textId="77777777">
              <w:trPr>
                <w:tblCellSpacing w:w="0" w:type="dxa"/>
              </w:trPr>
              <w:tc>
                <w:tcPr>
                  <w:tcW w:w="0" w:type="auto"/>
                  <w:tcMar>
                    <w:top w:w="0" w:type="dxa"/>
                    <w:left w:w="150" w:type="dxa"/>
                    <w:bottom w:w="0" w:type="dxa"/>
                    <w:right w:w="45" w:type="dxa"/>
                  </w:tcMar>
                  <w:hideMark/>
                </w:tcPr>
                <w:p w14:paraId="1DD8660F"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11D00127"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Fiscal performance and flexibility assessment: Reflects the sustainability of sovereign's fiscal deficits. Based on the prospective change in general government debt, calculated as a percentage of GDP, </w:t>
                  </w:r>
                  <w:proofErr w:type="gramStart"/>
                  <w:r w:rsidRPr="006439CC">
                    <w:rPr>
                      <w:rFonts w:ascii="Arial" w:eastAsia="Calibri" w:hAnsi="Arial" w:cs="Arial"/>
                      <w:sz w:val="18"/>
                      <w:szCs w:val="18"/>
                      <w:lang w:eastAsia="en-ZA"/>
                    </w:rPr>
                    <w:t>taking into account</w:t>
                  </w:r>
                  <w:proofErr w:type="gramEnd"/>
                  <w:r w:rsidRPr="006439CC">
                    <w:rPr>
                      <w:rFonts w:ascii="Arial" w:eastAsia="Calibri" w:hAnsi="Arial" w:cs="Arial"/>
                      <w:sz w:val="18"/>
                      <w:szCs w:val="18"/>
                      <w:lang w:eastAsia="en-ZA"/>
                    </w:rPr>
                    <w:t xml:space="preserve"> long-term trends and a government's fiscal flexibility and vulnerabilities.</w:t>
                  </w:r>
                </w:p>
              </w:tc>
            </w:tr>
            <w:tr w:rsidR="006439CC" w:rsidRPr="006439CC" w14:paraId="3B86F15E" w14:textId="77777777">
              <w:trPr>
                <w:tblCellSpacing w:w="0" w:type="dxa"/>
              </w:trPr>
              <w:tc>
                <w:tcPr>
                  <w:tcW w:w="0" w:type="auto"/>
                  <w:tcMar>
                    <w:top w:w="0" w:type="dxa"/>
                    <w:left w:w="150" w:type="dxa"/>
                    <w:bottom w:w="0" w:type="dxa"/>
                    <w:right w:w="45" w:type="dxa"/>
                  </w:tcMar>
                  <w:hideMark/>
                </w:tcPr>
                <w:p w14:paraId="7F7A7DA0"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193258D7"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Foreign direct investment (FDI): Direct investment by </w:t>
                  </w:r>
                  <w:proofErr w:type="spellStart"/>
                  <w:r w:rsidRPr="006439CC">
                    <w:rPr>
                      <w:rFonts w:ascii="Arial" w:eastAsia="Calibri" w:hAnsi="Arial" w:cs="Arial"/>
                      <w:sz w:val="18"/>
                      <w:szCs w:val="18"/>
                      <w:lang w:eastAsia="en-ZA"/>
                    </w:rPr>
                    <w:t>nonresidents</w:t>
                  </w:r>
                  <w:proofErr w:type="spellEnd"/>
                  <w:r w:rsidRPr="006439CC">
                    <w:rPr>
                      <w:rFonts w:ascii="Arial" w:eastAsia="Calibri" w:hAnsi="Arial" w:cs="Arial"/>
                      <w:sz w:val="18"/>
                      <w:szCs w:val="18"/>
                      <w:lang w:eastAsia="en-ZA"/>
                    </w:rPr>
                    <w:t>.</w:t>
                  </w:r>
                </w:p>
              </w:tc>
            </w:tr>
            <w:tr w:rsidR="006439CC" w:rsidRPr="006439CC" w14:paraId="5044BAD2" w14:textId="77777777">
              <w:trPr>
                <w:tblCellSpacing w:w="0" w:type="dxa"/>
              </w:trPr>
              <w:tc>
                <w:tcPr>
                  <w:tcW w:w="0" w:type="auto"/>
                  <w:tcMar>
                    <w:top w:w="0" w:type="dxa"/>
                    <w:left w:w="150" w:type="dxa"/>
                    <w:bottom w:w="0" w:type="dxa"/>
                    <w:right w:w="45" w:type="dxa"/>
                  </w:tcMar>
                  <w:hideMark/>
                </w:tcPr>
                <w:p w14:paraId="42E68501"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208959BF"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GDP per capita: GDP divided by population.</w:t>
                  </w:r>
                </w:p>
              </w:tc>
            </w:tr>
            <w:tr w:rsidR="006439CC" w:rsidRPr="006439CC" w14:paraId="043B6E5F" w14:textId="77777777">
              <w:trPr>
                <w:tblCellSpacing w:w="0" w:type="dxa"/>
              </w:trPr>
              <w:tc>
                <w:tcPr>
                  <w:tcW w:w="0" w:type="auto"/>
                  <w:tcMar>
                    <w:top w:w="0" w:type="dxa"/>
                    <w:left w:w="150" w:type="dxa"/>
                    <w:bottom w:w="0" w:type="dxa"/>
                    <w:right w:w="45" w:type="dxa"/>
                  </w:tcMar>
                  <w:hideMark/>
                </w:tcPr>
                <w:p w14:paraId="77BFDA3C"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162428BC"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General government: Aggregate of the national, regional, and local government sectors, including social security and other defined benefit public-sector pension systems, and excluding intergovernmental transactions.</w:t>
                  </w:r>
                </w:p>
              </w:tc>
            </w:tr>
            <w:tr w:rsidR="006439CC" w:rsidRPr="006439CC" w14:paraId="46D68463" w14:textId="77777777">
              <w:trPr>
                <w:tblCellSpacing w:w="0" w:type="dxa"/>
              </w:trPr>
              <w:tc>
                <w:tcPr>
                  <w:tcW w:w="0" w:type="auto"/>
                  <w:tcMar>
                    <w:top w:w="0" w:type="dxa"/>
                    <w:left w:w="150" w:type="dxa"/>
                    <w:bottom w:w="0" w:type="dxa"/>
                    <w:right w:w="45" w:type="dxa"/>
                  </w:tcMar>
                  <w:hideMark/>
                </w:tcPr>
                <w:p w14:paraId="7705DD38"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37049BB7"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General government debt: Debt incurred by national, regional, and local governments and central bank debt.</w:t>
                  </w:r>
                </w:p>
              </w:tc>
            </w:tr>
            <w:tr w:rsidR="006439CC" w:rsidRPr="006439CC" w14:paraId="5E3D6860" w14:textId="77777777">
              <w:trPr>
                <w:tblCellSpacing w:w="0" w:type="dxa"/>
              </w:trPr>
              <w:tc>
                <w:tcPr>
                  <w:tcW w:w="0" w:type="auto"/>
                  <w:tcMar>
                    <w:top w:w="0" w:type="dxa"/>
                    <w:left w:w="150" w:type="dxa"/>
                    <w:bottom w:w="0" w:type="dxa"/>
                    <w:right w:w="45" w:type="dxa"/>
                  </w:tcMar>
                  <w:hideMark/>
                </w:tcPr>
                <w:p w14:paraId="2EA199B1"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0891D8F8"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General government interest: Interest payments on general government debt.</w:t>
                  </w:r>
                </w:p>
              </w:tc>
            </w:tr>
            <w:tr w:rsidR="006439CC" w:rsidRPr="006439CC" w14:paraId="33629A59" w14:textId="77777777">
              <w:trPr>
                <w:tblCellSpacing w:w="0" w:type="dxa"/>
              </w:trPr>
              <w:tc>
                <w:tcPr>
                  <w:tcW w:w="0" w:type="auto"/>
                  <w:tcMar>
                    <w:top w:w="0" w:type="dxa"/>
                    <w:left w:w="150" w:type="dxa"/>
                    <w:bottom w:w="0" w:type="dxa"/>
                    <w:right w:w="45" w:type="dxa"/>
                  </w:tcMar>
                  <w:hideMark/>
                </w:tcPr>
                <w:p w14:paraId="74DA133F"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6D215910"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General government liquid financial assets: General government deposits in financial institutions (unless the deposits are a source of support to the recipient institution), widely traded securities, plus minority arms-length holdings of incorporated enterprises that are widely traded plus balances of defined-benefit government-run pension plans or social security funds (or stabilization or other freely available funds) that are held in bank deposits, widely traded securities, or other liquid forms.</w:t>
                  </w:r>
                </w:p>
              </w:tc>
            </w:tr>
            <w:tr w:rsidR="006439CC" w:rsidRPr="006439CC" w14:paraId="1DCFD42A" w14:textId="77777777">
              <w:trPr>
                <w:tblCellSpacing w:w="0" w:type="dxa"/>
              </w:trPr>
              <w:tc>
                <w:tcPr>
                  <w:tcW w:w="0" w:type="auto"/>
                  <w:tcMar>
                    <w:top w:w="0" w:type="dxa"/>
                    <w:left w:w="150" w:type="dxa"/>
                    <w:bottom w:w="0" w:type="dxa"/>
                    <w:right w:w="45" w:type="dxa"/>
                  </w:tcMar>
                  <w:hideMark/>
                </w:tcPr>
                <w:p w14:paraId="68C81295"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5E7DDE8E"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Gross domestic product (GDP): Total market value of goods and services produced by resident factors of production.</w:t>
                  </w:r>
                </w:p>
              </w:tc>
            </w:tr>
            <w:tr w:rsidR="006439CC" w:rsidRPr="006439CC" w14:paraId="6A8D8B32" w14:textId="77777777">
              <w:trPr>
                <w:tblCellSpacing w:w="0" w:type="dxa"/>
              </w:trPr>
              <w:tc>
                <w:tcPr>
                  <w:tcW w:w="0" w:type="auto"/>
                  <w:tcMar>
                    <w:top w:w="0" w:type="dxa"/>
                    <w:left w:w="150" w:type="dxa"/>
                    <w:bottom w:w="0" w:type="dxa"/>
                    <w:right w:w="45" w:type="dxa"/>
                  </w:tcMar>
                  <w:hideMark/>
                </w:tcPr>
                <w:p w14:paraId="490B1C49"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4A48EBDE"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Gross external financing needs: Current account payments plus short-term external debt at the end of the prior year, including </w:t>
                  </w:r>
                  <w:proofErr w:type="spellStart"/>
                  <w:r w:rsidRPr="006439CC">
                    <w:rPr>
                      <w:rFonts w:ascii="Arial" w:eastAsia="Calibri" w:hAnsi="Arial" w:cs="Arial"/>
                      <w:sz w:val="18"/>
                      <w:szCs w:val="18"/>
                      <w:lang w:eastAsia="en-ZA"/>
                    </w:rPr>
                    <w:t>nonresident</w:t>
                  </w:r>
                  <w:proofErr w:type="spellEnd"/>
                  <w:r w:rsidRPr="006439CC">
                    <w:rPr>
                      <w:rFonts w:ascii="Arial" w:eastAsia="Calibri" w:hAnsi="Arial" w:cs="Arial"/>
                      <w:sz w:val="18"/>
                      <w:szCs w:val="18"/>
                      <w:lang w:eastAsia="en-ZA"/>
                    </w:rPr>
                    <w:t xml:space="preserve"> deposits at the end of the prior year plus long-term external debt maturing within the year.</w:t>
                  </w:r>
                </w:p>
              </w:tc>
            </w:tr>
            <w:tr w:rsidR="006439CC" w:rsidRPr="006439CC" w14:paraId="1A8EAC27" w14:textId="77777777">
              <w:trPr>
                <w:tblCellSpacing w:w="0" w:type="dxa"/>
              </w:trPr>
              <w:tc>
                <w:tcPr>
                  <w:tcW w:w="0" w:type="auto"/>
                  <w:tcMar>
                    <w:top w:w="0" w:type="dxa"/>
                    <w:left w:w="150" w:type="dxa"/>
                    <w:bottom w:w="0" w:type="dxa"/>
                    <w:right w:w="45" w:type="dxa"/>
                  </w:tcMar>
                  <w:hideMark/>
                </w:tcPr>
                <w:p w14:paraId="5321FE6A"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5A2A0F02"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Institutional assessment: An analysis of how a government's institutions and policymaking affect a sovereign's credit fundamentals by delivering sustainable public finances, promoting balanced economic growth, and responding to economic or political shocks. Reflects the effectiveness, stability, and predictability of the sovereign's policymaking and political institutions; transparency and accountability of institutions, data, and processes; the sovereign's debt payment culture; and security risks.</w:t>
                  </w:r>
                </w:p>
              </w:tc>
            </w:tr>
            <w:tr w:rsidR="006439CC" w:rsidRPr="006439CC" w14:paraId="536035CB" w14:textId="77777777">
              <w:trPr>
                <w:tblCellSpacing w:w="0" w:type="dxa"/>
              </w:trPr>
              <w:tc>
                <w:tcPr>
                  <w:tcW w:w="0" w:type="auto"/>
                  <w:tcMar>
                    <w:top w:w="0" w:type="dxa"/>
                    <w:left w:w="150" w:type="dxa"/>
                    <w:bottom w:w="0" w:type="dxa"/>
                    <w:right w:w="45" w:type="dxa"/>
                  </w:tcMar>
                  <w:hideMark/>
                </w:tcPr>
                <w:p w14:paraId="6E6F0146"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3390C19B"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Monetary base: Local currency in circulation plus the monetary authority's local currency liabilities to other depository corporations.</w:t>
                  </w:r>
                </w:p>
              </w:tc>
            </w:tr>
            <w:tr w:rsidR="006439CC" w:rsidRPr="006439CC" w14:paraId="34414DEA" w14:textId="77777777">
              <w:trPr>
                <w:tblCellSpacing w:w="0" w:type="dxa"/>
              </w:trPr>
              <w:tc>
                <w:tcPr>
                  <w:tcW w:w="0" w:type="auto"/>
                  <w:tcMar>
                    <w:top w:w="0" w:type="dxa"/>
                    <w:left w:w="150" w:type="dxa"/>
                    <w:bottom w:w="0" w:type="dxa"/>
                    <w:right w:w="45" w:type="dxa"/>
                  </w:tcMar>
                  <w:hideMark/>
                </w:tcPr>
                <w:p w14:paraId="2CFC8876"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6F0BD6EE"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Monetary assessment: The extent to which a sovereign's monetary authority can </w:t>
                  </w:r>
                  <w:proofErr w:type="spellStart"/>
                  <w:r w:rsidRPr="006439CC">
                    <w:rPr>
                      <w:rFonts w:ascii="Arial" w:eastAsia="Calibri" w:hAnsi="Arial" w:cs="Arial"/>
                      <w:sz w:val="18"/>
                      <w:szCs w:val="18"/>
                      <w:lang w:eastAsia="en-ZA"/>
                    </w:rPr>
                    <w:t>fulfill</w:t>
                  </w:r>
                  <w:proofErr w:type="spellEnd"/>
                  <w:r w:rsidRPr="006439CC">
                    <w:rPr>
                      <w:rFonts w:ascii="Arial" w:eastAsia="Calibri" w:hAnsi="Arial" w:cs="Arial"/>
                      <w:sz w:val="18"/>
                      <w:szCs w:val="18"/>
                      <w:lang w:eastAsia="en-ZA"/>
                    </w:rPr>
                    <w:t xml:space="preserve"> its mandate while supporting sustainable economic growth and attenuating major economic or financial shocks. Based on the analysis of the sovereign's ability to coordinate monetary policy with fiscal and other economic policies to support sustainable economic growth; the credibility of monetary policy, and the effectiveness of market-oriented monetary mechanisms.</w:t>
                  </w:r>
                </w:p>
              </w:tc>
            </w:tr>
            <w:tr w:rsidR="006439CC" w:rsidRPr="006439CC" w14:paraId="74781250" w14:textId="77777777">
              <w:trPr>
                <w:tblCellSpacing w:w="0" w:type="dxa"/>
              </w:trPr>
              <w:tc>
                <w:tcPr>
                  <w:tcW w:w="0" w:type="auto"/>
                  <w:tcMar>
                    <w:top w:w="0" w:type="dxa"/>
                    <w:left w:w="150" w:type="dxa"/>
                    <w:bottom w:w="0" w:type="dxa"/>
                    <w:right w:w="45" w:type="dxa"/>
                  </w:tcMar>
                  <w:hideMark/>
                </w:tcPr>
                <w:p w14:paraId="4856E1C0"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481F5120"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Narrow net external debt: Stock of foreign and local currency public- and private-sector borrowings from </w:t>
                  </w:r>
                  <w:proofErr w:type="spellStart"/>
                  <w:r w:rsidRPr="006439CC">
                    <w:rPr>
                      <w:rFonts w:ascii="Arial" w:eastAsia="Calibri" w:hAnsi="Arial" w:cs="Arial"/>
                      <w:sz w:val="18"/>
                      <w:szCs w:val="18"/>
                      <w:lang w:eastAsia="en-ZA"/>
                    </w:rPr>
                    <w:t>nonresidents</w:t>
                  </w:r>
                  <w:proofErr w:type="spellEnd"/>
                  <w:r w:rsidRPr="006439CC">
                    <w:rPr>
                      <w:rFonts w:ascii="Arial" w:eastAsia="Calibri" w:hAnsi="Arial" w:cs="Arial"/>
                      <w:sz w:val="18"/>
                      <w:szCs w:val="18"/>
                      <w:lang w:eastAsia="en-ZA"/>
                    </w:rPr>
                    <w:t xml:space="preserve"> minus official reserves minus public-sector liquid claims on </w:t>
                  </w:r>
                  <w:proofErr w:type="spellStart"/>
                  <w:r w:rsidRPr="006439CC">
                    <w:rPr>
                      <w:rFonts w:ascii="Arial" w:eastAsia="Calibri" w:hAnsi="Arial" w:cs="Arial"/>
                      <w:sz w:val="18"/>
                      <w:szCs w:val="18"/>
                      <w:lang w:eastAsia="en-ZA"/>
                    </w:rPr>
                    <w:t>nonresidents</w:t>
                  </w:r>
                  <w:proofErr w:type="spellEnd"/>
                  <w:r w:rsidRPr="006439CC">
                    <w:rPr>
                      <w:rFonts w:ascii="Arial" w:eastAsia="Calibri" w:hAnsi="Arial" w:cs="Arial"/>
                      <w:sz w:val="18"/>
                      <w:szCs w:val="18"/>
                      <w:lang w:eastAsia="en-ZA"/>
                    </w:rPr>
                    <w:t xml:space="preserve"> minus financial sector loans to, deposits with, or investments in </w:t>
                  </w:r>
                  <w:proofErr w:type="spellStart"/>
                  <w:r w:rsidRPr="006439CC">
                    <w:rPr>
                      <w:rFonts w:ascii="Arial" w:eastAsia="Calibri" w:hAnsi="Arial" w:cs="Arial"/>
                      <w:sz w:val="18"/>
                      <w:szCs w:val="18"/>
                      <w:lang w:eastAsia="en-ZA"/>
                    </w:rPr>
                    <w:t>nonresident</w:t>
                  </w:r>
                  <w:proofErr w:type="spellEnd"/>
                  <w:r w:rsidRPr="006439CC">
                    <w:rPr>
                      <w:rFonts w:ascii="Arial" w:eastAsia="Calibri" w:hAnsi="Arial" w:cs="Arial"/>
                      <w:sz w:val="18"/>
                      <w:szCs w:val="18"/>
                      <w:lang w:eastAsia="en-ZA"/>
                    </w:rPr>
                    <w:t xml:space="preserve"> entities.</w:t>
                  </w:r>
                </w:p>
              </w:tc>
            </w:tr>
            <w:tr w:rsidR="006439CC" w:rsidRPr="006439CC" w14:paraId="306EEF85" w14:textId="77777777">
              <w:trPr>
                <w:tblCellSpacing w:w="0" w:type="dxa"/>
              </w:trPr>
              <w:tc>
                <w:tcPr>
                  <w:tcW w:w="0" w:type="auto"/>
                  <w:tcMar>
                    <w:top w:w="0" w:type="dxa"/>
                    <w:left w:w="150" w:type="dxa"/>
                    <w:bottom w:w="0" w:type="dxa"/>
                    <w:right w:w="45" w:type="dxa"/>
                  </w:tcMar>
                  <w:hideMark/>
                </w:tcPr>
                <w:p w14:paraId="3D637129"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2AF91387"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Net general government debt: General government debt minus general government liquid financial assets.</w:t>
                  </w:r>
                </w:p>
              </w:tc>
            </w:tr>
            <w:tr w:rsidR="006439CC" w:rsidRPr="006439CC" w14:paraId="10370590" w14:textId="77777777">
              <w:trPr>
                <w:tblCellSpacing w:w="0" w:type="dxa"/>
              </w:trPr>
              <w:tc>
                <w:tcPr>
                  <w:tcW w:w="0" w:type="auto"/>
                  <w:tcMar>
                    <w:top w:w="0" w:type="dxa"/>
                    <w:left w:w="150" w:type="dxa"/>
                    <w:bottom w:w="0" w:type="dxa"/>
                    <w:right w:w="45" w:type="dxa"/>
                  </w:tcMar>
                  <w:hideMark/>
                </w:tcPr>
                <w:p w14:paraId="2AE7941D"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1129EB5D"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Net external liabilities: Total public- and private-sector liabilities to </w:t>
                  </w:r>
                  <w:proofErr w:type="spellStart"/>
                  <w:r w:rsidRPr="006439CC">
                    <w:rPr>
                      <w:rFonts w:ascii="Arial" w:eastAsia="Calibri" w:hAnsi="Arial" w:cs="Arial"/>
                      <w:sz w:val="18"/>
                      <w:szCs w:val="18"/>
                      <w:lang w:eastAsia="en-ZA"/>
                    </w:rPr>
                    <w:t>nonresidents</w:t>
                  </w:r>
                  <w:proofErr w:type="spellEnd"/>
                  <w:r w:rsidRPr="006439CC">
                    <w:rPr>
                      <w:rFonts w:ascii="Arial" w:eastAsia="Calibri" w:hAnsi="Arial" w:cs="Arial"/>
                      <w:sz w:val="18"/>
                      <w:szCs w:val="18"/>
                      <w:lang w:eastAsia="en-ZA"/>
                    </w:rPr>
                    <w:t xml:space="preserve"> minus total external assets.</w:t>
                  </w:r>
                </w:p>
              </w:tc>
            </w:tr>
            <w:tr w:rsidR="006439CC" w:rsidRPr="006439CC" w14:paraId="335B67D5" w14:textId="77777777">
              <w:trPr>
                <w:tblCellSpacing w:w="0" w:type="dxa"/>
              </w:trPr>
              <w:tc>
                <w:tcPr>
                  <w:tcW w:w="0" w:type="auto"/>
                  <w:tcMar>
                    <w:top w:w="0" w:type="dxa"/>
                    <w:left w:w="150" w:type="dxa"/>
                    <w:bottom w:w="0" w:type="dxa"/>
                    <w:right w:w="45" w:type="dxa"/>
                  </w:tcMar>
                  <w:hideMark/>
                </w:tcPr>
                <w:p w14:paraId="29DD1053"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20C7FDAC"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 xml:space="preserve">Official reserves: Monetary authority liquid claims in foreign currency (including gold) on </w:t>
                  </w:r>
                  <w:proofErr w:type="spellStart"/>
                  <w:r w:rsidRPr="006439CC">
                    <w:rPr>
                      <w:rFonts w:ascii="Arial" w:eastAsia="Calibri" w:hAnsi="Arial" w:cs="Arial"/>
                      <w:sz w:val="18"/>
                      <w:szCs w:val="18"/>
                      <w:lang w:eastAsia="en-ZA"/>
                    </w:rPr>
                    <w:t>nonresidents</w:t>
                  </w:r>
                  <w:proofErr w:type="spellEnd"/>
                  <w:r w:rsidRPr="006439CC">
                    <w:rPr>
                      <w:rFonts w:ascii="Arial" w:eastAsia="Calibri" w:hAnsi="Arial" w:cs="Arial"/>
                      <w:sz w:val="18"/>
                      <w:szCs w:val="18"/>
                      <w:lang w:eastAsia="en-ZA"/>
                    </w:rPr>
                    <w:t>.</w:t>
                  </w:r>
                </w:p>
              </w:tc>
            </w:tr>
            <w:tr w:rsidR="006439CC" w:rsidRPr="006439CC" w14:paraId="2B68B796" w14:textId="77777777">
              <w:trPr>
                <w:tblCellSpacing w:w="0" w:type="dxa"/>
              </w:trPr>
              <w:tc>
                <w:tcPr>
                  <w:tcW w:w="0" w:type="auto"/>
                  <w:tcMar>
                    <w:top w:w="0" w:type="dxa"/>
                    <w:left w:w="150" w:type="dxa"/>
                    <w:bottom w:w="0" w:type="dxa"/>
                    <w:right w:w="45" w:type="dxa"/>
                  </w:tcMar>
                  <w:hideMark/>
                </w:tcPr>
                <w:p w14:paraId="54AB20A2"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440FC0EA"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Real GDP per capita: Constant-price per capita GDP.</w:t>
                  </w:r>
                </w:p>
              </w:tc>
            </w:tr>
            <w:tr w:rsidR="006439CC" w:rsidRPr="006439CC" w14:paraId="223A5C63" w14:textId="77777777">
              <w:trPr>
                <w:tblCellSpacing w:w="0" w:type="dxa"/>
              </w:trPr>
              <w:tc>
                <w:tcPr>
                  <w:tcW w:w="0" w:type="auto"/>
                  <w:tcMar>
                    <w:top w:w="0" w:type="dxa"/>
                    <w:left w:w="150" w:type="dxa"/>
                    <w:bottom w:w="0" w:type="dxa"/>
                    <w:right w:w="45" w:type="dxa"/>
                  </w:tcMar>
                  <w:hideMark/>
                </w:tcPr>
                <w:p w14:paraId="6B57C284"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20CE37AB"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Terms of trade: Price of goods exports relative to price of goods imports.</w:t>
                  </w:r>
                </w:p>
              </w:tc>
            </w:tr>
            <w:tr w:rsidR="006439CC" w:rsidRPr="006439CC" w14:paraId="61ACF1E5" w14:textId="77777777">
              <w:trPr>
                <w:tblCellSpacing w:w="0" w:type="dxa"/>
              </w:trPr>
              <w:tc>
                <w:tcPr>
                  <w:tcW w:w="0" w:type="auto"/>
                  <w:tcMar>
                    <w:top w:w="0" w:type="dxa"/>
                    <w:left w:w="150" w:type="dxa"/>
                    <w:bottom w:w="0" w:type="dxa"/>
                    <w:right w:w="45" w:type="dxa"/>
                  </w:tcMar>
                  <w:hideMark/>
                </w:tcPr>
                <w:p w14:paraId="33F6FD75"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w:t>
                  </w:r>
                </w:p>
              </w:tc>
              <w:tc>
                <w:tcPr>
                  <w:tcW w:w="0" w:type="auto"/>
                  <w:hideMark/>
                </w:tcPr>
                <w:p w14:paraId="256653E3"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Usable reserves: Official reserves minus items not readily available for foreign exchange operations and repayment of external debt.</w:t>
                  </w:r>
                </w:p>
              </w:tc>
            </w:tr>
          </w:tbl>
          <w:p w14:paraId="42C8D481"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br/>
            </w:r>
            <w:r w:rsidRPr="006439CC">
              <w:rPr>
                <w:rFonts w:ascii="Arial" w:eastAsia="Calibri" w:hAnsi="Arial" w:cs="Arial"/>
                <w:b/>
                <w:bCs/>
                <w:sz w:val="18"/>
                <w:szCs w:val="18"/>
                <w:lang w:eastAsia="en-ZA"/>
              </w:rPr>
              <w:t>Press Office Contacts:</w:t>
            </w:r>
            <w:r w:rsidRPr="006439CC">
              <w:rPr>
                <w:rFonts w:ascii="Arial" w:eastAsia="Calibri" w:hAnsi="Arial" w:cs="Arial"/>
                <w:sz w:val="18"/>
                <w:szCs w:val="18"/>
                <w:lang w:eastAsia="en-ZA"/>
              </w:rPr>
              <w:t xml:space="preserve"> </w:t>
            </w:r>
          </w:p>
          <w:tbl>
            <w:tblPr>
              <w:tblW w:w="0" w:type="auto"/>
              <w:tblCellSpacing w:w="0" w:type="dxa"/>
              <w:tblCellMar>
                <w:left w:w="0" w:type="dxa"/>
                <w:right w:w="0" w:type="dxa"/>
              </w:tblCellMar>
              <w:tblLook w:val="04A0" w:firstRow="1" w:lastRow="0" w:firstColumn="1" w:lastColumn="0" w:noHBand="0" w:noVBand="1"/>
            </w:tblPr>
            <w:tblGrid>
              <w:gridCol w:w="771"/>
              <w:gridCol w:w="1507"/>
            </w:tblGrid>
            <w:tr w:rsidR="006439CC" w:rsidRPr="006439CC" w14:paraId="67BE20CE" w14:textId="77777777">
              <w:trPr>
                <w:tblCellSpacing w:w="0" w:type="dxa"/>
              </w:trPr>
              <w:tc>
                <w:tcPr>
                  <w:tcW w:w="0" w:type="auto"/>
                  <w:vAlign w:val="center"/>
                  <w:hideMark/>
                </w:tcPr>
                <w:p w14:paraId="2D8D2B70"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London:</w:t>
                  </w:r>
                </w:p>
              </w:tc>
              <w:tc>
                <w:tcPr>
                  <w:tcW w:w="0" w:type="auto"/>
                  <w:vAlign w:val="center"/>
                  <w:hideMark/>
                </w:tcPr>
                <w:p w14:paraId="1BC8219C"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+44 20 7176 3605</w:t>
                  </w:r>
                </w:p>
              </w:tc>
            </w:tr>
            <w:tr w:rsidR="006439CC" w:rsidRPr="006439CC" w14:paraId="75E8BBB8" w14:textId="77777777">
              <w:trPr>
                <w:tblCellSpacing w:w="0" w:type="dxa"/>
              </w:trPr>
              <w:tc>
                <w:tcPr>
                  <w:tcW w:w="0" w:type="auto"/>
                  <w:vAlign w:val="center"/>
                  <w:hideMark/>
                </w:tcPr>
                <w:p w14:paraId="03FD7574"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Paris:</w:t>
                  </w:r>
                </w:p>
              </w:tc>
              <w:tc>
                <w:tcPr>
                  <w:tcW w:w="0" w:type="auto"/>
                  <w:vAlign w:val="center"/>
                  <w:hideMark/>
                </w:tcPr>
                <w:p w14:paraId="2D8F84DC"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+33 1 44 20 6740</w:t>
                  </w:r>
                </w:p>
              </w:tc>
            </w:tr>
            <w:tr w:rsidR="006439CC" w:rsidRPr="006439CC" w14:paraId="68007550" w14:textId="77777777">
              <w:trPr>
                <w:tblCellSpacing w:w="0" w:type="dxa"/>
              </w:trPr>
              <w:tc>
                <w:tcPr>
                  <w:tcW w:w="0" w:type="auto"/>
                  <w:vAlign w:val="center"/>
                  <w:hideMark/>
                </w:tcPr>
                <w:p w14:paraId="7C766CD7"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Frankfurt:</w:t>
                  </w:r>
                </w:p>
              </w:tc>
              <w:tc>
                <w:tcPr>
                  <w:tcW w:w="0" w:type="auto"/>
                  <w:vAlign w:val="center"/>
                  <w:hideMark/>
                </w:tcPr>
                <w:p w14:paraId="663A5CA1"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+49 69 33 999 182</w:t>
                  </w:r>
                </w:p>
              </w:tc>
            </w:tr>
            <w:tr w:rsidR="006439CC" w:rsidRPr="006439CC" w14:paraId="08FB83DF" w14:textId="77777777">
              <w:trPr>
                <w:tblCellSpacing w:w="0" w:type="dxa"/>
              </w:trPr>
              <w:tc>
                <w:tcPr>
                  <w:tcW w:w="0" w:type="auto"/>
                  <w:vAlign w:val="center"/>
                  <w:hideMark/>
                </w:tcPr>
                <w:p w14:paraId="74A15C52"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Milan:</w:t>
                  </w:r>
                </w:p>
              </w:tc>
              <w:tc>
                <w:tcPr>
                  <w:tcW w:w="0" w:type="auto"/>
                  <w:vAlign w:val="center"/>
                  <w:hideMark/>
                </w:tcPr>
                <w:p w14:paraId="6D5FA2F5"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+39 02 72 111 245</w:t>
                  </w:r>
                </w:p>
              </w:tc>
            </w:tr>
            <w:tr w:rsidR="006439CC" w:rsidRPr="006439CC" w14:paraId="5A6E1F6F" w14:textId="77777777">
              <w:trPr>
                <w:tblCellSpacing w:w="0" w:type="dxa"/>
              </w:trPr>
              <w:tc>
                <w:tcPr>
                  <w:tcW w:w="0" w:type="auto"/>
                  <w:vAlign w:val="center"/>
                  <w:hideMark/>
                </w:tcPr>
                <w:p w14:paraId="33FEC706"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Moscow:</w:t>
                  </w:r>
                </w:p>
              </w:tc>
              <w:tc>
                <w:tcPr>
                  <w:tcW w:w="0" w:type="auto"/>
                  <w:vAlign w:val="center"/>
                  <w:hideMark/>
                </w:tcPr>
                <w:p w14:paraId="5025EFD2"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t>+7 495 783 4009</w:t>
                  </w:r>
                </w:p>
              </w:tc>
            </w:tr>
          </w:tbl>
          <w:p w14:paraId="4DB8BE7D" w14:textId="77777777" w:rsidR="006439CC" w:rsidRPr="006439CC" w:rsidRDefault="006439CC" w:rsidP="006439CC">
            <w:pPr>
              <w:spacing w:after="0" w:line="15" w:lineRule="atLeast"/>
              <w:rPr>
                <w:rFonts w:ascii="Arial" w:eastAsia="Calibri" w:hAnsi="Arial" w:cs="Arial"/>
                <w:sz w:val="18"/>
                <w:szCs w:val="18"/>
                <w:lang w:eastAsia="en-ZA"/>
              </w:rPr>
            </w:pPr>
            <w:r w:rsidRPr="006439CC">
              <w:rPr>
                <w:rFonts w:ascii="Arial" w:eastAsia="Calibri" w:hAnsi="Arial" w:cs="Arial"/>
                <w:sz w:val="18"/>
                <w:szCs w:val="18"/>
                <w:lang w:eastAsia="en-ZA"/>
              </w:rPr>
              <w:t xml:space="preserve">  </w:t>
            </w:r>
          </w:p>
          <w:p w14:paraId="4370A118"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br/>
              <w:t xml:space="preserve">S&amp;P Global Ratings is the world's leading provider of independent credit ratings. Our ratings are essential to driving growth, providing transparency and helping educate market participants so they can make decisions with confidence. We have more than 1 million credit ratings outstanding on government, corporate, financial sector and structured finance entities and securities. We offer an independent view of the market built on a unique combination of broad perspective and local insight. We provide our opinions and research about relative credit risk; market participants gain independent information to help support the growth of transparent, liquid debt markets worldwide. </w:t>
            </w:r>
            <w:r w:rsidRPr="006439CC">
              <w:rPr>
                <w:rFonts w:ascii="Arial" w:eastAsia="Calibri" w:hAnsi="Arial" w:cs="Arial"/>
                <w:sz w:val="18"/>
                <w:szCs w:val="18"/>
                <w:lang w:eastAsia="en-ZA"/>
              </w:rPr>
              <w:br/>
            </w:r>
            <w:r w:rsidRPr="006439CC">
              <w:rPr>
                <w:rFonts w:ascii="Arial" w:eastAsia="Calibri" w:hAnsi="Arial" w:cs="Arial"/>
                <w:sz w:val="18"/>
                <w:szCs w:val="18"/>
                <w:lang w:eastAsia="en-ZA"/>
              </w:rPr>
              <w:br/>
            </w:r>
            <w:r w:rsidRPr="006439CC">
              <w:rPr>
                <w:rFonts w:ascii="Arial" w:eastAsia="Calibri" w:hAnsi="Arial" w:cs="Arial"/>
                <w:sz w:val="18"/>
                <w:szCs w:val="18"/>
                <w:lang w:eastAsia="en-ZA"/>
              </w:rPr>
              <w:lastRenderedPageBreak/>
              <w:t xml:space="preserve">S&amp;P Global Ratings is a division of S&amp;P Global (NYSE: SPGI), which provides essential intelligence for individuals, companies and governments to make decisions with confidence. For more information, visit </w:t>
            </w:r>
            <w:hyperlink r:id="rId18" w:tooltip="http://www.spglobal.com/ratings" w:history="1">
              <w:r w:rsidRPr="006439CC">
                <w:rPr>
                  <w:rFonts w:ascii="Arial" w:eastAsia="Calibri" w:hAnsi="Arial" w:cs="Arial"/>
                  <w:b/>
                  <w:bCs/>
                  <w:color w:val="0088CC"/>
                  <w:sz w:val="18"/>
                  <w:szCs w:val="18"/>
                  <w:lang w:eastAsia="en-ZA"/>
                </w:rPr>
                <w:t>www.spglobal.com/ratings</w:t>
              </w:r>
            </w:hyperlink>
            <w:r w:rsidRPr="006439CC">
              <w:rPr>
                <w:rFonts w:ascii="Arial" w:eastAsia="Calibri" w:hAnsi="Arial" w:cs="Arial"/>
                <w:sz w:val="18"/>
                <w:szCs w:val="18"/>
                <w:lang w:eastAsia="en-ZA"/>
              </w:rPr>
              <w:t xml:space="preserve">. </w:t>
            </w:r>
          </w:p>
          <w:p w14:paraId="52E0EDD5" w14:textId="77777777" w:rsidR="006439CC" w:rsidRPr="006439CC" w:rsidRDefault="006439CC" w:rsidP="006439CC">
            <w:pPr>
              <w:spacing w:after="0" w:line="15" w:lineRule="atLeast"/>
              <w:rPr>
                <w:rFonts w:ascii="Arial" w:eastAsia="Calibri" w:hAnsi="Arial" w:cs="Arial"/>
                <w:sz w:val="18"/>
                <w:szCs w:val="18"/>
                <w:lang w:eastAsia="en-ZA"/>
              </w:rPr>
            </w:pPr>
            <w:r w:rsidRPr="006439CC">
              <w:rPr>
                <w:rFonts w:ascii="Arial" w:eastAsia="Calibri" w:hAnsi="Arial" w:cs="Arial"/>
                <w:sz w:val="18"/>
                <w:szCs w:val="18"/>
                <w:lang w:eastAsia="en-ZA"/>
              </w:rPr>
              <w:t xml:space="preserve">  </w:t>
            </w:r>
          </w:p>
          <w:p w14:paraId="1A10F599" w14:textId="77777777" w:rsidR="006439CC" w:rsidRPr="006439CC" w:rsidRDefault="006439CC" w:rsidP="006439CC">
            <w:pPr>
              <w:spacing w:after="0" w:line="240" w:lineRule="auto"/>
              <w:rPr>
                <w:rFonts w:ascii="Arial" w:eastAsia="Calibri" w:hAnsi="Arial" w:cs="Arial"/>
                <w:sz w:val="18"/>
                <w:szCs w:val="18"/>
                <w:lang w:eastAsia="en-ZA"/>
              </w:rPr>
            </w:pPr>
            <w:r w:rsidRPr="006439CC">
              <w:rPr>
                <w:rFonts w:ascii="Arial" w:eastAsia="Calibri" w:hAnsi="Arial" w:cs="Arial"/>
                <w:sz w:val="18"/>
                <w:szCs w:val="18"/>
                <w:lang w:eastAsia="en-ZA"/>
              </w:rPr>
              <w:br/>
            </w:r>
            <w:r w:rsidRPr="006439CC">
              <w:rPr>
                <w:rFonts w:ascii="Arial" w:eastAsia="Calibri" w:hAnsi="Arial" w:cs="Arial"/>
                <w:b/>
                <w:bCs/>
                <w:sz w:val="18"/>
                <w:szCs w:val="18"/>
                <w:lang w:eastAsia="en-ZA"/>
              </w:rPr>
              <w:t>Update Profile:</w:t>
            </w:r>
            <w:r w:rsidRPr="006439CC">
              <w:rPr>
                <w:rFonts w:ascii="Arial" w:eastAsia="Calibri" w:hAnsi="Arial" w:cs="Arial"/>
                <w:sz w:val="18"/>
                <w:szCs w:val="18"/>
                <w:lang w:eastAsia="en-ZA"/>
              </w:rPr>
              <w:t xml:space="preserve"> </w:t>
            </w:r>
            <w:r w:rsidRPr="006439CC">
              <w:rPr>
                <w:rFonts w:ascii="Arial" w:eastAsia="Calibri" w:hAnsi="Arial" w:cs="Arial"/>
                <w:sz w:val="18"/>
                <w:szCs w:val="18"/>
                <w:lang w:eastAsia="en-ZA"/>
              </w:rPr>
              <w:br/>
              <w:t xml:space="preserve">If you would like to update your information (telephone number, email address, company, etc.) or change the sectors you receive press releases on, please </w:t>
            </w:r>
            <w:hyperlink r:id="rId19" w:tooltip="media_relations@spglobal.com" w:history="1">
              <w:r w:rsidRPr="006439CC">
                <w:rPr>
                  <w:rFonts w:ascii="Arial" w:eastAsia="Calibri" w:hAnsi="Arial" w:cs="Arial"/>
                  <w:b/>
                  <w:bCs/>
                  <w:color w:val="0088CC"/>
                  <w:sz w:val="18"/>
                  <w:szCs w:val="18"/>
                  <w:lang w:eastAsia="en-ZA"/>
                </w:rPr>
                <w:t>click here</w:t>
              </w:r>
            </w:hyperlink>
            <w:r w:rsidRPr="006439CC">
              <w:rPr>
                <w:rFonts w:ascii="Arial" w:eastAsia="Calibri" w:hAnsi="Arial" w:cs="Arial"/>
                <w:sz w:val="18"/>
                <w:szCs w:val="18"/>
                <w:lang w:eastAsia="en-ZA"/>
              </w:rPr>
              <w:t xml:space="preserve">. </w:t>
            </w:r>
            <w:r w:rsidRPr="006439CC">
              <w:rPr>
                <w:rFonts w:ascii="Arial" w:eastAsia="Calibri" w:hAnsi="Arial" w:cs="Arial"/>
                <w:sz w:val="18"/>
                <w:szCs w:val="18"/>
                <w:lang w:eastAsia="en-ZA"/>
              </w:rPr>
              <w:br/>
            </w:r>
            <w:r w:rsidRPr="006439CC">
              <w:rPr>
                <w:rFonts w:ascii="Arial" w:eastAsia="Calibri" w:hAnsi="Arial" w:cs="Arial"/>
                <w:sz w:val="18"/>
                <w:szCs w:val="18"/>
                <w:lang w:eastAsia="en-ZA"/>
              </w:rPr>
              <w:br/>
              <w:t xml:space="preserve">Visit </w:t>
            </w:r>
            <w:hyperlink r:id="rId20" w:tooltip="http://www.spratings.com/" w:history="1">
              <w:r w:rsidRPr="006439CC">
                <w:rPr>
                  <w:rFonts w:ascii="Arial" w:eastAsia="Calibri" w:hAnsi="Arial" w:cs="Arial"/>
                  <w:b/>
                  <w:bCs/>
                  <w:color w:val="0088CC"/>
                  <w:sz w:val="18"/>
                  <w:szCs w:val="18"/>
                  <w:lang w:eastAsia="en-ZA"/>
                </w:rPr>
                <w:t>SPRatings.com</w:t>
              </w:r>
            </w:hyperlink>
            <w:r w:rsidRPr="006439CC">
              <w:rPr>
                <w:rFonts w:ascii="Arial" w:eastAsia="Calibri" w:hAnsi="Arial" w:cs="Arial"/>
                <w:sz w:val="18"/>
                <w:szCs w:val="18"/>
                <w:lang w:eastAsia="en-ZA"/>
              </w:rPr>
              <w:t xml:space="preserve">, a free, interactive, and informative portal to access highlights from our credit research offerings. Consider this your portal to perspective: </w:t>
            </w:r>
            <w:hyperlink r:id="rId21" w:tooltip="http://www.spratings.com/" w:history="1">
              <w:r w:rsidRPr="006439CC">
                <w:rPr>
                  <w:rFonts w:ascii="Arial" w:eastAsia="Calibri" w:hAnsi="Arial" w:cs="Arial"/>
                  <w:b/>
                  <w:bCs/>
                  <w:color w:val="0088CC"/>
                  <w:sz w:val="18"/>
                  <w:szCs w:val="18"/>
                  <w:lang w:eastAsia="en-ZA"/>
                </w:rPr>
                <w:t>www.spratings.com</w:t>
              </w:r>
            </w:hyperlink>
            <w:r w:rsidRPr="006439CC">
              <w:rPr>
                <w:rFonts w:ascii="Arial" w:eastAsia="Calibri" w:hAnsi="Arial" w:cs="Arial"/>
                <w:sz w:val="18"/>
                <w:szCs w:val="18"/>
                <w:lang w:eastAsia="en-ZA"/>
              </w:rPr>
              <w:t xml:space="preserve">. </w:t>
            </w:r>
          </w:p>
          <w:p w14:paraId="17AAB3AB" w14:textId="77777777" w:rsidR="006439CC" w:rsidRPr="006439CC" w:rsidRDefault="006439CC" w:rsidP="006439CC">
            <w:pPr>
              <w:spacing w:after="0" w:line="15" w:lineRule="atLeast"/>
              <w:rPr>
                <w:rFonts w:ascii="Arial" w:eastAsia="Calibri" w:hAnsi="Arial" w:cs="Arial"/>
                <w:sz w:val="18"/>
                <w:szCs w:val="18"/>
                <w:lang w:eastAsia="en-ZA"/>
              </w:rPr>
            </w:pPr>
            <w:r w:rsidRPr="006439CC">
              <w:rPr>
                <w:rFonts w:ascii="Arial" w:eastAsia="Calibri" w:hAnsi="Arial" w:cs="Arial"/>
                <w:sz w:val="18"/>
                <w:szCs w:val="18"/>
                <w:lang w:eastAsia="en-ZA"/>
              </w:rPr>
              <w:t xml:space="preserve">  </w:t>
            </w:r>
          </w:p>
        </w:tc>
      </w:tr>
    </w:tbl>
    <w:p w14:paraId="51F7FB9B" w14:textId="77777777" w:rsidR="00EC7906" w:rsidRDefault="00EC7906"/>
    <w:sectPr w:rsidR="00EC79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44F8E"/>
    <w:rsid w:val="00344F8E"/>
    <w:rsid w:val="006439CC"/>
    <w:rsid w:val="00EC790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971E"/>
  <w15:chartTrackingRefBased/>
  <w15:docId w15:val="{36705EC0-A6C2-4CFB-8A35-7C91B8C0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439CC"/>
  </w:style>
  <w:style w:type="character" w:styleId="Hyperlink">
    <w:name w:val="Hyperlink"/>
    <w:basedOn w:val="DefaultParagraphFont"/>
    <w:uiPriority w:val="99"/>
    <w:semiHidden/>
    <w:unhideWhenUsed/>
    <w:rsid w:val="006439CC"/>
    <w:rPr>
      <w:b/>
      <w:bCs/>
      <w:strike w:val="0"/>
      <w:dstrike w:val="0"/>
      <w:color w:val="0088CC"/>
      <w:u w:val="none"/>
      <w:effect w:val="none"/>
    </w:rPr>
  </w:style>
  <w:style w:type="character" w:styleId="FollowedHyperlink">
    <w:name w:val="FollowedHyperlink"/>
    <w:basedOn w:val="DefaultParagraphFont"/>
    <w:uiPriority w:val="99"/>
    <w:semiHidden/>
    <w:unhideWhenUsed/>
    <w:rsid w:val="006439CC"/>
    <w:rPr>
      <w:b/>
      <w:bCs/>
      <w:strike w:val="0"/>
      <w:dstrike w:val="0"/>
      <w:color w:val="0088CC"/>
      <w:u w:val="none"/>
      <w:effect w:val="none"/>
    </w:rPr>
  </w:style>
  <w:style w:type="paragraph" w:customStyle="1" w:styleId="msonormal0">
    <w:name w:val="msonormal"/>
    <w:basedOn w:val="Normal"/>
    <w:uiPriority w:val="99"/>
    <w:semiHidden/>
    <w:rsid w:val="006439CC"/>
    <w:pPr>
      <w:spacing w:before="100" w:beforeAutospacing="1" w:after="100" w:afterAutospacing="1" w:line="240" w:lineRule="auto"/>
    </w:pPr>
    <w:rPr>
      <w:rFonts w:ascii="Times New Roman" w:eastAsia="Calibri" w:hAnsi="Times New Roman" w:cs="Times New Roman"/>
      <w:sz w:val="24"/>
      <w:szCs w:val="24"/>
      <w:lang w:eastAsia="en-ZA"/>
    </w:rPr>
  </w:style>
  <w:style w:type="paragraph" w:styleId="NormalWeb">
    <w:name w:val="Normal (Web)"/>
    <w:basedOn w:val="Normal"/>
    <w:uiPriority w:val="99"/>
    <w:semiHidden/>
    <w:unhideWhenUsed/>
    <w:rsid w:val="006439CC"/>
    <w:pPr>
      <w:spacing w:before="100" w:beforeAutospacing="1" w:after="100" w:afterAutospacing="1" w:line="240" w:lineRule="auto"/>
    </w:pPr>
    <w:rPr>
      <w:rFonts w:ascii="Calibri" w:eastAsia="Calibri" w:hAnsi="Calibri" w:cs="Calibri"/>
      <w:lang w:eastAsia="en-ZA"/>
    </w:rPr>
  </w:style>
  <w:style w:type="character" w:customStyle="1" w:styleId="emailstyle18">
    <w:name w:val="emailstyle18"/>
    <w:basedOn w:val="DefaultParagraphFont"/>
    <w:semiHidden/>
    <w:rsid w:val="006439CC"/>
    <w:rPr>
      <w:rFonts w:ascii="Calibri Light" w:hAnsi="Calibri Light" w:cs="Calibri Light" w:hint="default"/>
      <w:b w:val="0"/>
      <w:bCs w:val="0"/>
      <w:i w:val="0"/>
      <w:iCs w:val="0"/>
      <w:strike w:val="0"/>
      <w:dstrike w:val="0"/>
      <w:color w:val="auto"/>
      <w:u w:val="none"/>
      <w:effect w:val="none"/>
    </w:rPr>
  </w:style>
  <w:style w:type="character" w:customStyle="1" w:styleId="emailstyle19">
    <w:name w:val="emailstyle19"/>
    <w:basedOn w:val="DefaultParagraphFont"/>
    <w:semiHidden/>
    <w:rsid w:val="006439CC"/>
    <w:rPr>
      <w:rFonts w:ascii="Calibri Light" w:hAnsi="Calibri Light" w:cs="Calibri Light" w:hint="default"/>
      <w:b w:val="0"/>
      <w:bCs w:val="0"/>
      <w:i w:val="0"/>
      <w:iCs w:val="0"/>
      <w:strike w:val="0"/>
      <w:dstrike w:val="0"/>
      <w:color w:val="auto"/>
      <w:u w:val="none"/>
      <w:effect w:val="none"/>
    </w:rPr>
  </w:style>
  <w:style w:type="character" w:customStyle="1" w:styleId="emailstyle20">
    <w:name w:val="emailstyle20"/>
    <w:basedOn w:val="DefaultParagraphFont"/>
    <w:semiHidden/>
    <w:rsid w:val="006439CC"/>
    <w:rPr>
      <w:rFonts w:ascii="Verdana" w:hAnsi="Verdana" w:hint="default"/>
      <w:b w:val="0"/>
      <w:bCs w:val="0"/>
      <w:i w:val="0"/>
      <w:iCs w:val="0"/>
      <w:strike w:val="0"/>
      <w:dstrike w:val="0"/>
      <w:color w:val="404040"/>
      <w:u w:val="none"/>
      <w:effect w:val="none"/>
    </w:rPr>
  </w:style>
  <w:style w:type="character" w:styleId="Strong">
    <w:name w:val="Strong"/>
    <w:basedOn w:val="DefaultParagraphFont"/>
    <w:uiPriority w:val="22"/>
    <w:qFormat/>
    <w:rsid w:val="006439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986227">
      <w:bodyDiv w:val="1"/>
      <w:marLeft w:val="0"/>
      <w:marRight w:val="0"/>
      <w:marTop w:val="0"/>
      <w:marBottom w:val="0"/>
      <w:divBdr>
        <w:top w:val="none" w:sz="0" w:space="0" w:color="auto"/>
        <w:left w:val="none" w:sz="0" w:space="0" w:color="auto"/>
        <w:bottom w:val="none" w:sz="0" w:space="0" w:color="auto"/>
        <w:right w:val="none" w:sz="0" w:space="0" w:color="auto"/>
      </w:divBdr>
    </w:div>
    <w:div w:id="104761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ratings.spglobal.com/Q0oS04M0Tc2g50Fxr30Hef0" TargetMode="External"/><Relationship Id="rId13" Type="http://schemas.openxmlformats.org/officeDocument/2006/relationships/hyperlink" Target="https://app.ratings.spglobal.com/HT002350FfM4oSe0gxM00hr" TargetMode="External"/><Relationship Id="rId18" Type="http://schemas.openxmlformats.org/officeDocument/2006/relationships/hyperlink" Target="https://app.ratings.spglobal.com/b0003rMgoTl0SfxQ02054eF" TargetMode="External"/><Relationship Id="rId3" Type="http://schemas.openxmlformats.org/officeDocument/2006/relationships/webSettings" Target="webSettings.xml"/><Relationship Id="rId21" Type="http://schemas.openxmlformats.org/officeDocument/2006/relationships/hyperlink" Target="https://app.ratings.spglobal.com/kT0Sg0F30of02Mr54x0ne0S" TargetMode="External"/><Relationship Id="rId7" Type="http://schemas.openxmlformats.org/officeDocument/2006/relationships/hyperlink" Target="https://app.ratings.spglobal.com/U5Gf0eS0gM3Tro02xF000b4" TargetMode="External"/><Relationship Id="rId12" Type="http://schemas.openxmlformats.org/officeDocument/2006/relationships/hyperlink" Target="https://app.ratings.spglobal.com/ZMFef0xLr0300504g20gSTo" TargetMode="External"/><Relationship Id="rId17" Type="http://schemas.openxmlformats.org/officeDocument/2006/relationships/hyperlink" Target="https://app.ratings.spglobal.com/kT0Pg0F30of02Mr54x0ke0S" TargetMode="External"/><Relationship Id="rId2" Type="http://schemas.openxmlformats.org/officeDocument/2006/relationships/settings" Target="settings.xml"/><Relationship Id="rId16" Type="http://schemas.openxmlformats.org/officeDocument/2006/relationships/hyperlink" Target="https://app.ratings.spglobal.com/NM00jT5r000xfoS3OFe042g" TargetMode="External"/><Relationship Id="rId20" Type="http://schemas.openxmlformats.org/officeDocument/2006/relationships/hyperlink" Target="https://app.ratings.spglobal.com/kT0Sg0F30of02Mr54x0ne0S" TargetMode="External"/><Relationship Id="rId1" Type="http://schemas.openxmlformats.org/officeDocument/2006/relationships/styles" Target="styles.xml"/><Relationship Id="rId6" Type="http://schemas.openxmlformats.org/officeDocument/2006/relationships/hyperlink" Target="https://app.ratings.spglobal.com/CMf00F0ag0oT0Fr4253xS0e" TargetMode="External"/><Relationship Id="rId11" Type="http://schemas.openxmlformats.org/officeDocument/2006/relationships/hyperlink" Target="https://app.ratings.spglobal.com/WT0xKFMeg0f2Srf00534o00" TargetMode="External"/><Relationship Id="rId5" Type="http://schemas.openxmlformats.org/officeDocument/2006/relationships/hyperlink" Target="https://app.ratings.spglobal.com/P030F0rTgM0f9e0o04ESx52" TargetMode="External"/><Relationship Id="rId15" Type="http://schemas.openxmlformats.org/officeDocument/2006/relationships/hyperlink" Target="https://app.ratings.spglobal.com/NM00jT5r000xfoS3OFe042g" TargetMode="External"/><Relationship Id="rId23" Type="http://schemas.openxmlformats.org/officeDocument/2006/relationships/theme" Target="theme/theme1.xml"/><Relationship Id="rId10" Type="http://schemas.openxmlformats.org/officeDocument/2006/relationships/hyperlink" Target="https://app.ratings.spglobal.com/L5e2SM00x3eo0TJ4f0g0r0F" TargetMode="External"/><Relationship Id="rId19" Type="http://schemas.openxmlformats.org/officeDocument/2006/relationships/hyperlink" Target="https://app.ratings.spglobal.com/a0230g0x5T0400RSmMFoefr" TargetMode="External"/><Relationship Id="rId4" Type="http://schemas.openxmlformats.org/officeDocument/2006/relationships/image" Target="media/image1.gif"/><Relationship Id="rId9" Type="http://schemas.openxmlformats.org/officeDocument/2006/relationships/hyperlink" Target="https://app.ratings.spglobal.com/SM0S2r04g0e0FTf3x00o5Id" TargetMode="External"/><Relationship Id="rId14" Type="http://schemas.openxmlformats.org/officeDocument/2006/relationships/hyperlink" Target="https://app.ratings.spglobal.com/eF34iS02000MTo05exNgf0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10</Pages>
  <Words>6175</Words>
  <Characters>35198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Dulmaier</dc:creator>
  <cp:keywords/>
  <dc:description/>
  <cp:lastModifiedBy>Marilyn Dulmaier</cp:lastModifiedBy>
  <cp:revision>1</cp:revision>
  <dcterms:created xsi:type="dcterms:W3CDTF">2019-11-25T06:00:00Z</dcterms:created>
  <dcterms:modified xsi:type="dcterms:W3CDTF">2019-11-25T09:43:00Z</dcterms:modified>
</cp:coreProperties>
</file>