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41762" w14:textId="77777777" w:rsidR="00382ADA" w:rsidRDefault="00AB5637">
      <w:r>
        <w:rPr>
          <w:rFonts w:ascii="Verdana" w:hAnsi="Verdana"/>
          <w:noProof/>
          <w:lang w:eastAsia="en-ZA"/>
        </w:rPr>
        <w:drawing>
          <wp:inline distT="0" distB="0" distL="0" distR="0" wp14:anchorId="540417E4" wp14:editId="540417E5">
            <wp:extent cx="3562350" cy="752475"/>
            <wp:effectExtent l="0" t="0" r="0" b="9525"/>
            <wp:docPr id="1" name="Picture 1"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62350" cy="752475"/>
                    </a:xfrm>
                    <a:prstGeom prst="rect">
                      <a:avLst/>
                    </a:prstGeom>
                    <a:noFill/>
                    <a:ln>
                      <a:noFill/>
                    </a:ln>
                  </pic:spPr>
                </pic:pic>
              </a:graphicData>
            </a:graphic>
          </wp:inline>
        </w:drawing>
      </w:r>
    </w:p>
    <w:p w14:paraId="65A75AC0" w14:textId="77777777" w:rsidR="00083E17" w:rsidRDefault="00083E17" w:rsidP="001976A7">
      <w:pPr>
        <w:pStyle w:val="Heading1"/>
        <w:spacing w:before="0" w:after="0" w:line="320" w:lineRule="atLeast"/>
        <w:rPr>
          <w:rFonts w:ascii="Verdana" w:hAnsi="Verdana"/>
          <w:sz w:val="24"/>
          <w:szCs w:val="24"/>
        </w:rPr>
      </w:pPr>
    </w:p>
    <w:p w14:paraId="54041764" w14:textId="339BC1AC" w:rsidR="00AB5637" w:rsidRPr="00A06583" w:rsidRDefault="008C19C4" w:rsidP="001976A7">
      <w:pPr>
        <w:pStyle w:val="Heading1"/>
        <w:spacing w:before="0" w:after="0" w:line="320" w:lineRule="atLeast"/>
        <w:rPr>
          <w:rFonts w:ascii="Verdana" w:hAnsi="Verdana"/>
          <w:sz w:val="24"/>
          <w:szCs w:val="24"/>
        </w:rPr>
      </w:pPr>
      <w:r>
        <w:rPr>
          <w:rFonts w:ascii="Verdana" w:hAnsi="Verdana"/>
          <w:sz w:val="24"/>
          <w:szCs w:val="24"/>
        </w:rPr>
        <w:t xml:space="preserve">State of the </w:t>
      </w:r>
      <w:r w:rsidR="00FC15C7">
        <w:rPr>
          <w:rFonts w:ascii="Verdana" w:hAnsi="Verdana"/>
          <w:sz w:val="24"/>
          <w:szCs w:val="24"/>
        </w:rPr>
        <w:t>S</w:t>
      </w:r>
      <w:r w:rsidR="00834896">
        <w:rPr>
          <w:rFonts w:ascii="Verdana" w:hAnsi="Verdana"/>
          <w:sz w:val="24"/>
          <w:szCs w:val="24"/>
        </w:rPr>
        <w:t xml:space="preserve">outh </w:t>
      </w:r>
      <w:r w:rsidR="00FC15C7">
        <w:rPr>
          <w:rFonts w:ascii="Verdana" w:hAnsi="Verdana"/>
          <w:sz w:val="24"/>
          <w:szCs w:val="24"/>
        </w:rPr>
        <w:t>A</w:t>
      </w:r>
      <w:r w:rsidR="00834896">
        <w:rPr>
          <w:rFonts w:ascii="Verdana" w:hAnsi="Verdana"/>
          <w:sz w:val="24"/>
          <w:szCs w:val="24"/>
        </w:rPr>
        <w:t>frican</w:t>
      </w:r>
      <w:r w:rsidR="00FC15C7">
        <w:rPr>
          <w:rFonts w:ascii="Verdana" w:hAnsi="Verdana"/>
          <w:sz w:val="24"/>
          <w:szCs w:val="24"/>
        </w:rPr>
        <w:t xml:space="preserve"> </w:t>
      </w:r>
      <w:r w:rsidR="00D3426D">
        <w:rPr>
          <w:rFonts w:ascii="Verdana" w:hAnsi="Verdana"/>
          <w:sz w:val="24"/>
          <w:szCs w:val="24"/>
        </w:rPr>
        <w:t>E</w:t>
      </w:r>
      <w:r w:rsidR="00834896">
        <w:rPr>
          <w:rFonts w:ascii="Verdana" w:hAnsi="Verdana"/>
          <w:sz w:val="24"/>
          <w:szCs w:val="24"/>
        </w:rPr>
        <w:t xml:space="preserve">xchange </w:t>
      </w:r>
      <w:r w:rsidR="00D3426D">
        <w:rPr>
          <w:rFonts w:ascii="Verdana" w:hAnsi="Verdana"/>
          <w:sz w:val="24"/>
          <w:szCs w:val="24"/>
        </w:rPr>
        <w:t>T</w:t>
      </w:r>
      <w:r w:rsidR="00834896">
        <w:rPr>
          <w:rFonts w:ascii="Verdana" w:hAnsi="Verdana"/>
          <w:sz w:val="24"/>
          <w:szCs w:val="24"/>
        </w:rPr>
        <w:t xml:space="preserve">raded </w:t>
      </w:r>
      <w:r w:rsidR="00D3426D">
        <w:rPr>
          <w:rFonts w:ascii="Verdana" w:hAnsi="Verdana"/>
          <w:sz w:val="24"/>
          <w:szCs w:val="24"/>
        </w:rPr>
        <w:t>P</w:t>
      </w:r>
      <w:r w:rsidR="00834896">
        <w:rPr>
          <w:rFonts w:ascii="Verdana" w:hAnsi="Verdana"/>
          <w:sz w:val="24"/>
          <w:szCs w:val="24"/>
        </w:rPr>
        <w:t>roduct (ETP)</w:t>
      </w:r>
      <w:r>
        <w:rPr>
          <w:rFonts w:ascii="Verdana" w:hAnsi="Verdana"/>
          <w:sz w:val="24"/>
          <w:szCs w:val="24"/>
        </w:rPr>
        <w:t xml:space="preserve"> Industry </w:t>
      </w:r>
      <w:r w:rsidR="00FC15C7">
        <w:rPr>
          <w:rFonts w:ascii="Verdana" w:hAnsi="Verdana"/>
          <w:sz w:val="24"/>
          <w:szCs w:val="24"/>
        </w:rPr>
        <w:t xml:space="preserve">– </w:t>
      </w:r>
      <w:r w:rsidR="00DB291B">
        <w:rPr>
          <w:rFonts w:ascii="Verdana" w:hAnsi="Verdana"/>
          <w:sz w:val="24"/>
          <w:szCs w:val="24"/>
        </w:rPr>
        <w:t>a</w:t>
      </w:r>
      <w:r w:rsidR="00441724">
        <w:rPr>
          <w:rFonts w:ascii="Verdana" w:hAnsi="Verdana"/>
          <w:sz w:val="24"/>
          <w:szCs w:val="24"/>
        </w:rPr>
        <w:t xml:space="preserve">s </w:t>
      </w:r>
      <w:r w:rsidR="00B6448D">
        <w:rPr>
          <w:rFonts w:ascii="Verdana" w:hAnsi="Verdana"/>
          <w:sz w:val="24"/>
          <w:szCs w:val="24"/>
        </w:rPr>
        <w:t>a</w:t>
      </w:r>
      <w:r w:rsidR="00441724">
        <w:rPr>
          <w:rFonts w:ascii="Verdana" w:hAnsi="Verdana"/>
          <w:sz w:val="24"/>
          <w:szCs w:val="24"/>
        </w:rPr>
        <w:t xml:space="preserve">t </w:t>
      </w:r>
      <w:r w:rsidR="00C2040D">
        <w:rPr>
          <w:rFonts w:ascii="Verdana" w:hAnsi="Verdana"/>
          <w:sz w:val="24"/>
          <w:szCs w:val="24"/>
        </w:rPr>
        <w:t>31</w:t>
      </w:r>
      <w:r w:rsidR="00C2040D" w:rsidRPr="00C2040D">
        <w:rPr>
          <w:rFonts w:ascii="Verdana" w:hAnsi="Verdana"/>
          <w:sz w:val="24"/>
          <w:szCs w:val="24"/>
          <w:vertAlign w:val="superscript"/>
        </w:rPr>
        <w:t>st</w:t>
      </w:r>
      <w:r w:rsidR="00C2040D">
        <w:rPr>
          <w:rFonts w:ascii="Verdana" w:hAnsi="Verdana"/>
          <w:sz w:val="24"/>
          <w:szCs w:val="24"/>
        </w:rPr>
        <w:t xml:space="preserve"> December</w:t>
      </w:r>
      <w:r w:rsidR="00870751">
        <w:rPr>
          <w:rFonts w:ascii="Verdana" w:hAnsi="Verdana"/>
          <w:sz w:val="24"/>
          <w:szCs w:val="24"/>
        </w:rPr>
        <w:t xml:space="preserve"> 201</w:t>
      </w:r>
      <w:r w:rsidR="008927A0">
        <w:rPr>
          <w:rFonts w:ascii="Verdana" w:hAnsi="Verdana"/>
          <w:sz w:val="24"/>
          <w:szCs w:val="24"/>
        </w:rPr>
        <w:t>8</w:t>
      </w:r>
    </w:p>
    <w:p w14:paraId="54041766" w14:textId="77777777" w:rsidR="00AB5637" w:rsidRPr="00F7786F" w:rsidRDefault="00AB5637" w:rsidP="001976A7">
      <w:pPr>
        <w:pStyle w:val="Heading1"/>
        <w:spacing w:before="0" w:after="0" w:line="320" w:lineRule="atLeast"/>
        <w:rPr>
          <w:rFonts w:ascii="Verdana" w:hAnsi="Verdana"/>
          <w:b w:val="0"/>
          <w:sz w:val="22"/>
          <w:szCs w:val="22"/>
        </w:rPr>
      </w:pPr>
      <w:r w:rsidRPr="00F7786F">
        <w:rPr>
          <w:rFonts w:ascii="Verdana" w:hAnsi="Verdana"/>
          <w:sz w:val="22"/>
          <w:szCs w:val="22"/>
        </w:rPr>
        <w:t>Mike Brown, Managing Director, etfSA.co.za</w:t>
      </w:r>
    </w:p>
    <w:p w14:paraId="1B1021F2" w14:textId="77777777" w:rsidR="005D7F9E" w:rsidRDefault="005D7F9E" w:rsidP="001976A7">
      <w:pPr>
        <w:spacing w:after="0" w:line="320" w:lineRule="atLeast"/>
        <w:jc w:val="both"/>
        <w:rPr>
          <w:rFonts w:ascii="Verdana" w:hAnsi="Verdana"/>
          <w:sz w:val="21"/>
          <w:szCs w:val="21"/>
        </w:rPr>
      </w:pPr>
    </w:p>
    <w:p w14:paraId="02968165" w14:textId="03B3257E" w:rsidR="007D1C48" w:rsidRDefault="00511FB5" w:rsidP="00FC62D1">
      <w:pPr>
        <w:spacing w:after="0" w:line="300" w:lineRule="atLeast"/>
        <w:jc w:val="both"/>
        <w:rPr>
          <w:rFonts w:ascii="Verdana" w:hAnsi="Verdana"/>
          <w:b/>
          <w:color w:val="C00000"/>
          <w:sz w:val="24"/>
          <w:szCs w:val="24"/>
        </w:rPr>
      </w:pPr>
      <w:r w:rsidRPr="003A3D19">
        <w:rPr>
          <w:rFonts w:ascii="Verdana" w:hAnsi="Verdana"/>
          <w:b/>
          <w:color w:val="C00000"/>
          <w:sz w:val="24"/>
          <w:szCs w:val="24"/>
        </w:rPr>
        <w:t>Market Capitalisation</w:t>
      </w:r>
    </w:p>
    <w:p w14:paraId="55BE0BF4" w14:textId="447AD24B" w:rsidR="00D72BC0" w:rsidRDefault="00F14ACA" w:rsidP="00083E17">
      <w:pPr>
        <w:spacing w:after="0" w:line="360" w:lineRule="atLeast"/>
        <w:jc w:val="both"/>
        <w:rPr>
          <w:rFonts w:ascii="Verdana" w:hAnsi="Verdana"/>
          <w:color w:val="000000" w:themeColor="text1"/>
          <w:sz w:val="21"/>
          <w:szCs w:val="21"/>
        </w:rPr>
      </w:pPr>
      <w:r>
        <w:rPr>
          <w:rFonts w:ascii="Verdana" w:hAnsi="Verdana"/>
          <w:color w:val="000000" w:themeColor="text1"/>
          <w:sz w:val="21"/>
          <w:szCs w:val="21"/>
        </w:rPr>
        <w:t>A</w:t>
      </w:r>
      <w:r w:rsidR="005248F6">
        <w:rPr>
          <w:rFonts w:ascii="Verdana" w:hAnsi="Verdana"/>
          <w:color w:val="000000" w:themeColor="text1"/>
          <w:sz w:val="21"/>
          <w:szCs w:val="21"/>
        </w:rPr>
        <w:t>t</w:t>
      </w:r>
      <w:r>
        <w:rPr>
          <w:rFonts w:ascii="Verdana" w:hAnsi="Verdana"/>
          <w:color w:val="000000" w:themeColor="text1"/>
          <w:sz w:val="21"/>
          <w:szCs w:val="21"/>
        </w:rPr>
        <w:t xml:space="preserve"> the end of </w:t>
      </w:r>
      <w:r w:rsidR="005248F6">
        <w:rPr>
          <w:rFonts w:ascii="Verdana" w:hAnsi="Verdana"/>
          <w:color w:val="000000" w:themeColor="text1"/>
          <w:sz w:val="21"/>
          <w:szCs w:val="21"/>
        </w:rPr>
        <w:t>December</w:t>
      </w:r>
      <w:r>
        <w:rPr>
          <w:rFonts w:ascii="Verdana" w:hAnsi="Verdana"/>
          <w:color w:val="000000" w:themeColor="text1"/>
          <w:sz w:val="21"/>
          <w:szCs w:val="21"/>
        </w:rPr>
        <w:t xml:space="preserve"> 2018, the </w:t>
      </w:r>
      <w:r w:rsidR="005248F6">
        <w:rPr>
          <w:rFonts w:ascii="Verdana" w:hAnsi="Verdana"/>
          <w:color w:val="000000" w:themeColor="text1"/>
          <w:sz w:val="21"/>
          <w:szCs w:val="21"/>
        </w:rPr>
        <w:t xml:space="preserve">total </w:t>
      </w:r>
      <w:r>
        <w:rPr>
          <w:rFonts w:ascii="Verdana" w:hAnsi="Verdana"/>
          <w:color w:val="000000" w:themeColor="text1"/>
          <w:sz w:val="21"/>
          <w:szCs w:val="21"/>
        </w:rPr>
        <w:t xml:space="preserve">market capitalisation of all ETFs and ETNs, listed on the JSE, </w:t>
      </w:r>
      <w:r w:rsidR="005135D4">
        <w:rPr>
          <w:rFonts w:ascii="Verdana" w:hAnsi="Verdana"/>
          <w:color w:val="000000" w:themeColor="text1"/>
          <w:sz w:val="21"/>
          <w:szCs w:val="21"/>
        </w:rPr>
        <w:t xml:space="preserve">amounted </w:t>
      </w:r>
      <w:r>
        <w:rPr>
          <w:rFonts w:ascii="Verdana" w:hAnsi="Verdana"/>
          <w:color w:val="000000" w:themeColor="text1"/>
          <w:sz w:val="21"/>
          <w:szCs w:val="21"/>
        </w:rPr>
        <w:t>to R</w:t>
      </w:r>
      <w:r w:rsidR="005248F6">
        <w:rPr>
          <w:rFonts w:ascii="Verdana" w:hAnsi="Verdana"/>
          <w:color w:val="000000" w:themeColor="text1"/>
          <w:sz w:val="21"/>
          <w:szCs w:val="21"/>
        </w:rPr>
        <w:t>77</w:t>
      </w:r>
      <w:r>
        <w:rPr>
          <w:rFonts w:ascii="Verdana" w:hAnsi="Verdana"/>
          <w:color w:val="000000" w:themeColor="text1"/>
          <w:sz w:val="21"/>
          <w:szCs w:val="21"/>
        </w:rPr>
        <w:t>,</w:t>
      </w:r>
      <w:r w:rsidR="005248F6">
        <w:rPr>
          <w:rFonts w:ascii="Verdana" w:hAnsi="Verdana"/>
          <w:color w:val="000000" w:themeColor="text1"/>
          <w:sz w:val="21"/>
          <w:szCs w:val="21"/>
        </w:rPr>
        <w:t>8</w:t>
      </w:r>
      <w:r>
        <w:rPr>
          <w:rFonts w:ascii="Verdana" w:hAnsi="Verdana"/>
          <w:color w:val="000000" w:themeColor="text1"/>
          <w:sz w:val="21"/>
          <w:szCs w:val="21"/>
        </w:rPr>
        <w:t xml:space="preserve"> billion.  This </w:t>
      </w:r>
      <w:r w:rsidR="005248F6">
        <w:rPr>
          <w:rFonts w:ascii="Verdana" w:hAnsi="Verdana"/>
          <w:color w:val="000000" w:themeColor="text1"/>
          <w:sz w:val="21"/>
          <w:szCs w:val="21"/>
        </w:rPr>
        <w:t>i</w:t>
      </w:r>
      <w:r>
        <w:rPr>
          <w:rFonts w:ascii="Verdana" w:hAnsi="Verdana"/>
          <w:color w:val="000000" w:themeColor="text1"/>
          <w:sz w:val="21"/>
          <w:szCs w:val="21"/>
        </w:rPr>
        <w:t xml:space="preserve">s a </w:t>
      </w:r>
      <w:r w:rsidR="005248F6">
        <w:rPr>
          <w:rFonts w:ascii="Verdana" w:hAnsi="Verdana"/>
          <w:color w:val="000000" w:themeColor="text1"/>
          <w:sz w:val="21"/>
          <w:szCs w:val="21"/>
        </w:rPr>
        <w:t xml:space="preserve">drop of 8,5% on the </w:t>
      </w:r>
      <w:r>
        <w:rPr>
          <w:rFonts w:ascii="Verdana" w:hAnsi="Verdana"/>
          <w:color w:val="000000" w:themeColor="text1"/>
          <w:sz w:val="21"/>
          <w:szCs w:val="21"/>
        </w:rPr>
        <w:t xml:space="preserve">market capitalisation of </w:t>
      </w:r>
      <w:r w:rsidR="005248F6">
        <w:rPr>
          <w:rFonts w:ascii="Verdana" w:hAnsi="Verdana"/>
          <w:color w:val="000000" w:themeColor="text1"/>
          <w:sz w:val="21"/>
          <w:szCs w:val="21"/>
        </w:rPr>
        <w:t>the ETP industry at the end of 2017</w:t>
      </w:r>
      <w:r>
        <w:rPr>
          <w:rFonts w:ascii="Verdana" w:hAnsi="Verdana"/>
          <w:color w:val="000000" w:themeColor="text1"/>
          <w:sz w:val="21"/>
          <w:szCs w:val="21"/>
        </w:rPr>
        <w:t xml:space="preserve">. </w:t>
      </w:r>
    </w:p>
    <w:p w14:paraId="07AF6E62" w14:textId="702A6942" w:rsidR="00D826DB" w:rsidRDefault="00D826DB" w:rsidP="00083E17">
      <w:pPr>
        <w:spacing w:after="0" w:line="360" w:lineRule="atLeast"/>
        <w:jc w:val="both"/>
        <w:rPr>
          <w:rFonts w:ascii="Verdana" w:hAnsi="Verdana"/>
          <w:color w:val="000000" w:themeColor="text1"/>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5"/>
        <w:gridCol w:w="7026"/>
      </w:tblGrid>
      <w:tr w:rsidR="00D826DB" w14:paraId="02D18F07" w14:textId="77777777" w:rsidTr="00E72DBE">
        <w:tc>
          <w:tcPr>
            <w:tcW w:w="2925" w:type="dxa"/>
            <w:vAlign w:val="center"/>
          </w:tcPr>
          <w:p w14:paraId="1EC26A6C" w14:textId="6DBFFF48" w:rsidR="00D826DB" w:rsidRDefault="005248F6" w:rsidP="00F14ACA">
            <w:pPr>
              <w:spacing w:line="340" w:lineRule="atLeast"/>
              <w:rPr>
                <w:rFonts w:ascii="Verdana" w:hAnsi="Verdana"/>
                <w:color w:val="000000" w:themeColor="text1"/>
                <w:sz w:val="21"/>
                <w:szCs w:val="21"/>
              </w:rPr>
            </w:pPr>
            <w:r>
              <w:rPr>
                <w:rFonts w:ascii="Verdana" w:hAnsi="Verdana"/>
                <w:color w:val="000000" w:themeColor="text1"/>
                <w:sz w:val="21"/>
                <w:szCs w:val="21"/>
              </w:rPr>
              <w:t>Most of the change in market capitalisation took place in the fi</w:t>
            </w:r>
            <w:r w:rsidR="005135D4">
              <w:rPr>
                <w:rFonts w:ascii="Verdana" w:hAnsi="Verdana"/>
                <w:color w:val="000000" w:themeColor="text1"/>
                <w:sz w:val="21"/>
                <w:szCs w:val="21"/>
              </w:rPr>
              <w:t>nal</w:t>
            </w:r>
            <w:r>
              <w:rPr>
                <w:rFonts w:ascii="Verdana" w:hAnsi="Verdana"/>
                <w:color w:val="000000" w:themeColor="text1"/>
                <w:sz w:val="21"/>
                <w:szCs w:val="21"/>
              </w:rPr>
              <w:t xml:space="preserve"> quarter of 2018.  The total market cap dropping from R83,9 billion in September </w:t>
            </w:r>
            <w:r w:rsidR="005135D4">
              <w:rPr>
                <w:rFonts w:ascii="Verdana" w:hAnsi="Verdana"/>
                <w:color w:val="000000" w:themeColor="text1"/>
                <w:sz w:val="21"/>
                <w:szCs w:val="21"/>
              </w:rPr>
              <w:t xml:space="preserve">2018 </w:t>
            </w:r>
            <w:r>
              <w:rPr>
                <w:rFonts w:ascii="Verdana" w:hAnsi="Verdana"/>
                <w:color w:val="000000" w:themeColor="text1"/>
                <w:sz w:val="21"/>
                <w:szCs w:val="21"/>
              </w:rPr>
              <w:t xml:space="preserve">to R77,8 billion at the end of December.  </w:t>
            </w:r>
            <w:r w:rsidR="00B5062D">
              <w:rPr>
                <w:rFonts w:ascii="Verdana" w:hAnsi="Verdana"/>
                <w:color w:val="000000" w:themeColor="text1"/>
                <w:sz w:val="21"/>
                <w:szCs w:val="21"/>
              </w:rPr>
              <w:t xml:space="preserve">The general decline in global and SA equity markets was responsible for most of this loss in </w:t>
            </w:r>
          </w:p>
        </w:tc>
        <w:tc>
          <w:tcPr>
            <w:tcW w:w="6996" w:type="dxa"/>
          </w:tcPr>
          <w:p w14:paraId="237962D7" w14:textId="1B5F9FD4" w:rsidR="00D826DB" w:rsidRDefault="00E72DBE" w:rsidP="005D7F9E">
            <w:pPr>
              <w:spacing w:line="340" w:lineRule="atLeast"/>
              <w:jc w:val="both"/>
              <w:rPr>
                <w:rFonts w:ascii="Verdana" w:hAnsi="Verdana"/>
                <w:color w:val="000000" w:themeColor="text1"/>
                <w:sz w:val="21"/>
                <w:szCs w:val="21"/>
              </w:rPr>
            </w:pPr>
            <w:r>
              <w:rPr>
                <w:noProof/>
              </w:rPr>
              <w:drawing>
                <wp:inline distT="0" distB="0" distL="0" distR="0" wp14:anchorId="3E8358A4" wp14:editId="704C8009">
                  <wp:extent cx="4318000" cy="2616200"/>
                  <wp:effectExtent l="0" t="0" r="6350" b="12700"/>
                  <wp:docPr id="4" name="Chart 4">
                    <a:extLst xmlns:a="http://schemas.openxmlformats.org/drawingml/2006/main">
                      <a:ext uri="{FF2B5EF4-FFF2-40B4-BE49-F238E27FC236}">
                        <a16:creationId xmlns:a16="http://schemas.microsoft.com/office/drawing/2014/main" id="{A6D53289-DBFE-40C9-AB8D-05167AAB53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B5062D" w14:paraId="156DB2E0" w14:textId="77777777" w:rsidTr="0074101D">
        <w:tc>
          <w:tcPr>
            <w:tcW w:w="9921" w:type="dxa"/>
            <w:gridSpan w:val="2"/>
            <w:vAlign w:val="center"/>
          </w:tcPr>
          <w:p w14:paraId="46636DB9" w14:textId="39E32043" w:rsidR="00B5062D" w:rsidRDefault="005135D4" w:rsidP="005135D4">
            <w:pPr>
              <w:spacing w:before="40" w:line="320" w:lineRule="atLeast"/>
              <w:jc w:val="both"/>
              <w:rPr>
                <w:rFonts w:ascii="Verdana" w:hAnsi="Verdana"/>
                <w:color w:val="000000" w:themeColor="text1"/>
                <w:sz w:val="21"/>
                <w:szCs w:val="21"/>
              </w:rPr>
            </w:pPr>
            <w:r>
              <w:rPr>
                <w:rFonts w:ascii="Verdana" w:hAnsi="Verdana"/>
                <w:color w:val="000000" w:themeColor="text1"/>
                <w:sz w:val="21"/>
                <w:szCs w:val="21"/>
              </w:rPr>
              <w:t xml:space="preserve">market </w:t>
            </w:r>
            <w:r w:rsidR="00B5062D">
              <w:rPr>
                <w:rFonts w:ascii="Verdana" w:hAnsi="Verdana"/>
                <w:color w:val="000000" w:themeColor="text1"/>
                <w:sz w:val="21"/>
                <w:szCs w:val="21"/>
              </w:rPr>
              <w:t>capitalisation, but there were also significant redemptions of certain ETFs, namely commodity-based products, in the f</w:t>
            </w:r>
            <w:r>
              <w:rPr>
                <w:rFonts w:ascii="Verdana" w:hAnsi="Verdana"/>
                <w:color w:val="000000" w:themeColor="text1"/>
                <w:sz w:val="21"/>
                <w:szCs w:val="21"/>
              </w:rPr>
              <w:t>ourth</w:t>
            </w:r>
            <w:r w:rsidR="00B5062D">
              <w:rPr>
                <w:rFonts w:ascii="Verdana" w:hAnsi="Verdana"/>
                <w:color w:val="000000" w:themeColor="text1"/>
                <w:sz w:val="21"/>
                <w:szCs w:val="21"/>
              </w:rPr>
              <w:t xml:space="preserve"> quarter of last year.  </w:t>
            </w:r>
          </w:p>
          <w:p w14:paraId="67ADE66C" w14:textId="77777777" w:rsidR="00B5062D" w:rsidRDefault="00B5062D" w:rsidP="005D7F9E">
            <w:pPr>
              <w:spacing w:line="340" w:lineRule="atLeast"/>
              <w:jc w:val="both"/>
              <w:rPr>
                <w:noProof/>
              </w:rPr>
            </w:pPr>
          </w:p>
        </w:tc>
      </w:tr>
    </w:tbl>
    <w:p w14:paraId="1E714AD5" w14:textId="77777777" w:rsidR="00083E17" w:rsidRDefault="00083E17" w:rsidP="00D72BC0">
      <w:pPr>
        <w:spacing w:after="0" w:line="320" w:lineRule="atLeast"/>
        <w:jc w:val="both"/>
        <w:rPr>
          <w:rFonts w:ascii="Verdana" w:hAnsi="Verdana"/>
          <w:color w:val="000000" w:themeColor="text1"/>
          <w:sz w:val="21"/>
          <w:szCs w:val="21"/>
        </w:rPr>
      </w:pPr>
    </w:p>
    <w:p w14:paraId="6B7A6171" w14:textId="31509AA9" w:rsidR="004B0713" w:rsidRPr="003A3D19" w:rsidRDefault="00B5062D" w:rsidP="00B228FA">
      <w:pPr>
        <w:spacing w:after="0" w:line="240" w:lineRule="auto"/>
        <w:jc w:val="both"/>
        <w:rPr>
          <w:rFonts w:ascii="Verdana" w:hAnsi="Verdana"/>
          <w:b/>
          <w:color w:val="C00000"/>
          <w:sz w:val="24"/>
          <w:szCs w:val="24"/>
        </w:rPr>
      </w:pPr>
      <w:r>
        <w:rPr>
          <w:rFonts w:ascii="Verdana" w:hAnsi="Verdana"/>
          <w:b/>
          <w:color w:val="C00000"/>
          <w:sz w:val="24"/>
          <w:szCs w:val="24"/>
        </w:rPr>
        <w:t>New Capital Raised</w:t>
      </w:r>
    </w:p>
    <w:p w14:paraId="7ABECEE6" w14:textId="6CBD107D" w:rsidR="00A94957" w:rsidRDefault="00B5062D" w:rsidP="00083E17">
      <w:pPr>
        <w:spacing w:after="0" w:line="360" w:lineRule="atLeast"/>
        <w:rPr>
          <w:rFonts w:ascii="Verdana" w:hAnsi="Verdana"/>
          <w:color w:val="000000"/>
          <w:sz w:val="21"/>
          <w:szCs w:val="21"/>
        </w:rPr>
      </w:pPr>
      <w:r>
        <w:rPr>
          <w:rFonts w:ascii="Verdana" w:hAnsi="Verdana"/>
          <w:color w:val="000000"/>
          <w:sz w:val="21"/>
          <w:szCs w:val="21"/>
        </w:rPr>
        <w:t xml:space="preserve">Exchange Traded Products are </w:t>
      </w:r>
      <w:r w:rsidR="005135D4">
        <w:rPr>
          <w:rFonts w:ascii="Verdana" w:hAnsi="Verdana"/>
          <w:color w:val="000000"/>
          <w:sz w:val="21"/>
          <w:szCs w:val="21"/>
        </w:rPr>
        <w:t>o</w:t>
      </w:r>
      <w:r>
        <w:rPr>
          <w:rFonts w:ascii="Verdana" w:hAnsi="Verdana"/>
          <w:color w:val="000000"/>
          <w:sz w:val="21"/>
          <w:szCs w:val="21"/>
        </w:rPr>
        <w:t xml:space="preserve">pen-ended, so securities can be issued or redeemed at any time, provided the issuers meet the JSE requirements for full physical backing of assets, in the case of ETFs, or meet the creditworthiness objectives in the case of ETNs. </w:t>
      </w:r>
      <w:r w:rsidR="008A7891">
        <w:rPr>
          <w:rFonts w:ascii="Verdana" w:hAnsi="Verdana"/>
          <w:color w:val="000000"/>
          <w:sz w:val="21"/>
          <w:szCs w:val="21"/>
        </w:rPr>
        <w:t xml:space="preserve"> This leads to capital inflows or outflows for the change in the number of ETF securities listed.  </w:t>
      </w:r>
    </w:p>
    <w:p w14:paraId="2C9C82FB" w14:textId="0B59A291" w:rsidR="00B5062D" w:rsidRDefault="00B5062D" w:rsidP="00083E17">
      <w:pPr>
        <w:spacing w:after="0" w:line="360" w:lineRule="atLeast"/>
        <w:rPr>
          <w:rFonts w:ascii="Verdana" w:hAnsi="Verdana"/>
          <w:color w:val="000000"/>
          <w:sz w:val="21"/>
          <w:szCs w:val="21"/>
        </w:rPr>
      </w:pPr>
    </w:p>
    <w:p w14:paraId="08BE3DD1" w14:textId="2AB65625" w:rsidR="00B5062D" w:rsidRDefault="00B5062D" w:rsidP="00083E17">
      <w:pPr>
        <w:spacing w:after="0" w:line="360" w:lineRule="atLeast"/>
        <w:rPr>
          <w:rFonts w:ascii="Verdana" w:hAnsi="Verdana"/>
          <w:color w:val="000000"/>
          <w:sz w:val="21"/>
          <w:szCs w:val="21"/>
        </w:rPr>
      </w:pPr>
      <w:r>
        <w:rPr>
          <w:rFonts w:ascii="Verdana" w:hAnsi="Verdana"/>
          <w:color w:val="000000"/>
          <w:sz w:val="21"/>
          <w:szCs w:val="21"/>
        </w:rPr>
        <w:t xml:space="preserve">Also, new listings of ETFs, of which 13 were </w:t>
      </w:r>
      <w:r w:rsidR="008A7891">
        <w:rPr>
          <w:rFonts w:ascii="Verdana" w:hAnsi="Verdana"/>
          <w:color w:val="000000"/>
          <w:sz w:val="21"/>
          <w:szCs w:val="21"/>
        </w:rPr>
        <w:t>recorded</w:t>
      </w:r>
      <w:r>
        <w:rPr>
          <w:rFonts w:ascii="Verdana" w:hAnsi="Verdana"/>
          <w:color w:val="000000"/>
          <w:sz w:val="21"/>
          <w:szCs w:val="21"/>
        </w:rPr>
        <w:t xml:space="preserve"> in 2018, or ETNs, 5 new listings, will raise additional capital</w:t>
      </w:r>
      <w:r w:rsidR="008A7891">
        <w:rPr>
          <w:rFonts w:ascii="Verdana" w:hAnsi="Verdana"/>
          <w:color w:val="000000"/>
          <w:sz w:val="21"/>
          <w:szCs w:val="21"/>
        </w:rPr>
        <w:t>,</w:t>
      </w:r>
      <w:r>
        <w:rPr>
          <w:rFonts w:ascii="Verdana" w:hAnsi="Verdana"/>
          <w:color w:val="000000"/>
          <w:sz w:val="21"/>
          <w:szCs w:val="21"/>
        </w:rPr>
        <w:t xml:space="preserve"> typically before listing in an IPO process.  </w:t>
      </w:r>
    </w:p>
    <w:p w14:paraId="0BA4234E" w14:textId="32EB1964" w:rsidR="00B5062D" w:rsidRDefault="00B5062D" w:rsidP="00083E17">
      <w:pPr>
        <w:spacing w:after="0" w:line="360" w:lineRule="atLeast"/>
        <w:rPr>
          <w:rFonts w:ascii="Verdana" w:hAnsi="Verdana"/>
          <w:color w:val="000000"/>
          <w:sz w:val="21"/>
          <w:szCs w:val="21"/>
        </w:rPr>
      </w:pPr>
    </w:p>
    <w:p w14:paraId="0039D1B2" w14:textId="1A9881FF" w:rsidR="00B5062D" w:rsidRDefault="00B5062D" w:rsidP="00083E17">
      <w:pPr>
        <w:spacing w:after="0" w:line="360" w:lineRule="atLeast"/>
        <w:rPr>
          <w:rFonts w:ascii="Verdana" w:hAnsi="Verdana"/>
          <w:color w:val="000000"/>
          <w:sz w:val="21"/>
          <w:szCs w:val="21"/>
        </w:rPr>
      </w:pPr>
      <w:r>
        <w:rPr>
          <w:rFonts w:ascii="Verdana" w:hAnsi="Verdana"/>
          <w:color w:val="000000"/>
          <w:sz w:val="21"/>
          <w:szCs w:val="21"/>
        </w:rPr>
        <w:t xml:space="preserve">Table A below shows the </w:t>
      </w:r>
      <w:r w:rsidR="00340ED3">
        <w:rPr>
          <w:rFonts w:ascii="Verdana" w:hAnsi="Verdana"/>
          <w:color w:val="000000"/>
          <w:sz w:val="21"/>
          <w:szCs w:val="21"/>
        </w:rPr>
        <w:t xml:space="preserve">extent to which new capital was raised or redeemed by the different companies which issue Exchange Traded Products on the JSE.  </w:t>
      </w:r>
    </w:p>
    <w:p w14:paraId="67BFD905" w14:textId="45F5764C" w:rsidR="00340ED3" w:rsidRDefault="00340ED3">
      <w:pPr>
        <w:rPr>
          <w:rFonts w:ascii="Verdana" w:hAnsi="Verdana"/>
          <w:color w:val="000000"/>
          <w:sz w:val="21"/>
          <w:szCs w:val="21"/>
        </w:rPr>
      </w:pPr>
      <w:r>
        <w:rPr>
          <w:rFonts w:ascii="Verdana" w:hAnsi="Verdana"/>
          <w:color w:val="000000"/>
          <w:sz w:val="21"/>
          <w:szCs w:val="21"/>
        </w:rPr>
        <w:br w:type="page"/>
      </w:r>
    </w:p>
    <w:p w14:paraId="74C82782" w14:textId="3DA0A7A1" w:rsidR="00340ED3" w:rsidRDefault="00340ED3" w:rsidP="00083E17">
      <w:pPr>
        <w:spacing w:after="0" w:line="360" w:lineRule="atLeast"/>
        <w:rPr>
          <w:rFonts w:ascii="Verdana" w:hAnsi="Verdana"/>
          <w:color w:val="000000"/>
          <w:sz w:val="21"/>
          <w:szCs w:val="21"/>
        </w:rPr>
      </w:pPr>
    </w:p>
    <w:p w14:paraId="574B99A3" w14:textId="6D224D37" w:rsidR="00340ED3" w:rsidRPr="00340ED3" w:rsidRDefault="00340ED3" w:rsidP="00083E17">
      <w:pPr>
        <w:spacing w:after="0" w:line="360" w:lineRule="atLeast"/>
        <w:rPr>
          <w:rFonts w:ascii="Verdana" w:hAnsi="Verdana"/>
          <w:b/>
          <w:color w:val="000000"/>
          <w:sz w:val="21"/>
          <w:szCs w:val="21"/>
        </w:rPr>
      </w:pPr>
      <w:r>
        <w:rPr>
          <w:rFonts w:ascii="Verdana" w:hAnsi="Verdana"/>
          <w:b/>
          <w:color w:val="000000"/>
          <w:sz w:val="21"/>
          <w:szCs w:val="21"/>
        </w:rPr>
        <w:t>Table A</w:t>
      </w:r>
    </w:p>
    <w:p w14:paraId="55690A49" w14:textId="77777777" w:rsidR="00340ED3" w:rsidRPr="00C5446D" w:rsidRDefault="00340ED3" w:rsidP="00340ED3">
      <w:pPr>
        <w:rPr>
          <w:rFonts w:ascii="Verdana" w:hAnsi="Verdana"/>
          <w:sz w:val="18"/>
          <w:szCs w:val="18"/>
        </w:rPr>
      </w:pPr>
    </w:p>
    <w:tbl>
      <w:tblPr>
        <w:tblStyle w:val="TableGrid"/>
        <w:tblW w:w="0" w:type="auto"/>
        <w:tblInd w:w="846" w:type="dxa"/>
        <w:tblLook w:val="04A0" w:firstRow="1" w:lastRow="0" w:firstColumn="1" w:lastColumn="0" w:noHBand="0" w:noVBand="1"/>
      </w:tblPr>
      <w:tblGrid>
        <w:gridCol w:w="454"/>
        <w:gridCol w:w="4394"/>
        <w:gridCol w:w="2127"/>
      </w:tblGrid>
      <w:tr w:rsidR="00340ED3" w14:paraId="1083E9D5" w14:textId="77777777" w:rsidTr="00AA2591">
        <w:tc>
          <w:tcPr>
            <w:tcW w:w="6975" w:type="dxa"/>
            <w:gridSpan w:val="3"/>
            <w:shd w:val="clear" w:color="auto" w:fill="CB2229"/>
            <w:vAlign w:val="center"/>
          </w:tcPr>
          <w:p w14:paraId="39BC8696" w14:textId="019DE0A0" w:rsidR="00340ED3" w:rsidRPr="0061312C" w:rsidRDefault="00340ED3" w:rsidP="0074101D">
            <w:pPr>
              <w:spacing w:before="40" w:after="40" w:line="300" w:lineRule="atLeast"/>
              <w:jc w:val="center"/>
              <w:rPr>
                <w:rFonts w:ascii="Verdana" w:hAnsi="Verdana"/>
                <w:b/>
                <w:color w:val="FFFFFF" w:themeColor="background1"/>
                <w:sz w:val="18"/>
                <w:szCs w:val="18"/>
              </w:rPr>
            </w:pPr>
            <w:r>
              <w:rPr>
                <w:rFonts w:ascii="Verdana" w:hAnsi="Verdana"/>
                <w:b/>
                <w:color w:val="FFFFFF" w:themeColor="background1"/>
                <w:sz w:val="18"/>
                <w:szCs w:val="18"/>
              </w:rPr>
              <w:t>New Capital Raised/</w:t>
            </w:r>
            <w:r w:rsidR="00AA2591">
              <w:rPr>
                <w:rFonts w:ascii="Verdana" w:hAnsi="Verdana"/>
                <w:b/>
                <w:color w:val="FFFFFF" w:themeColor="background1"/>
                <w:sz w:val="18"/>
                <w:szCs w:val="18"/>
              </w:rPr>
              <w:t>(</w:t>
            </w:r>
            <w:r>
              <w:rPr>
                <w:rFonts w:ascii="Verdana" w:hAnsi="Verdana"/>
                <w:b/>
                <w:color w:val="FFFFFF" w:themeColor="background1"/>
                <w:sz w:val="18"/>
                <w:szCs w:val="18"/>
              </w:rPr>
              <w:t>Redeemed</w:t>
            </w:r>
            <w:r w:rsidR="00AA2591">
              <w:rPr>
                <w:rFonts w:ascii="Verdana" w:hAnsi="Verdana"/>
                <w:b/>
                <w:color w:val="FFFFFF" w:themeColor="background1"/>
                <w:sz w:val="18"/>
                <w:szCs w:val="18"/>
              </w:rPr>
              <w:t>) in 2018</w:t>
            </w:r>
          </w:p>
        </w:tc>
      </w:tr>
      <w:tr w:rsidR="00AA2591" w14:paraId="7C283CF4" w14:textId="77777777" w:rsidTr="00AA2591">
        <w:tc>
          <w:tcPr>
            <w:tcW w:w="454" w:type="dxa"/>
            <w:shd w:val="clear" w:color="auto" w:fill="4C4C4C"/>
          </w:tcPr>
          <w:p w14:paraId="158E4210" w14:textId="347ACC77" w:rsidR="00AA2591" w:rsidRPr="0061312C" w:rsidRDefault="00AA2591" w:rsidP="0074101D">
            <w:pPr>
              <w:spacing w:before="40" w:after="40" w:line="300" w:lineRule="atLeast"/>
              <w:rPr>
                <w:rFonts w:ascii="Verdana" w:hAnsi="Verdana"/>
                <w:b/>
                <w:color w:val="FFFFFF" w:themeColor="background1"/>
                <w:sz w:val="18"/>
                <w:szCs w:val="18"/>
              </w:rPr>
            </w:pPr>
            <w:r>
              <w:rPr>
                <w:rFonts w:ascii="Verdana" w:hAnsi="Verdana"/>
                <w:b/>
                <w:color w:val="FFFFFF" w:themeColor="background1"/>
                <w:sz w:val="18"/>
                <w:szCs w:val="18"/>
              </w:rPr>
              <w:t>A)</w:t>
            </w:r>
          </w:p>
        </w:tc>
        <w:tc>
          <w:tcPr>
            <w:tcW w:w="4394" w:type="dxa"/>
            <w:tcBorders>
              <w:bottom w:val="single" w:sz="4" w:space="0" w:color="auto"/>
            </w:tcBorders>
            <w:shd w:val="clear" w:color="auto" w:fill="4C4C4C"/>
          </w:tcPr>
          <w:p w14:paraId="2FAE52D7" w14:textId="07A80CB8" w:rsidR="00AA2591" w:rsidRPr="0061312C" w:rsidRDefault="00AA2591" w:rsidP="0074101D">
            <w:pPr>
              <w:spacing w:before="40" w:after="40" w:line="300" w:lineRule="atLeast"/>
              <w:rPr>
                <w:rFonts w:ascii="Verdana" w:hAnsi="Verdana"/>
                <w:b/>
                <w:color w:val="FFFFFF" w:themeColor="background1"/>
                <w:sz w:val="18"/>
                <w:szCs w:val="18"/>
              </w:rPr>
            </w:pPr>
            <w:r>
              <w:rPr>
                <w:rFonts w:ascii="Verdana" w:hAnsi="Verdana"/>
                <w:b/>
                <w:color w:val="FFFFFF" w:themeColor="background1"/>
                <w:sz w:val="18"/>
                <w:szCs w:val="18"/>
              </w:rPr>
              <w:t>Capital Red</w:t>
            </w:r>
            <w:r w:rsidR="008678CF">
              <w:rPr>
                <w:rFonts w:ascii="Verdana" w:hAnsi="Verdana"/>
                <w:b/>
                <w:color w:val="FFFFFF" w:themeColor="background1"/>
                <w:sz w:val="18"/>
                <w:szCs w:val="18"/>
              </w:rPr>
              <w:t>emptions</w:t>
            </w:r>
          </w:p>
        </w:tc>
        <w:tc>
          <w:tcPr>
            <w:tcW w:w="2127" w:type="dxa"/>
            <w:shd w:val="clear" w:color="auto" w:fill="4C4C4C"/>
            <w:vAlign w:val="center"/>
          </w:tcPr>
          <w:p w14:paraId="4DACE05D" w14:textId="3F85D958" w:rsidR="00AA2591" w:rsidRPr="0061312C" w:rsidRDefault="00AA2591" w:rsidP="0074101D">
            <w:pPr>
              <w:spacing w:before="40" w:after="40" w:line="300" w:lineRule="atLeast"/>
              <w:jc w:val="right"/>
              <w:rPr>
                <w:rFonts w:ascii="Verdana" w:hAnsi="Verdana"/>
                <w:b/>
                <w:color w:val="FFFFFF" w:themeColor="background1"/>
                <w:sz w:val="18"/>
                <w:szCs w:val="18"/>
              </w:rPr>
            </w:pPr>
            <w:r>
              <w:rPr>
                <w:rFonts w:ascii="Verdana" w:hAnsi="Verdana"/>
                <w:b/>
                <w:color w:val="FFFFFF" w:themeColor="background1"/>
                <w:sz w:val="18"/>
                <w:szCs w:val="18"/>
              </w:rPr>
              <w:t>R million</w:t>
            </w:r>
          </w:p>
        </w:tc>
      </w:tr>
      <w:tr w:rsidR="00AA2591" w14:paraId="189AC0B9" w14:textId="77777777" w:rsidTr="00AA2591">
        <w:tc>
          <w:tcPr>
            <w:tcW w:w="454" w:type="dxa"/>
            <w:tcBorders>
              <w:right w:val="nil"/>
            </w:tcBorders>
          </w:tcPr>
          <w:p w14:paraId="222C6696" w14:textId="77777777" w:rsidR="00AA2591" w:rsidRDefault="00AA2591" w:rsidP="0074101D">
            <w:pPr>
              <w:spacing w:before="40" w:after="40" w:line="300" w:lineRule="atLeast"/>
              <w:rPr>
                <w:rFonts w:ascii="Verdana" w:hAnsi="Verdana"/>
                <w:sz w:val="18"/>
                <w:szCs w:val="18"/>
              </w:rPr>
            </w:pPr>
          </w:p>
        </w:tc>
        <w:tc>
          <w:tcPr>
            <w:tcW w:w="4394" w:type="dxa"/>
            <w:tcBorders>
              <w:left w:val="nil"/>
            </w:tcBorders>
          </w:tcPr>
          <w:p w14:paraId="57F6B786" w14:textId="407838F5" w:rsidR="00AA2591" w:rsidRDefault="00AA2591" w:rsidP="0074101D">
            <w:pPr>
              <w:spacing w:before="40" w:after="40" w:line="300" w:lineRule="atLeast"/>
              <w:rPr>
                <w:rFonts w:ascii="Verdana" w:hAnsi="Verdana"/>
                <w:sz w:val="18"/>
                <w:szCs w:val="18"/>
              </w:rPr>
            </w:pPr>
            <w:r>
              <w:rPr>
                <w:rFonts w:ascii="Verdana" w:hAnsi="Verdana"/>
                <w:sz w:val="18"/>
                <w:szCs w:val="18"/>
              </w:rPr>
              <w:t>Absa Capital (ETFs)</w:t>
            </w:r>
          </w:p>
        </w:tc>
        <w:tc>
          <w:tcPr>
            <w:tcW w:w="2127" w:type="dxa"/>
            <w:vAlign w:val="center"/>
          </w:tcPr>
          <w:p w14:paraId="2EEB6BFE" w14:textId="43ACD1A5" w:rsidR="00AA2591" w:rsidRDefault="00AA2591" w:rsidP="0074101D">
            <w:pPr>
              <w:spacing w:before="40" w:after="40" w:line="300" w:lineRule="atLeast"/>
              <w:jc w:val="right"/>
              <w:rPr>
                <w:rFonts w:ascii="Verdana" w:hAnsi="Verdana"/>
                <w:sz w:val="18"/>
                <w:szCs w:val="18"/>
              </w:rPr>
            </w:pPr>
            <w:r>
              <w:rPr>
                <w:rFonts w:ascii="Verdana" w:hAnsi="Verdana"/>
                <w:sz w:val="18"/>
                <w:szCs w:val="18"/>
              </w:rPr>
              <w:t>(10 195,6)</w:t>
            </w:r>
          </w:p>
        </w:tc>
      </w:tr>
      <w:tr w:rsidR="00AA2591" w14:paraId="613DD614" w14:textId="77777777" w:rsidTr="00AA2591">
        <w:tc>
          <w:tcPr>
            <w:tcW w:w="454" w:type="dxa"/>
            <w:tcBorders>
              <w:right w:val="nil"/>
            </w:tcBorders>
          </w:tcPr>
          <w:p w14:paraId="6D85F1A7" w14:textId="77777777" w:rsidR="00AA2591" w:rsidRDefault="00AA2591" w:rsidP="0074101D">
            <w:pPr>
              <w:spacing w:before="40" w:after="40" w:line="300" w:lineRule="atLeast"/>
              <w:rPr>
                <w:rFonts w:ascii="Verdana" w:hAnsi="Verdana"/>
                <w:sz w:val="18"/>
                <w:szCs w:val="18"/>
              </w:rPr>
            </w:pPr>
          </w:p>
        </w:tc>
        <w:tc>
          <w:tcPr>
            <w:tcW w:w="4394" w:type="dxa"/>
            <w:tcBorders>
              <w:left w:val="nil"/>
            </w:tcBorders>
          </w:tcPr>
          <w:p w14:paraId="46948B7A" w14:textId="51B5CEEC" w:rsidR="00AA2591" w:rsidRDefault="00AA2591" w:rsidP="0074101D">
            <w:pPr>
              <w:spacing w:before="40" w:after="40" w:line="300" w:lineRule="atLeast"/>
              <w:rPr>
                <w:rFonts w:ascii="Verdana" w:hAnsi="Verdana"/>
                <w:sz w:val="18"/>
                <w:szCs w:val="18"/>
              </w:rPr>
            </w:pPr>
            <w:r>
              <w:rPr>
                <w:rFonts w:ascii="Verdana" w:hAnsi="Verdana"/>
                <w:sz w:val="18"/>
                <w:szCs w:val="18"/>
              </w:rPr>
              <w:t xml:space="preserve">Standard Bank </w:t>
            </w:r>
          </w:p>
        </w:tc>
        <w:tc>
          <w:tcPr>
            <w:tcW w:w="2127" w:type="dxa"/>
            <w:vAlign w:val="center"/>
          </w:tcPr>
          <w:p w14:paraId="4BB7B23E" w14:textId="219806AA" w:rsidR="00AA2591" w:rsidRDefault="00AA2591" w:rsidP="0074101D">
            <w:pPr>
              <w:spacing w:before="40" w:after="40" w:line="300" w:lineRule="atLeast"/>
              <w:jc w:val="right"/>
              <w:rPr>
                <w:rFonts w:ascii="Verdana" w:hAnsi="Verdana"/>
                <w:sz w:val="18"/>
                <w:szCs w:val="18"/>
              </w:rPr>
            </w:pPr>
            <w:r>
              <w:rPr>
                <w:rFonts w:ascii="Verdana" w:hAnsi="Verdana"/>
                <w:sz w:val="18"/>
                <w:szCs w:val="18"/>
              </w:rPr>
              <w:t>(2 764,7)</w:t>
            </w:r>
          </w:p>
        </w:tc>
      </w:tr>
      <w:tr w:rsidR="00AA2591" w14:paraId="30CBB152" w14:textId="77777777" w:rsidTr="00AA2591">
        <w:tc>
          <w:tcPr>
            <w:tcW w:w="454" w:type="dxa"/>
            <w:tcBorders>
              <w:right w:val="nil"/>
            </w:tcBorders>
          </w:tcPr>
          <w:p w14:paraId="3EA7DAB5" w14:textId="77777777" w:rsidR="00AA2591" w:rsidRDefault="00AA2591" w:rsidP="0074101D">
            <w:pPr>
              <w:spacing w:before="40" w:after="40" w:line="300" w:lineRule="atLeast"/>
              <w:rPr>
                <w:rFonts w:ascii="Verdana" w:hAnsi="Verdana"/>
                <w:sz w:val="18"/>
                <w:szCs w:val="18"/>
              </w:rPr>
            </w:pPr>
          </w:p>
        </w:tc>
        <w:tc>
          <w:tcPr>
            <w:tcW w:w="4394" w:type="dxa"/>
            <w:tcBorders>
              <w:left w:val="nil"/>
            </w:tcBorders>
          </w:tcPr>
          <w:p w14:paraId="487E1856" w14:textId="0E14E2F7" w:rsidR="00AA2591" w:rsidRDefault="00AA2591" w:rsidP="0074101D">
            <w:pPr>
              <w:spacing w:before="40" w:after="40" w:line="300" w:lineRule="atLeast"/>
              <w:rPr>
                <w:rFonts w:ascii="Verdana" w:hAnsi="Verdana"/>
                <w:sz w:val="18"/>
                <w:szCs w:val="18"/>
              </w:rPr>
            </w:pPr>
            <w:r>
              <w:rPr>
                <w:rFonts w:ascii="Verdana" w:hAnsi="Verdana"/>
                <w:sz w:val="18"/>
                <w:szCs w:val="18"/>
              </w:rPr>
              <w:t xml:space="preserve">FirstRand </w:t>
            </w:r>
          </w:p>
        </w:tc>
        <w:tc>
          <w:tcPr>
            <w:tcW w:w="2127" w:type="dxa"/>
            <w:vAlign w:val="center"/>
          </w:tcPr>
          <w:p w14:paraId="28787921" w14:textId="1C956EDE" w:rsidR="00AA2591" w:rsidRDefault="00AA2591" w:rsidP="0074101D">
            <w:pPr>
              <w:spacing w:before="40" w:after="40" w:line="300" w:lineRule="atLeast"/>
              <w:jc w:val="right"/>
              <w:rPr>
                <w:rFonts w:ascii="Verdana" w:hAnsi="Verdana"/>
                <w:sz w:val="18"/>
                <w:szCs w:val="18"/>
              </w:rPr>
            </w:pPr>
            <w:r>
              <w:rPr>
                <w:rFonts w:ascii="Verdana" w:hAnsi="Verdana"/>
                <w:sz w:val="18"/>
                <w:szCs w:val="18"/>
              </w:rPr>
              <w:t>(939,2)</w:t>
            </w:r>
          </w:p>
        </w:tc>
      </w:tr>
      <w:tr w:rsidR="00AA2591" w14:paraId="677E7795" w14:textId="77777777" w:rsidTr="00AA2591">
        <w:tc>
          <w:tcPr>
            <w:tcW w:w="454" w:type="dxa"/>
            <w:tcBorders>
              <w:right w:val="nil"/>
            </w:tcBorders>
          </w:tcPr>
          <w:p w14:paraId="79B3E264" w14:textId="77777777" w:rsidR="00AA2591" w:rsidRDefault="00AA2591" w:rsidP="0074101D">
            <w:pPr>
              <w:spacing w:before="40" w:after="40" w:line="300" w:lineRule="atLeast"/>
              <w:rPr>
                <w:rFonts w:ascii="Verdana" w:hAnsi="Verdana"/>
                <w:sz w:val="18"/>
                <w:szCs w:val="18"/>
              </w:rPr>
            </w:pPr>
          </w:p>
        </w:tc>
        <w:tc>
          <w:tcPr>
            <w:tcW w:w="4394" w:type="dxa"/>
            <w:tcBorders>
              <w:left w:val="nil"/>
            </w:tcBorders>
          </w:tcPr>
          <w:p w14:paraId="05010FA4" w14:textId="36E7701B" w:rsidR="00AA2591" w:rsidRDefault="00AA2591" w:rsidP="0074101D">
            <w:pPr>
              <w:spacing w:before="40" w:after="40" w:line="300" w:lineRule="atLeast"/>
              <w:rPr>
                <w:rFonts w:ascii="Verdana" w:hAnsi="Verdana"/>
                <w:sz w:val="18"/>
                <w:szCs w:val="18"/>
              </w:rPr>
            </w:pPr>
            <w:r>
              <w:rPr>
                <w:rFonts w:ascii="Verdana" w:hAnsi="Verdana"/>
                <w:sz w:val="18"/>
                <w:szCs w:val="18"/>
              </w:rPr>
              <w:t>Absa Capital (ETNs)</w:t>
            </w:r>
          </w:p>
        </w:tc>
        <w:tc>
          <w:tcPr>
            <w:tcW w:w="2127" w:type="dxa"/>
            <w:vAlign w:val="center"/>
          </w:tcPr>
          <w:p w14:paraId="14C1BD0E" w14:textId="40BE83A8" w:rsidR="00AA2591" w:rsidRDefault="00AA2591" w:rsidP="0074101D">
            <w:pPr>
              <w:spacing w:before="40" w:after="40" w:line="300" w:lineRule="atLeast"/>
              <w:jc w:val="right"/>
              <w:rPr>
                <w:rFonts w:ascii="Verdana" w:hAnsi="Verdana"/>
                <w:sz w:val="18"/>
                <w:szCs w:val="18"/>
              </w:rPr>
            </w:pPr>
            <w:r>
              <w:rPr>
                <w:rFonts w:ascii="Verdana" w:hAnsi="Verdana"/>
                <w:sz w:val="18"/>
                <w:szCs w:val="18"/>
              </w:rPr>
              <w:t>(465,8)</w:t>
            </w:r>
          </w:p>
        </w:tc>
      </w:tr>
      <w:tr w:rsidR="00AA2591" w14:paraId="203E7F25" w14:textId="77777777" w:rsidTr="00AA2591">
        <w:tc>
          <w:tcPr>
            <w:tcW w:w="454" w:type="dxa"/>
            <w:tcBorders>
              <w:right w:val="nil"/>
            </w:tcBorders>
          </w:tcPr>
          <w:p w14:paraId="2CD5F03A" w14:textId="77777777" w:rsidR="00AA2591" w:rsidRDefault="00AA2591" w:rsidP="0074101D">
            <w:pPr>
              <w:spacing w:before="40" w:after="40" w:line="300" w:lineRule="atLeast"/>
              <w:rPr>
                <w:rFonts w:ascii="Verdana" w:hAnsi="Verdana"/>
                <w:sz w:val="18"/>
                <w:szCs w:val="18"/>
              </w:rPr>
            </w:pPr>
          </w:p>
        </w:tc>
        <w:tc>
          <w:tcPr>
            <w:tcW w:w="4394" w:type="dxa"/>
            <w:tcBorders>
              <w:left w:val="nil"/>
            </w:tcBorders>
            <w:vAlign w:val="center"/>
          </w:tcPr>
          <w:p w14:paraId="266D99CB" w14:textId="171E6D29" w:rsidR="00AA2591" w:rsidRDefault="00AA2591" w:rsidP="00AA2591">
            <w:pPr>
              <w:spacing w:before="40" w:after="40" w:line="300" w:lineRule="atLeast"/>
              <w:jc w:val="right"/>
              <w:rPr>
                <w:rFonts w:ascii="Verdana" w:hAnsi="Verdana"/>
                <w:sz w:val="18"/>
                <w:szCs w:val="18"/>
              </w:rPr>
            </w:pPr>
            <w:r>
              <w:rPr>
                <w:rFonts w:ascii="Verdana" w:hAnsi="Verdana"/>
                <w:sz w:val="18"/>
                <w:szCs w:val="18"/>
              </w:rPr>
              <w:t>Sub-total</w:t>
            </w:r>
          </w:p>
        </w:tc>
        <w:tc>
          <w:tcPr>
            <w:tcW w:w="2127" w:type="dxa"/>
            <w:vAlign w:val="center"/>
          </w:tcPr>
          <w:p w14:paraId="55B1C77A" w14:textId="0652305F" w:rsidR="00AA2591" w:rsidRDefault="00AA2591" w:rsidP="0074101D">
            <w:pPr>
              <w:spacing w:before="40" w:after="40" w:line="300" w:lineRule="atLeast"/>
              <w:jc w:val="right"/>
              <w:rPr>
                <w:rFonts w:ascii="Verdana" w:hAnsi="Verdana"/>
                <w:sz w:val="18"/>
                <w:szCs w:val="18"/>
              </w:rPr>
            </w:pPr>
            <w:r>
              <w:rPr>
                <w:rFonts w:ascii="Verdana" w:hAnsi="Verdana"/>
                <w:sz w:val="18"/>
                <w:szCs w:val="18"/>
              </w:rPr>
              <w:t>(14 365,3)</w:t>
            </w:r>
          </w:p>
        </w:tc>
      </w:tr>
      <w:tr w:rsidR="00AA2591" w14:paraId="1BEB7DDF" w14:textId="77777777" w:rsidTr="00AA2591">
        <w:tc>
          <w:tcPr>
            <w:tcW w:w="454" w:type="dxa"/>
            <w:shd w:val="clear" w:color="auto" w:fill="4C4C4C"/>
          </w:tcPr>
          <w:p w14:paraId="0DD46A7E" w14:textId="14F5DA8D" w:rsidR="00AA2591" w:rsidRPr="0061312C" w:rsidRDefault="00AA2591" w:rsidP="0074101D">
            <w:pPr>
              <w:spacing w:before="40" w:after="40" w:line="300" w:lineRule="atLeast"/>
              <w:rPr>
                <w:rFonts w:ascii="Verdana" w:hAnsi="Verdana"/>
                <w:b/>
                <w:color w:val="FFFFFF" w:themeColor="background1"/>
                <w:sz w:val="18"/>
                <w:szCs w:val="18"/>
              </w:rPr>
            </w:pPr>
            <w:r>
              <w:rPr>
                <w:rFonts w:ascii="Verdana" w:hAnsi="Verdana"/>
                <w:b/>
                <w:color w:val="FFFFFF" w:themeColor="background1"/>
                <w:sz w:val="18"/>
                <w:szCs w:val="18"/>
              </w:rPr>
              <w:t>B)</w:t>
            </w:r>
          </w:p>
        </w:tc>
        <w:tc>
          <w:tcPr>
            <w:tcW w:w="4394" w:type="dxa"/>
            <w:tcBorders>
              <w:bottom w:val="single" w:sz="4" w:space="0" w:color="auto"/>
            </w:tcBorders>
            <w:shd w:val="clear" w:color="auto" w:fill="4C4C4C"/>
          </w:tcPr>
          <w:p w14:paraId="29060C76" w14:textId="3956A8E8" w:rsidR="00AA2591" w:rsidRPr="0061312C" w:rsidRDefault="00AA2591" w:rsidP="0074101D">
            <w:pPr>
              <w:spacing w:before="40" w:after="40" w:line="300" w:lineRule="atLeast"/>
              <w:rPr>
                <w:rFonts w:ascii="Verdana" w:hAnsi="Verdana"/>
                <w:b/>
                <w:color w:val="FFFFFF" w:themeColor="background1"/>
                <w:sz w:val="18"/>
                <w:szCs w:val="18"/>
              </w:rPr>
            </w:pPr>
            <w:r>
              <w:rPr>
                <w:rFonts w:ascii="Verdana" w:hAnsi="Verdana"/>
                <w:b/>
                <w:color w:val="FFFFFF" w:themeColor="background1"/>
                <w:sz w:val="18"/>
                <w:szCs w:val="18"/>
              </w:rPr>
              <w:t>New Capital Raised</w:t>
            </w:r>
          </w:p>
        </w:tc>
        <w:tc>
          <w:tcPr>
            <w:tcW w:w="2127" w:type="dxa"/>
            <w:shd w:val="clear" w:color="auto" w:fill="4C4C4C"/>
            <w:vAlign w:val="center"/>
          </w:tcPr>
          <w:p w14:paraId="6818D68B" w14:textId="77777777" w:rsidR="00AA2591" w:rsidRPr="0061312C" w:rsidRDefault="00AA2591" w:rsidP="0074101D">
            <w:pPr>
              <w:spacing w:before="40" w:after="40" w:line="300" w:lineRule="atLeast"/>
              <w:jc w:val="right"/>
              <w:rPr>
                <w:rFonts w:ascii="Verdana" w:hAnsi="Verdana"/>
                <w:b/>
                <w:color w:val="FFFFFF" w:themeColor="background1"/>
                <w:sz w:val="18"/>
                <w:szCs w:val="18"/>
              </w:rPr>
            </w:pPr>
          </w:p>
        </w:tc>
      </w:tr>
      <w:tr w:rsidR="00AA2591" w14:paraId="78E33740" w14:textId="77777777" w:rsidTr="00AA2591">
        <w:tc>
          <w:tcPr>
            <w:tcW w:w="454" w:type="dxa"/>
            <w:tcBorders>
              <w:right w:val="nil"/>
            </w:tcBorders>
          </w:tcPr>
          <w:p w14:paraId="344892A7" w14:textId="77777777" w:rsidR="00AA2591" w:rsidRDefault="00AA2591" w:rsidP="0074101D">
            <w:pPr>
              <w:spacing w:before="40" w:after="40" w:line="300" w:lineRule="atLeast"/>
              <w:rPr>
                <w:rFonts w:ascii="Verdana" w:hAnsi="Verdana"/>
                <w:sz w:val="18"/>
                <w:szCs w:val="18"/>
              </w:rPr>
            </w:pPr>
          </w:p>
        </w:tc>
        <w:tc>
          <w:tcPr>
            <w:tcW w:w="4394" w:type="dxa"/>
            <w:tcBorders>
              <w:left w:val="nil"/>
            </w:tcBorders>
          </w:tcPr>
          <w:p w14:paraId="5F2EE4D0" w14:textId="7EE6C55F" w:rsidR="00AA2591" w:rsidRDefault="00AA2591" w:rsidP="0074101D">
            <w:pPr>
              <w:spacing w:before="40" w:after="40" w:line="300" w:lineRule="atLeast"/>
              <w:rPr>
                <w:rFonts w:ascii="Verdana" w:hAnsi="Verdana"/>
                <w:sz w:val="18"/>
                <w:szCs w:val="18"/>
              </w:rPr>
            </w:pPr>
            <w:r>
              <w:rPr>
                <w:rFonts w:ascii="Verdana" w:hAnsi="Verdana"/>
                <w:sz w:val="18"/>
                <w:szCs w:val="18"/>
              </w:rPr>
              <w:t>Sygnia Itrix</w:t>
            </w:r>
          </w:p>
        </w:tc>
        <w:tc>
          <w:tcPr>
            <w:tcW w:w="2127" w:type="dxa"/>
            <w:vAlign w:val="center"/>
          </w:tcPr>
          <w:p w14:paraId="250CD8BB" w14:textId="1B60F079" w:rsidR="00AA2591" w:rsidRDefault="00AA2591" w:rsidP="0074101D">
            <w:pPr>
              <w:spacing w:before="40" w:after="40" w:line="300" w:lineRule="atLeast"/>
              <w:jc w:val="right"/>
              <w:rPr>
                <w:rFonts w:ascii="Verdana" w:hAnsi="Verdana"/>
                <w:sz w:val="18"/>
                <w:szCs w:val="18"/>
              </w:rPr>
            </w:pPr>
            <w:r>
              <w:rPr>
                <w:rFonts w:ascii="Verdana" w:hAnsi="Verdana"/>
                <w:sz w:val="18"/>
                <w:szCs w:val="18"/>
              </w:rPr>
              <w:t>1 745,3</w:t>
            </w:r>
          </w:p>
        </w:tc>
      </w:tr>
      <w:tr w:rsidR="00AA2591" w14:paraId="46F0E650" w14:textId="77777777" w:rsidTr="00AA2591">
        <w:tc>
          <w:tcPr>
            <w:tcW w:w="454" w:type="dxa"/>
            <w:tcBorders>
              <w:right w:val="nil"/>
            </w:tcBorders>
          </w:tcPr>
          <w:p w14:paraId="59A0D4BA" w14:textId="77777777" w:rsidR="00AA2591" w:rsidRDefault="00AA2591" w:rsidP="0074101D">
            <w:pPr>
              <w:spacing w:before="40" w:after="40" w:line="300" w:lineRule="atLeast"/>
              <w:rPr>
                <w:rFonts w:ascii="Verdana" w:hAnsi="Verdana"/>
                <w:sz w:val="18"/>
                <w:szCs w:val="18"/>
              </w:rPr>
            </w:pPr>
          </w:p>
        </w:tc>
        <w:tc>
          <w:tcPr>
            <w:tcW w:w="4394" w:type="dxa"/>
            <w:tcBorders>
              <w:left w:val="nil"/>
            </w:tcBorders>
          </w:tcPr>
          <w:p w14:paraId="0A0DD983" w14:textId="7ABC5FCA" w:rsidR="00AA2591" w:rsidRDefault="00AA2591" w:rsidP="0074101D">
            <w:pPr>
              <w:spacing w:before="40" w:after="40" w:line="300" w:lineRule="atLeast"/>
              <w:rPr>
                <w:rFonts w:ascii="Verdana" w:hAnsi="Verdana"/>
                <w:sz w:val="18"/>
                <w:szCs w:val="18"/>
              </w:rPr>
            </w:pPr>
            <w:r>
              <w:rPr>
                <w:rFonts w:ascii="Verdana" w:hAnsi="Verdana"/>
                <w:sz w:val="18"/>
                <w:szCs w:val="18"/>
              </w:rPr>
              <w:t>Satrix</w:t>
            </w:r>
          </w:p>
        </w:tc>
        <w:tc>
          <w:tcPr>
            <w:tcW w:w="2127" w:type="dxa"/>
            <w:vAlign w:val="center"/>
          </w:tcPr>
          <w:p w14:paraId="505E2652" w14:textId="42D5552A" w:rsidR="00AA2591" w:rsidRDefault="00AA2591" w:rsidP="0074101D">
            <w:pPr>
              <w:spacing w:before="40" w:after="40" w:line="300" w:lineRule="atLeast"/>
              <w:jc w:val="right"/>
              <w:rPr>
                <w:rFonts w:ascii="Verdana" w:hAnsi="Verdana"/>
                <w:sz w:val="18"/>
                <w:szCs w:val="18"/>
              </w:rPr>
            </w:pPr>
            <w:r>
              <w:rPr>
                <w:rFonts w:ascii="Verdana" w:hAnsi="Verdana"/>
                <w:sz w:val="18"/>
                <w:szCs w:val="18"/>
              </w:rPr>
              <w:t>1 692,4</w:t>
            </w:r>
          </w:p>
        </w:tc>
      </w:tr>
      <w:tr w:rsidR="00AA2591" w14:paraId="5985AF39" w14:textId="77777777" w:rsidTr="00AA2591">
        <w:tc>
          <w:tcPr>
            <w:tcW w:w="454" w:type="dxa"/>
            <w:tcBorders>
              <w:right w:val="nil"/>
            </w:tcBorders>
          </w:tcPr>
          <w:p w14:paraId="3002516C" w14:textId="77777777" w:rsidR="00AA2591" w:rsidRDefault="00AA2591" w:rsidP="0074101D">
            <w:pPr>
              <w:spacing w:before="40" w:after="40" w:line="300" w:lineRule="atLeast"/>
              <w:rPr>
                <w:rFonts w:ascii="Verdana" w:hAnsi="Verdana"/>
                <w:sz w:val="18"/>
                <w:szCs w:val="18"/>
              </w:rPr>
            </w:pPr>
          </w:p>
        </w:tc>
        <w:tc>
          <w:tcPr>
            <w:tcW w:w="4394" w:type="dxa"/>
            <w:tcBorders>
              <w:left w:val="nil"/>
            </w:tcBorders>
          </w:tcPr>
          <w:p w14:paraId="63FA6C2E" w14:textId="64A54FA2" w:rsidR="00AA2591" w:rsidRDefault="00AA2591" w:rsidP="0074101D">
            <w:pPr>
              <w:spacing w:before="40" w:after="40" w:line="300" w:lineRule="atLeast"/>
              <w:rPr>
                <w:rFonts w:ascii="Verdana" w:hAnsi="Verdana"/>
                <w:sz w:val="18"/>
                <w:szCs w:val="18"/>
              </w:rPr>
            </w:pPr>
            <w:r>
              <w:rPr>
                <w:rFonts w:ascii="Verdana" w:hAnsi="Verdana"/>
                <w:sz w:val="18"/>
                <w:szCs w:val="18"/>
              </w:rPr>
              <w:t>Ashburton</w:t>
            </w:r>
          </w:p>
        </w:tc>
        <w:tc>
          <w:tcPr>
            <w:tcW w:w="2127" w:type="dxa"/>
            <w:vAlign w:val="center"/>
          </w:tcPr>
          <w:p w14:paraId="191519A6" w14:textId="3D77FEA3" w:rsidR="00AA2591" w:rsidRDefault="00AA2591" w:rsidP="0074101D">
            <w:pPr>
              <w:spacing w:before="40" w:after="40" w:line="300" w:lineRule="atLeast"/>
              <w:jc w:val="right"/>
              <w:rPr>
                <w:rFonts w:ascii="Verdana" w:hAnsi="Verdana"/>
                <w:sz w:val="18"/>
                <w:szCs w:val="18"/>
              </w:rPr>
            </w:pPr>
            <w:r>
              <w:rPr>
                <w:rFonts w:ascii="Verdana" w:hAnsi="Verdana"/>
                <w:sz w:val="18"/>
                <w:szCs w:val="18"/>
              </w:rPr>
              <w:t>1 182,8</w:t>
            </w:r>
          </w:p>
        </w:tc>
      </w:tr>
      <w:tr w:rsidR="00AA2591" w14:paraId="1AE48C71" w14:textId="77777777" w:rsidTr="00AA2591">
        <w:tc>
          <w:tcPr>
            <w:tcW w:w="454" w:type="dxa"/>
            <w:tcBorders>
              <w:right w:val="nil"/>
            </w:tcBorders>
          </w:tcPr>
          <w:p w14:paraId="7466CB95" w14:textId="77777777" w:rsidR="00AA2591" w:rsidRDefault="00AA2591" w:rsidP="0074101D">
            <w:pPr>
              <w:spacing w:before="40" w:after="40" w:line="300" w:lineRule="atLeast"/>
              <w:rPr>
                <w:rFonts w:ascii="Verdana" w:hAnsi="Verdana"/>
                <w:sz w:val="18"/>
                <w:szCs w:val="18"/>
              </w:rPr>
            </w:pPr>
          </w:p>
        </w:tc>
        <w:tc>
          <w:tcPr>
            <w:tcW w:w="4394" w:type="dxa"/>
            <w:tcBorders>
              <w:left w:val="nil"/>
            </w:tcBorders>
          </w:tcPr>
          <w:p w14:paraId="269CFA02" w14:textId="7D27CE00" w:rsidR="00AA2591" w:rsidRDefault="00AA2591" w:rsidP="0074101D">
            <w:pPr>
              <w:spacing w:before="40" w:after="40" w:line="300" w:lineRule="atLeast"/>
              <w:rPr>
                <w:rFonts w:ascii="Verdana" w:hAnsi="Verdana"/>
                <w:sz w:val="18"/>
                <w:szCs w:val="18"/>
              </w:rPr>
            </w:pPr>
            <w:r>
              <w:rPr>
                <w:rFonts w:ascii="Verdana" w:hAnsi="Verdana"/>
                <w:sz w:val="18"/>
                <w:szCs w:val="18"/>
              </w:rPr>
              <w:t>CoreShares</w:t>
            </w:r>
          </w:p>
        </w:tc>
        <w:tc>
          <w:tcPr>
            <w:tcW w:w="2127" w:type="dxa"/>
            <w:vAlign w:val="center"/>
          </w:tcPr>
          <w:p w14:paraId="6F2FE156" w14:textId="76F3BC77" w:rsidR="00AA2591" w:rsidRDefault="00AA2591" w:rsidP="0074101D">
            <w:pPr>
              <w:spacing w:before="40" w:after="40" w:line="300" w:lineRule="atLeast"/>
              <w:jc w:val="right"/>
              <w:rPr>
                <w:rFonts w:ascii="Verdana" w:hAnsi="Verdana"/>
                <w:sz w:val="18"/>
                <w:szCs w:val="18"/>
              </w:rPr>
            </w:pPr>
            <w:r>
              <w:rPr>
                <w:rFonts w:ascii="Verdana" w:hAnsi="Verdana"/>
                <w:sz w:val="18"/>
                <w:szCs w:val="18"/>
              </w:rPr>
              <w:t>819,8</w:t>
            </w:r>
          </w:p>
        </w:tc>
      </w:tr>
      <w:tr w:rsidR="00AA2591" w14:paraId="4DDB2A4A" w14:textId="77777777" w:rsidTr="00AA2591">
        <w:tc>
          <w:tcPr>
            <w:tcW w:w="454" w:type="dxa"/>
            <w:tcBorders>
              <w:right w:val="nil"/>
            </w:tcBorders>
          </w:tcPr>
          <w:p w14:paraId="1F088A40" w14:textId="77777777" w:rsidR="00AA2591" w:rsidRDefault="00AA2591" w:rsidP="0074101D">
            <w:pPr>
              <w:spacing w:before="40" w:after="40" w:line="300" w:lineRule="atLeast"/>
              <w:rPr>
                <w:rFonts w:ascii="Verdana" w:hAnsi="Verdana"/>
                <w:sz w:val="18"/>
                <w:szCs w:val="18"/>
              </w:rPr>
            </w:pPr>
          </w:p>
        </w:tc>
        <w:tc>
          <w:tcPr>
            <w:tcW w:w="4394" w:type="dxa"/>
            <w:tcBorders>
              <w:left w:val="nil"/>
            </w:tcBorders>
          </w:tcPr>
          <w:p w14:paraId="25AC6E87" w14:textId="0C7EBC02" w:rsidR="00AA2591" w:rsidRDefault="00AA2591" w:rsidP="0074101D">
            <w:pPr>
              <w:spacing w:before="40" w:after="40" w:line="300" w:lineRule="atLeast"/>
              <w:rPr>
                <w:rFonts w:ascii="Verdana" w:hAnsi="Verdana"/>
                <w:sz w:val="18"/>
                <w:szCs w:val="18"/>
              </w:rPr>
            </w:pPr>
            <w:r>
              <w:rPr>
                <w:rFonts w:ascii="Verdana" w:hAnsi="Verdana"/>
                <w:sz w:val="18"/>
                <w:szCs w:val="18"/>
              </w:rPr>
              <w:t>Union Bank, Switzerland (ETNs)</w:t>
            </w:r>
          </w:p>
        </w:tc>
        <w:tc>
          <w:tcPr>
            <w:tcW w:w="2127" w:type="dxa"/>
            <w:vAlign w:val="center"/>
          </w:tcPr>
          <w:p w14:paraId="6318EA23" w14:textId="1470F543" w:rsidR="00AA2591" w:rsidRDefault="00AA2591" w:rsidP="0074101D">
            <w:pPr>
              <w:spacing w:before="40" w:after="40" w:line="300" w:lineRule="atLeast"/>
              <w:jc w:val="right"/>
              <w:rPr>
                <w:rFonts w:ascii="Verdana" w:hAnsi="Verdana"/>
                <w:sz w:val="18"/>
                <w:szCs w:val="18"/>
              </w:rPr>
            </w:pPr>
            <w:r>
              <w:rPr>
                <w:rFonts w:ascii="Verdana" w:hAnsi="Verdana"/>
                <w:sz w:val="18"/>
                <w:szCs w:val="18"/>
              </w:rPr>
              <w:t>618,3</w:t>
            </w:r>
          </w:p>
        </w:tc>
      </w:tr>
      <w:tr w:rsidR="00AA2591" w14:paraId="7897DE46" w14:textId="77777777" w:rsidTr="00AA2591">
        <w:tc>
          <w:tcPr>
            <w:tcW w:w="454" w:type="dxa"/>
            <w:tcBorders>
              <w:right w:val="nil"/>
            </w:tcBorders>
          </w:tcPr>
          <w:p w14:paraId="3097A9FD" w14:textId="77777777" w:rsidR="00AA2591" w:rsidRDefault="00AA2591" w:rsidP="0074101D">
            <w:pPr>
              <w:spacing w:before="40" w:after="40" w:line="300" w:lineRule="atLeast"/>
              <w:rPr>
                <w:rFonts w:ascii="Verdana" w:hAnsi="Verdana"/>
                <w:sz w:val="18"/>
                <w:szCs w:val="18"/>
              </w:rPr>
            </w:pPr>
          </w:p>
        </w:tc>
        <w:tc>
          <w:tcPr>
            <w:tcW w:w="4394" w:type="dxa"/>
            <w:tcBorders>
              <w:left w:val="nil"/>
            </w:tcBorders>
          </w:tcPr>
          <w:p w14:paraId="45611EB5" w14:textId="29571435" w:rsidR="00AA2591" w:rsidRDefault="00AA2591" w:rsidP="0074101D">
            <w:pPr>
              <w:spacing w:before="40" w:after="40" w:line="300" w:lineRule="atLeast"/>
              <w:rPr>
                <w:rFonts w:ascii="Verdana" w:hAnsi="Verdana"/>
                <w:sz w:val="18"/>
                <w:szCs w:val="18"/>
              </w:rPr>
            </w:pPr>
            <w:r>
              <w:rPr>
                <w:rFonts w:ascii="Verdana" w:hAnsi="Verdana"/>
                <w:sz w:val="18"/>
                <w:szCs w:val="18"/>
              </w:rPr>
              <w:t>Stan</w:t>
            </w:r>
            <w:r w:rsidR="008678CF">
              <w:rPr>
                <w:rFonts w:ascii="Verdana" w:hAnsi="Verdana"/>
                <w:sz w:val="18"/>
                <w:szCs w:val="18"/>
              </w:rPr>
              <w:t>lib</w:t>
            </w:r>
          </w:p>
        </w:tc>
        <w:tc>
          <w:tcPr>
            <w:tcW w:w="2127" w:type="dxa"/>
            <w:vAlign w:val="center"/>
          </w:tcPr>
          <w:p w14:paraId="39E3F0C1" w14:textId="2CDB6429" w:rsidR="00AA2591" w:rsidRDefault="00AA2591" w:rsidP="0074101D">
            <w:pPr>
              <w:spacing w:before="40" w:after="40" w:line="300" w:lineRule="atLeast"/>
              <w:jc w:val="right"/>
              <w:rPr>
                <w:rFonts w:ascii="Verdana" w:hAnsi="Verdana"/>
                <w:sz w:val="18"/>
                <w:szCs w:val="18"/>
              </w:rPr>
            </w:pPr>
            <w:r>
              <w:rPr>
                <w:rFonts w:ascii="Verdana" w:hAnsi="Verdana"/>
                <w:sz w:val="18"/>
                <w:szCs w:val="18"/>
              </w:rPr>
              <w:t>102,7</w:t>
            </w:r>
          </w:p>
        </w:tc>
      </w:tr>
      <w:tr w:rsidR="00AA2591" w14:paraId="7DF1438D" w14:textId="77777777" w:rsidTr="00AA2591">
        <w:tc>
          <w:tcPr>
            <w:tcW w:w="454" w:type="dxa"/>
            <w:tcBorders>
              <w:right w:val="nil"/>
            </w:tcBorders>
          </w:tcPr>
          <w:p w14:paraId="7EDF21F2" w14:textId="77777777" w:rsidR="00AA2591" w:rsidRDefault="00AA2591" w:rsidP="0074101D">
            <w:pPr>
              <w:spacing w:before="40" w:after="40" w:line="300" w:lineRule="atLeast"/>
              <w:rPr>
                <w:rFonts w:ascii="Verdana" w:hAnsi="Verdana"/>
                <w:sz w:val="18"/>
                <w:szCs w:val="18"/>
              </w:rPr>
            </w:pPr>
          </w:p>
        </w:tc>
        <w:tc>
          <w:tcPr>
            <w:tcW w:w="4394" w:type="dxa"/>
            <w:tcBorders>
              <w:left w:val="nil"/>
            </w:tcBorders>
          </w:tcPr>
          <w:p w14:paraId="51264BE8" w14:textId="46C719AC" w:rsidR="00AA2591" w:rsidRDefault="00AA2591" w:rsidP="0074101D">
            <w:pPr>
              <w:spacing w:before="40" w:after="40" w:line="300" w:lineRule="atLeast"/>
              <w:rPr>
                <w:rFonts w:ascii="Verdana" w:hAnsi="Verdana"/>
                <w:sz w:val="18"/>
                <w:szCs w:val="18"/>
              </w:rPr>
            </w:pPr>
            <w:r>
              <w:rPr>
                <w:rFonts w:ascii="Verdana" w:hAnsi="Verdana"/>
                <w:sz w:val="18"/>
                <w:szCs w:val="18"/>
              </w:rPr>
              <w:t>Cloud Atlas</w:t>
            </w:r>
          </w:p>
        </w:tc>
        <w:tc>
          <w:tcPr>
            <w:tcW w:w="2127" w:type="dxa"/>
            <w:vAlign w:val="center"/>
          </w:tcPr>
          <w:p w14:paraId="453ADB06" w14:textId="2A5FECF0" w:rsidR="00AA2591" w:rsidRDefault="00AA2591" w:rsidP="0074101D">
            <w:pPr>
              <w:spacing w:before="40" w:after="40" w:line="300" w:lineRule="atLeast"/>
              <w:jc w:val="right"/>
              <w:rPr>
                <w:rFonts w:ascii="Verdana" w:hAnsi="Verdana"/>
                <w:sz w:val="18"/>
                <w:szCs w:val="18"/>
              </w:rPr>
            </w:pPr>
            <w:r>
              <w:rPr>
                <w:rFonts w:ascii="Verdana" w:hAnsi="Verdana"/>
                <w:sz w:val="18"/>
                <w:szCs w:val="18"/>
              </w:rPr>
              <w:t>4,8</w:t>
            </w:r>
          </w:p>
        </w:tc>
      </w:tr>
      <w:tr w:rsidR="00AA2591" w14:paraId="61A61D7C" w14:textId="77777777" w:rsidTr="00AA2591">
        <w:tc>
          <w:tcPr>
            <w:tcW w:w="454" w:type="dxa"/>
            <w:tcBorders>
              <w:right w:val="nil"/>
            </w:tcBorders>
          </w:tcPr>
          <w:p w14:paraId="5C668736" w14:textId="77777777" w:rsidR="00AA2591" w:rsidRDefault="00AA2591" w:rsidP="0074101D">
            <w:pPr>
              <w:spacing w:before="40" w:after="40" w:line="300" w:lineRule="atLeast"/>
              <w:rPr>
                <w:rFonts w:ascii="Verdana" w:hAnsi="Verdana"/>
                <w:sz w:val="18"/>
                <w:szCs w:val="18"/>
              </w:rPr>
            </w:pPr>
          </w:p>
        </w:tc>
        <w:tc>
          <w:tcPr>
            <w:tcW w:w="4394" w:type="dxa"/>
            <w:tcBorders>
              <w:left w:val="nil"/>
            </w:tcBorders>
          </w:tcPr>
          <w:p w14:paraId="645E1C26" w14:textId="30746602" w:rsidR="00AA2591" w:rsidRDefault="00AA2591" w:rsidP="00AA2591">
            <w:pPr>
              <w:spacing w:before="40" w:after="40" w:line="300" w:lineRule="atLeast"/>
              <w:jc w:val="right"/>
              <w:rPr>
                <w:rFonts w:ascii="Verdana" w:hAnsi="Verdana"/>
                <w:sz w:val="18"/>
                <w:szCs w:val="18"/>
              </w:rPr>
            </w:pPr>
            <w:r>
              <w:rPr>
                <w:rFonts w:ascii="Verdana" w:hAnsi="Verdana"/>
                <w:sz w:val="18"/>
                <w:szCs w:val="18"/>
              </w:rPr>
              <w:t>Sub-total</w:t>
            </w:r>
          </w:p>
        </w:tc>
        <w:tc>
          <w:tcPr>
            <w:tcW w:w="2127" w:type="dxa"/>
            <w:vAlign w:val="center"/>
          </w:tcPr>
          <w:p w14:paraId="096ACF79" w14:textId="5A34C8C0" w:rsidR="00AA2591" w:rsidRDefault="00AA2591" w:rsidP="0074101D">
            <w:pPr>
              <w:spacing w:before="40" w:after="40" w:line="300" w:lineRule="atLeast"/>
              <w:jc w:val="right"/>
              <w:rPr>
                <w:rFonts w:ascii="Verdana" w:hAnsi="Verdana"/>
                <w:sz w:val="18"/>
                <w:szCs w:val="18"/>
              </w:rPr>
            </w:pPr>
            <w:r>
              <w:rPr>
                <w:rFonts w:ascii="Verdana" w:hAnsi="Verdana"/>
                <w:sz w:val="18"/>
                <w:szCs w:val="18"/>
              </w:rPr>
              <w:t>6 166,1</w:t>
            </w:r>
          </w:p>
        </w:tc>
      </w:tr>
      <w:tr w:rsidR="00AA2591" w14:paraId="7BDDEEE6" w14:textId="77777777" w:rsidTr="0074101D">
        <w:tc>
          <w:tcPr>
            <w:tcW w:w="4848" w:type="dxa"/>
            <w:gridSpan w:val="2"/>
          </w:tcPr>
          <w:p w14:paraId="14F4B87B" w14:textId="4FAA2A11" w:rsidR="00AA2591" w:rsidRPr="00AA2591" w:rsidRDefault="00AA2591" w:rsidP="0074101D">
            <w:pPr>
              <w:spacing w:before="40" w:after="40" w:line="300" w:lineRule="atLeast"/>
              <w:rPr>
                <w:rFonts w:ascii="Verdana" w:hAnsi="Verdana"/>
                <w:b/>
                <w:sz w:val="18"/>
                <w:szCs w:val="18"/>
              </w:rPr>
            </w:pPr>
            <w:r>
              <w:rPr>
                <w:rFonts w:ascii="Verdana" w:hAnsi="Verdana"/>
                <w:b/>
                <w:sz w:val="18"/>
                <w:szCs w:val="18"/>
              </w:rPr>
              <w:t>Total Capital Raised/(Redeemed)</w:t>
            </w:r>
          </w:p>
        </w:tc>
        <w:tc>
          <w:tcPr>
            <w:tcW w:w="2127" w:type="dxa"/>
            <w:vAlign w:val="center"/>
          </w:tcPr>
          <w:p w14:paraId="0B55F67E" w14:textId="5DF019FC" w:rsidR="00AA2591" w:rsidRPr="00AA2591" w:rsidRDefault="00AA2591" w:rsidP="0074101D">
            <w:pPr>
              <w:spacing w:before="40" w:after="40" w:line="300" w:lineRule="atLeast"/>
              <w:jc w:val="right"/>
              <w:rPr>
                <w:rFonts w:ascii="Verdana" w:hAnsi="Verdana"/>
                <w:b/>
                <w:sz w:val="18"/>
                <w:szCs w:val="18"/>
              </w:rPr>
            </w:pPr>
            <w:r>
              <w:rPr>
                <w:rFonts w:ascii="Verdana" w:hAnsi="Verdana"/>
                <w:b/>
                <w:sz w:val="18"/>
                <w:szCs w:val="18"/>
              </w:rPr>
              <w:t>(8 199,2)</w:t>
            </w:r>
          </w:p>
        </w:tc>
      </w:tr>
      <w:tr w:rsidR="00AA2591" w14:paraId="4FFF7BC5" w14:textId="77777777" w:rsidTr="00AA2591">
        <w:tc>
          <w:tcPr>
            <w:tcW w:w="6975" w:type="dxa"/>
            <w:gridSpan w:val="3"/>
            <w:vAlign w:val="center"/>
          </w:tcPr>
          <w:p w14:paraId="1B315E68" w14:textId="3F8A90D7" w:rsidR="00AA2591" w:rsidRPr="00AA2591" w:rsidRDefault="00AA2591" w:rsidP="00AA2591">
            <w:pPr>
              <w:spacing w:before="40" w:after="40" w:line="300" w:lineRule="atLeast"/>
              <w:rPr>
                <w:rFonts w:ascii="Verdana" w:hAnsi="Verdana"/>
                <w:i/>
                <w:sz w:val="16"/>
                <w:szCs w:val="16"/>
              </w:rPr>
            </w:pPr>
            <w:r>
              <w:rPr>
                <w:rFonts w:ascii="Verdana" w:hAnsi="Verdana"/>
                <w:i/>
                <w:sz w:val="16"/>
                <w:szCs w:val="16"/>
              </w:rPr>
              <w:t>Source: etfSA.co.za/JSE/Profile Data (31/12/2018)</w:t>
            </w:r>
          </w:p>
        </w:tc>
      </w:tr>
    </w:tbl>
    <w:p w14:paraId="3FCB90BB" w14:textId="77777777" w:rsidR="00AA2591" w:rsidRPr="00C5446D" w:rsidRDefault="00AA2591" w:rsidP="00AA2591">
      <w:pPr>
        <w:rPr>
          <w:rFonts w:ascii="Verdana" w:hAnsi="Verdana"/>
          <w:sz w:val="18"/>
          <w:szCs w:val="18"/>
        </w:rPr>
      </w:pPr>
    </w:p>
    <w:p w14:paraId="040BD8E3" w14:textId="2AD18225" w:rsidR="00340ED3" w:rsidRDefault="00FD7DBB" w:rsidP="00083E17">
      <w:pPr>
        <w:spacing w:after="0" w:line="360" w:lineRule="atLeast"/>
        <w:rPr>
          <w:rFonts w:ascii="Verdana" w:hAnsi="Verdana"/>
          <w:color w:val="000000"/>
          <w:sz w:val="21"/>
          <w:szCs w:val="21"/>
        </w:rPr>
      </w:pPr>
      <w:r>
        <w:rPr>
          <w:rFonts w:ascii="Verdana" w:hAnsi="Verdana"/>
          <w:color w:val="000000"/>
          <w:sz w:val="21"/>
          <w:szCs w:val="21"/>
        </w:rPr>
        <w:t>2018 marked the first year in the pas</w:t>
      </w:r>
      <w:r w:rsidR="008A7891">
        <w:rPr>
          <w:rFonts w:ascii="Verdana" w:hAnsi="Verdana"/>
          <w:color w:val="000000"/>
          <w:sz w:val="21"/>
          <w:szCs w:val="21"/>
        </w:rPr>
        <w:t>t</w:t>
      </w:r>
      <w:r>
        <w:rPr>
          <w:rFonts w:ascii="Verdana" w:hAnsi="Verdana"/>
          <w:color w:val="000000"/>
          <w:sz w:val="21"/>
          <w:szCs w:val="21"/>
        </w:rPr>
        <w:t xml:space="preserve"> decade, when the ETP</w:t>
      </w:r>
      <w:r w:rsidR="004C60DA">
        <w:rPr>
          <w:rFonts w:ascii="Verdana" w:hAnsi="Verdana"/>
          <w:color w:val="000000"/>
          <w:sz w:val="21"/>
          <w:szCs w:val="21"/>
        </w:rPr>
        <w:t xml:space="preserve"> industry was not able to generate a positive capital inflow.  As can be seen from Table A, there was a net redemption of R8 199 in capital for 2018.  This net outflow of capital was a function</w:t>
      </w:r>
      <w:r w:rsidR="008A7891">
        <w:rPr>
          <w:rFonts w:ascii="Verdana" w:hAnsi="Verdana"/>
          <w:color w:val="000000"/>
          <w:sz w:val="21"/>
          <w:szCs w:val="21"/>
        </w:rPr>
        <w:t xml:space="preserve">, not only </w:t>
      </w:r>
      <w:r w:rsidR="004C60DA">
        <w:rPr>
          <w:rFonts w:ascii="Verdana" w:hAnsi="Verdana"/>
          <w:color w:val="000000"/>
          <w:sz w:val="21"/>
          <w:szCs w:val="21"/>
        </w:rPr>
        <w:t>of the relatively poor performance of m</w:t>
      </w:r>
      <w:r w:rsidR="008A7891">
        <w:rPr>
          <w:rFonts w:ascii="Verdana" w:hAnsi="Verdana"/>
          <w:color w:val="000000"/>
          <w:sz w:val="21"/>
          <w:szCs w:val="21"/>
        </w:rPr>
        <w:t>any</w:t>
      </w:r>
      <w:r w:rsidR="004C60DA">
        <w:rPr>
          <w:rFonts w:ascii="Verdana" w:hAnsi="Verdana"/>
          <w:color w:val="000000"/>
          <w:sz w:val="21"/>
          <w:szCs w:val="21"/>
        </w:rPr>
        <w:t xml:space="preserve"> </w:t>
      </w:r>
      <w:r w:rsidR="00D53225">
        <w:rPr>
          <w:rFonts w:ascii="Verdana" w:hAnsi="Verdana"/>
          <w:color w:val="000000"/>
          <w:sz w:val="21"/>
          <w:szCs w:val="21"/>
        </w:rPr>
        <w:t>of</w:t>
      </w:r>
      <w:r w:rsidR="004C60DA">
        <w:rPr>
          <w:rFonts w:ascii="Verdana" w:hAnsi="Verdana"/>
          <w:color w:val="000000"/>
          <w:sz w:val="21"/>
          <w:szCs w:val="21"/>
        </w:rPr>
        <w:t xml:space="preserve"> the major indices, particularly South African equity markets, but specifically because of a significant reduction in the number of listed ETF securities tracking commodities.  </w:t>
      </w:r>
    </w:p>
    <w:p w14:paraId="46AFE415" w14:textId="64CDC588" w:rsidR="004C60DA" w:rsidRDefault="004C60DA" w:rsidP="00083E17">
      <w:pPr>
        <w:spacing w:after="0" w:line="360" w:lineRule="atLeast"/>
        <w:rPr>
          <w:rFonts w:ascii="Verdana" w:hAnsi="Verdana"/>
          <w:color w:val="000000"/>
          <w:sz w:val="21"/>
          <w:szCs w:val="21"/>
        </w:rPr>
      </w:pPr>
    </w:p>
    <w:p w14:paraId="451FCC52" w14:textId="4B01DFA2" w:rsidR="004C60DA" w:rsidRDefault="004C60DA" w:rsidP="00083E17">
      <w:pPr>
        <w:spacing w:after="0" w:line="360" w:lineRule="atLeast"/>
        <w:rPr>
          <w:rFonts w:ascii="Verdana" w:hAnsi="Verdana"/>
          <w:color w:val="000000"/>
          <w:sz w:val="21"/>
          <w:szCs w:val="21"/>
        </w:rPr>
      </w:pPr>
      <w:r>
        <w:rPr>
          <w:rFonts w:ascii="Verdana" w:hAnsi="Verdana"/>
          <w:color w:val="000000"/>
          <w:sz w:val="21"/>
          <w:szCs w:val="21"/>
        </w:rPr>
        <w:t xml:space="preserve">Absa Capital, which issues ETFs, 100% physically backed by precious metals (gold, platinum, palladium) and Standard Bank with its similar precious metal ETFs (including rhodium), recorded net capital reductions and therefore </w:t>
      </w:r>
      <w:r w:rsidR="008A7891">
        <w:rPr>
          <w:rFonts w:ascii="Verdana" w:hAnsi="Verdana"/>
          <w:color w:val="000000"/>
          <w:sz w:val="21"/>
          <w:szCs w:val="21"/>
        </w:rPr>
        <w:t xml:space="preserve">a </w:t>
      </w:r>
      <w:r>
        <w:rPr>
          <w:rFonts w:ascii="Verdana" w:hAnsi="Verdana"/>
          <w:color w:val="000000"/>
          <w:sz w:val="21"/>
          <w:szCs w:val="21"/>
        </w:rPr>
        <w:t xml:space="preserve">repayment of capital of R10,2 billion and R2,8 billion respectively for 2018. </w:t>
      </w:r>
    </w:p>
    <w:p w14:paraId="304A087B" w14:textId="2334188C" w:rsidR="004C60DA" w:rsidRDefault="004C60DA" w:rsidP="00083E17">
      <w:pPr>
        <w:spacing w:after="0" w:line="360" w:lineRule="atLeast"/>
        <w:rPr>
          <w:rFonts w:ascii="Verdana" w:hAnsi="Verdana"/>
          <w:color w:val="000000"/>
          <w:sz w:val="21"/>
          <w:szCs w:val="21"/>
        </w:rPr>
      </w:pPr>
    </w:p>
    <w:p w14:paraId="209E7FBD" w14:textId="14360C83" w:rsidR="004C60DA" w:rsidRDefault="004C60DA" w:rsidP="00083E17">
      <w:pPr>
        <w:spacing w:after="0" w:line="360" w:lineRule="atLeast"/>
        <w:rPr>
          <w:rFonts w:ascii="Verdana" w:hAnsi="Verdana"/>
          <w:color w:val="000000"/>
          <w:sz w:val="21"/>
          <w:szCs w:val="21"/>
        </w:rPr>
      </w:pPr>
      <w:r>
        <w:rPr>
          <w:rFonts w:ascii="Verdana" w:hAnsi="Verdana"/>
          <w:color w:val="000000"/>
          <w:sz w:val="21"/>
          <w:szCs w:val="21"/>
        </w:rPr>
        <w:t xml:space="preserve">This sell-off of commodity based ETFs last year was curious because these products provided market-leading investment returns in 2018, following on equally good performance in 2016 and 2017.  </w:t>
      </w:r>
      <w:r w:rsidR="000C2A04">
        <w:rPr>
          <w:rFonts w:ascii="Verdana" w:hAnsi="Verdana"/>
          <w:color w:val="000000"/>
          <w:sz w:val="21"/>
          <w:szCs w:val="21"/>
        </w:rPr>
        <w:t>This was p</w:t>
      </w:r>
      <w:r>
        <w:rPr>
          <w:rFonts w:ascii="Verdana" w:hAnsi="Verdana"/>
          <w:color w:val="000000"/>
          <w:sz w:val="21"/>
          <w:szCs w:val="21"/>
        </w:rPr>
        <w:t xml:space="preserve">articularly </w:t>
      </w:r>
      <w:r w:rsidR="000C2A04">
        <w:rPr>
          <w:rFonts w:ascii="Verdana" w:hAnsi="Verdana"/>
          <w:color w:val="000000"/>
          <w:sz w:val="21"/>
          <w:szCs w:val="21"/>
        </w:rPr>
        <w:t xml:space="preserve">true of </w:t>
      </w:r>
      <w:r>
        <w:rPr>
          <w:rFonts w:ascii="Verdana" w:hAnsi="Verdana"/>
          <w:color w:val="000000"/>
          <w:sz w:val="21"/>
          <w:szCs w:val="21"/>
        </w:rPr>
        <w:t xml:space="preserve">palladium and rhodium, but even gold, </w:t>
      </w:r>
      <w:r w:rsidR="008A7891">
        <w:rPr>
          <w:rFonts w:ascii="Verdana" w:hAnsi="Verdana"/>
          <w:color w:val="000000"/>
          <w:sz w:val="21"/>
          <w:szCs w:val="21"/>
        </w:rPr>
        <w:t xml:space="preserve">which </w:t>
      </w:r>
      <w:r>
        <w:rPr>
          <w:rFonts w:ascii="Verdana" w:hAnsi="Verdana"/>
          <w:color w:val="000000"/>
          <w:sz w:val="21"/>
          <w:szCs w:val="21"/>
        </w:rPr>
        <w:t xml:space="preserve">in rand terms, delivered a return of over 15% in 2018.  Why then this sell-off in the best performing asset classes available in South Africa?  </w:t>
      </w:r>
    </w:p>
    <w:p w14:paraId="746F7C7A" w14:textId="2F1757FF" w:rsidR="004C60DA" w:rsidRDefault="004C60DA">
      <w:pPr>
        <w:rPr>
          <w:rFonts w:ascii="Verdana" w:hAnsi="Verdana"/>
          <w:color w:val="000000"/>
          <w:sz w:val="21"/>
          <w:szCs w:val="21"/>
        </w:rPr>
      </w:pPr>
      <w:r>
        <w:rPr>
          <w:rFonts w:ascii="Verdana" w:hAnsi="Verdana"/>
          <w:color w:val="000000"/>
          <w:sz w:val="21"/>
          <w:szCs w:val="21"/>
        </w:rPr>
        <w:br w:type="page"/>
      </w:r>
    </w:p>
    <w:p w14:paraId="2D97A7CE" w14:textId="19AC5DCC" w:rsidR="004C60DA" w:rsidRDefault="004C60DA" w:rsidP="00083E17">
      <w:pPr>
        <w:spacing w:after="0" w:line="360" w:lineRule="atLeast"/>
        <w:rPr>
          <w:rFonts w:ascii="Verdana" w:hAnsi="Verdana"/>
          <w:color w:val="000000"/>
          <w:sz w:val="21"/>
          <w:szCs w:val="21"/>
        </w:rPr>
      </w:pPr>
    </w:p>
    <w:p w14:paraId="04972B36" w14:textId="77777777" w:rsidR="008A7891" w:rsidRDefault="008A7891" w:rsidP="00083E17">
      <w:pPr>
        <w:spacing w:after="0" w:line="360" w:lineRule="atLeast"/>
        <w:rPr>
          <w:rFonts w:ascii="Verdana" w:hAnsi="Verdana"/>
          <w:color w:val="000000"/>
          <w:sz w:val="21"/>
          <w:szCs w:val="21"/>
        </w:rPr>
      </w:pPr>
    </w:p>
    <w:p w14:paraId="520EFD05" w14:textId="366170C3" w:rsidR="004C60DA" w:rsidRDefault="004C60DA" w:rsidP="004C60DA">
      <w:pPr>
        <w:pStyle w:val="ListParagraph"/>
        <w:numPr>
          <w:ilvl w:val="0"/>
          <w:numId w:val="8"/>
        </w:numPr>
        <w:spacing w:after="0" w:line="360" w:lineRule="atLeast"/>
        <w:rPr>
          <w:rFonts w:ascii="Verdana" w:hAnsi="Verdana"/>
          <w:color w:val="000000"/>
          <w:sz w:val="21"/>
          <w:szCs w:val="21"/>
        </w:rPr>
      </w:pPr>
      <w:r>
        <w:rPr>
          <w:rFonts w:ascii="Verdana" w:hAnsi="Verdana"/>
          <w:color w:val="000000"/>
          <w:sz w:val="21"/>
          <w:szCs w:val="21"/>
        </w:rPr>
        <w:t xml:space="preserve">Profit-taking by institutional investors might be part of the story as gains in commodity investments were used to offset losses elsewhere. </w:t>
      </w:r>
    </w:p>
    <w:p w14:paraId="532FC0E1" w14:textId="77777777" w:rsidR="008A7891" w:rsidRDefault="008A7891" w:rsidP="008A7891">
      <w:pPr>
        <w:pStyle w:val="ListParagraph"/>
        <w:spacing w:after="0" w:line="360" w:lineRule="atLeast"/>
        <w:rPr>
          <w:rFonts w:ascii="Verdana" w:hAnsi="Verdana"/>
          <w:color w:val="000000"/>
          <w:sz w:val="21"/>
          <w:szCs w:val="21"/>
        </w:rPr>
      </w:pPr>
    </w:p>
    <w:p w14:paraId="2EA0241A" w14:textId="6A0761FC" w:rsidR="004C60DA" w:rsidRDefault="004C60DA" w:rsidP="004C60DA">
      <w:pPr>
        <w:pStyle w:val="ListParagraph"/>
        <w:numPr>
          <w:ilvl w:val="0"/>
          <w:numId w:val="8"/>
        </w:numPr>
        <w:spacing w:after="0" w:line="360" w:lineRule="atLeast"/>
        <w:rPr>
          <w:rFonts w:ascii="Verdana" w:hAnsi="Verdana"/>
          <w:color w:val="000000"/>
          <w:sz w:val="21"/>
          <w:szCs w:val="21"/>
        </w:rPr>
      </w:pPr>
      <w:r>
        <w:rPr>
          <w:rFonts w:ascii="Verdana" w:hAnsi="Verdana"/>
          <w:color w:val="000000"/>
          <w:sz w:val="21"/>
          <w:szCs w:val="21"/>
        </w:rPr>
        <w:t xml:space="preserve">A mis-reading of the market for precious metals. </w:t>
      </w:r>
    </w:p>
    <w:p w14:paraId="3846F01E" w14:textId="77777777" w:rsidR="008A7891" w:rsidRPr="008A7891" w:rsidRDefault="008A7891" w:rsidP="008A7891">
      <w:pPr>
        <w:spacing w:after="0" w:line="360" w:lineRule="atLeast"/>
        <w:rPr>
          <w:rFonts w:ascii="Verdana" w:hAnsi="Verdana"/>
          <w:color w:val="000000"/>
          <w:sz w:val="21"/>
          <w:szCs w:val="21"/>
        </w:rPr>
      </w:pPr>
    </w:p>
    <w:p w14:paraId="41C1F3E0" w14:textId="309B8072" w:rsidR="004C60DA" w:rsidRDefault="004C60DA" w:rsidP="004C60DA">
      <w:pPr>
        <w:pStyle w:val="ListParagraph"/>
        <w:numPr>
          <w:ilvl w:val="0"/>
          <w:numId w:val="8"/>
        </w:numPr>
        <w:spacing w:after="0" w:line="360" w:lineRule="atLeast"/>
        <w:rPr>
          <w:rFonts w:ascii="Verdana" w:hAnsi="Verdana"/>
          <w:color w:val="000000"/>
          <w:sz w:val="21"/>
          <w:szCs w:val="21"/>
        </w:rPr>
      </w:pPr>
      <w:r>
        <w:rPr>
          <w:rFonts w:ascii="Verdana" w:hAnsi="Verdana"/>
          <w:color w:val="000000"/>
          <w:sz w:val="21"/>
          <w:szCs w:val="21"/>
        </w:rPr>
        <w:t xml:space="preserve">Some stories of commodity ETFs being used for short-term speculation purposes and for lending activities in metal markets.  </w:t>
      </w:r>
    </w:p>
    <w:p w14:paraId="589B5E3E" w14:textId="12C45289" w:rsidR="004C60DA" w:rsidRDefault="004C60DA" w:rsidP="004C60DA">
      <w:pPr>
        <w:spacing w:after="0" w:line="360" w:lineRule="atLeast"/>
        <w:rPr>
          <w:rFonts w:ascii="Verdana" w:hAnsi="Verdana"/>
          <w:color w:val="000000"/>
          <w:sz w:val="21"/>
          <w:szCs w:val="21"/>
        </w:rPr>
      </w:pPr>
    </w:p>
    <w:p w14:paraId="109F0759" w14:textId="7D89E124" w:rsidR="004C60DA" w:rsidRDefault="004C60DA" w:rsidP="004C60DA">
      <w:pPr>
        <w:spacing w:after="0" w:line="360" w:lineRule="atLeast"/>
        <w:rPr>
          <w:rFonts w:ascii="Verdana" w:hAnsi="Verdana"/>
          <w:color w:val="000000"/>
          <w:sz w:val="21"/>
          <w:szCs w:val="21"/>
        </w:rPr>
      </w:pPr>
      <w:r>
        <w:rPr>
          <w:rFonts w:ascii="Verdana" w:hAnsi="Verdana"/>
          <w:color w:val="000000"/>
          <w:sz w:val="21"/>
          <w:szCs w:val="21"/>
        </w:rPr>
        <w:t xml:space="preserve">On the positive capital inflows side, Sygnia Itrix led the way with a net capital raising of R1 745,3 million, closely followed by Satrix (R1 692,4 million).  Ashburton and CoreShares, as usual, consistently added new capital to their stables of ETFs. </w:t>
      </w:r>
    </w:p>
    <w:p w14:paraId="2D8F10C0" w14:textId="6482542A" w:rsidR="004C60DA" w:rsidRDefault="004C60DA" w:rsidP="004C60DA">
      <w:pPr>
        <w:spacing w:after="0" w:line="360" w:lineRule="atLeast"/>
        <w:rPr>
          <w:rFonts w:ascii="Verdana" w:hAnsi="Verdana"/>
          <w:color w:val="000000"/>
          <w:sz w:val="21"/>
          <w:szCs w:val="21"/>
        </w:rPr>
      </w:pPr>
    </w:p>
    <w:p w14:paraId="76E3B4DC" w14:textId="04387F44" w:rsidR="004C60DA" w:rsidRPr="004C60DA" w:rsidRDefault="004C60DA" w:rsidP="004C60DA">
      <w:pPr>
        <w:spacing w:after="0" w:line="360" w:lineRule="atLeast"/>
        <w:rPr>
          <w:rFonts w:ascii="Verdana" w:hAnsi="Verdana"/>
          <w:color w:val="000000"/>
          <w:sz w:val="21"/>
          <w:szCs w:val="21"/>
        </w:rPr>
      </w:pPr>
      <w:r>
        <w:rPr>
          <w:rFonts w:ascii="Verdana" w:hAnsi="Verdana"/>
          <w:color w:val="000000"/>
          <w:sz w:val="21"/>
          <w:szCs w:val="21"/>
        </w:rPr>
        <w:t>A new</w:t>
      </w:r>
      <w:r w:rsidR="007D3765">
        <w:rPr>
          <w:rFonts w:ascii="Verdana" w:hAnsi="Verdana"/>
          <w:color w:val="000000"/>
          <w:sz w:val="21"/>
          <w:szCs w:val="21"/>
        </w:rPr>
        <w:t xml:space="preserve"> entrant to the market in 2018 was Union Bank of Switzerland which listed a series of actively managed ETNs on the JSE.  These are </w:t>
      </w:r>
      <w:r w:rsidR="00D53225">
        <w:rPr>
          <w:rFonts w:ascii="Verdana" w:hAnsi="Verdana"/>
          <w:color w:val="000000"/>
          <w:sz w:val="21"/>
          <w:szCs w:val="21"/>
        </w:rPr>
        <w:t>portfolios</w:t>
      </w:r>
      <w:r w:rsidR="007D3765">
        <w:rPr>
          <w:rFonts w:ascii="Verdana" w:hAnsi="Verdana"/>
          <w:color w:val="000000"/>
          <w:sz w:val="21"/>
          <w:szCs w:val="21"/>
        </w:rPr>
        <w:t xml:space="preserve"> of securities that meet the specific requirements of various clients that a</w:t>
      </w:r>
      <w:r w:rsidR="00417CC4">
        <w:rPr>
          <w:rFonts w:ascii="Verdana" w:hAnsi="Verdana"/>
          <w:color w:val="000000"/>
          <w:sz w:val="21"/>
          <w:szCs w:val="21"/>
        </w:rPr>
        <w:t>r</w:t>
      </w:r>
      <w:r w:rsidR="007D3765">
        <w:rPr>
          <w:rFonts w:ascii="Verdana" w:hAnsi="Verdana"/>
          <w:color w:val="000000"/>
          <w:sz w:val="21"/>
          <w:szCs w:val="21"/>
        </w:rPr>
        <w:t xml:space="preserve">e listed on the exchange, </w:t>
      </w:r>
      <w:r w:rsidR="00D53225">
        <w:rPr>
          <w:rFonts w:ascii="Verdana" w:hAnsi="Verdana"/>
          <w:color w:val="000000"/>
          <w:sz w:val="21"/>
          <w:szCs w:val="21"/>
        </w:rPr>
        <w:t>presumably</w:t>
      </w:r>
      <w:r w:rsidR="007D3765">
        <w:rPr>
          <w:rFonts w:ascii="Verdana" w:hAnsi="Verdana"/>
          <w:color w:val="000000"/>
          <w:sz w:val="21"/>
          <w:szCs w:val="21"/>
        </w:rPr>
        <w:t xml:space="preserve"> to provide transparency, enhance price discovery and generate liquidity, if required. </w:t>
      </w:r>
      <w:r w:rsidR="000C2A04">
        <w:rPr>
          <w:rFonts w:ascii="Verdana" w:hAnsi="Verdana"/>
          <w:color w:val="000000"/>
          <w:sz w:val="21"/>
          <w:szCs w:val="21"/>
        </w:rPr>
        <w:t xml:space="preserve"> These are in many ways quite different from traditional index-tracking ETPs. </w:t>
      </w:r>
    </w:p>
    <w:p w14:paraId="53EFBC4A" w14:textId="0F54DA9D" w:rsidR="004C60DA" w:rsidRDefault="004C60DA" w:rsidP="00083E17">
      <w:pPr>
        <w:spacing w:after="0" w:line="360" w:lineRule="atLeast"/>
        <w:rPr>
          <w:rFonts w:ascii="Verdana" w:hAnsi="Verdana"/>
          <w:color w:val="000000"/>
          <w:sz w:val="21"/>
          <w:szCs w:val="21"/>
        </w:rPr>
      </w:pPr>
    </w:p>
    <w:p w14:paraId="4553719B" w14:textId="77777777" w:rsidR="00417CC4" w:rsidRDefault="00417CC4" w:rsidP="00083E17">
      <w:pPr>
        <w:spacing w:after="0" w:line="360" w:lineRule="atLeast"/>
        <w:rPr>
          <w:rFonts w:ascii="Verdana" w:hAnsi="Verdana"/>
          <w:color w:val="000000"/>
          <w:sz w:val="21"/>
          <w:szCs w:val="21"/>
        </w:rPr>
      </w:pPr>
    </w:p>
    <w:p w14:paraId="7057E63C" w14:textId="0768DE52" w:rsidR="00083E17" w:rsidRPr="003A3D19" w:rsidRDefault="007D3765" w:rsidP="007D3765">
      <w:pPr>
        <w:spacing w:after="120" w:line="360" w:lineRule="atLeast"/>
        <w:jc w:val="both"/>
        <w:rPr>
          <w:rFonts w:ascii="Verdana" w:hAnsi="Verdana"/>
          <w:b/>
          <w:color w:val="C00000"/>
          <w:sz w:val="24"/>
          <w:szCs w:val="24"/>
        </w:rPr>
      </w:pPr>
      <w:r>
        <w:rPr>
          <w:rFonts w:ascii="Verdana" w:hAnsi="Verdana"/>
          <w:b/>
          <w:color w:val="C00000"/>
          <w:sz w:val="24"/>
          <w:szCs w:val="24"/>
        </w:rPr>
        <w:t>The South African ETP Industry at the End of 2018</w:t>
      </w:r>
    </w:p>
    <w:p w14:paraId="5F6DC47B" w14:textId="6C33B459" w:rsidR="007D3765" w:rsidRDefault="007D3765" w:rsidP="00792524">
      <w:pPr>
        <w:spacing w:after="0" w:line="360" w:lineRule="atLeast"/>
        <w:rPr>
          <w:rFonts w:ascii="Verdana" w:hAnsi="Verdana"/>
          <w:color w:val="000000"/>
          <w:sz w:val="21"/>
          <w:szCs w:val="21"/>
        </w:rPr>
      </w:pPr>
      <w:r>
        <w:rPr>
          <w:rFonts w:ascii="Verdana" w:hAnsi="Verdana"/>
          <w:color w:val="000000"/>
          <w:sz w:val="21"/>
          <w:szCs w:val="21"/>
        </w:rPr>
        <w:t xml:space="preserve">Table B summarises the South African ETP industry, which now has 12 separate issuers of Exchange Traded Products, with a total of 101 ETPs in issue on the JSE.  The total market capitalisation of the industry at the end of 2018 was R77,8 billion, of which R68,5 billion was ETFs and R9,3 billion ETNs.  </w:t>
      </w:r>
    </w:p>
    <w:p w14:paraId="169AAB54" w14:textId="46AB65B2" w:rsidR="007D3765" w:rsidRDefault="007D3765" w:rsidP="00792524">
      <w:pPr>
        <w:spacing w:after="0" w:line="360" w:lineRule="atLeast"/>
        <w:rPr>
          <w:rFonts w:ascii="Verdana" w:hAnsi="Verdana"/>
          <w:color w:val="000000"/>
          <w:sz w:val="21"/>
          <w:szCs w:val="21"/>
        </w:rPr>
      </w:pPr>
    </w:p>
    <w:p w14:paraId="38692FA3" w14:textId="2EB51B8B" w:rsidR="007D3765" w:rsidRDefault="007D3765" w:rsidP="00792524">
      <w:pPr>
        <w:spacing w:after="0" w:line="360" w:lineRule="atLeast"/>
        <w:rPr>
          <w:rFonts w:ascii="Verdana" w:hAnsi="Verdana"/>
          <w:color w:val="000000"/>
          <w:sz w:val="21"/>
          <w:szCs w:val="21"/>
        </w:rPr>
      </w:pPr>
      <w:r>
        <w:rPr>
          <w:rFonts w:ascii="Verdana" w:hAnsi="Verdana"/>
          <w:color w:val="000000"/>
          <w:sz w:val="21"/>
          <w:szCs w:val="21"/>
        </w:rPr>
        <w:t>During the course of 2018, 13 new ETFs were listed on the JSE, of which ten track global and local equity indices and three are smart beta products.  In addition, f</w:t>
      </w:r>
      <w:r w:rsidR="00417CC4">
        <w:rPr>
          <w:rFonts w:ascii="Verdana" w:hAnsi="Verdana"/>
          <w:color w:val="000000"/>
          <w:sz w:val="21"/>
          <w:szCs w:val="21"/>
        </w:rPr>
        <w:t>ive</w:t>
      </w:r>
      <w:r>
        <w:rPr>
          <w:rFonts w:ascii="Verdana" w:hAnsi="Verdana"/>
          <w:color w:val="000000"/>
          <w:sz w:val="21"/>
          <w:szCs w:val="21"/>
        </w:rPr>
        <w:t xml:space="preserve"> new ETNs were listed by UBS. </w:t>
      </w:r>
    </w:p>
    <w:p w14:paraId="1B52C1A7" w14:textId="50DBD831" w:rsidR="007D3765" w:rsidRDefault="007D3765" w:rsidP="00792524">
      <w:pPr>
        <w:spacing w:after="0" w:line="360" w:lineRule="atLeast"/>
        <w:rPr>
          <w:rFonts w:ascii="Verdana" w:hAnsi="Verdana"/>
          <w:color w:val="000000"/>
          <w:sz w:val="21"/>
          <w:szCs w:val="21"/>
        </w:rPr>
      </w:pPr>
    </w:p>
    <w:p w14:paraId="1D01B64E" w14:textId="2E53DB2B" w:rsidR="007D3765" w:rsidRDefault="00417CC4" w:rsidP="00792524">
      <w:pPr>
        <w:spacing w:after="0" w:line="360" w:lineRule="atLeast"/>
        <w:rPr>
          <w:rFonts w:ascii="Verdana" w:hAnsi="Verdana"/>
          <w:color w:val="000000"/>
          <w:sz w:val="21"/>
          <w:szCs w:val="21"/>
        </w:rPr>
      </w:pPr>
      <w:r>
        <w:rPr>
          <w:rFonts w:ascii="Verdana" w:hAnsi="Verdana"/>
          <w:color w:val="000000"/>
          <w:sz w:val="21"/>
          <w:szCs w:val="21"/>
        </w:rPr>
        <w:t>5</w:t>
      </w:r>
      <w:r w:rsidR="007D3765">
        <w:rPr>
          <w:rFonts w:ascii="Verdana" w:hAnsi="Verdana"/>
          <w:color w:val="000000"/>
          <w:sz w:val="21"/>
          <w:szCs w:val="21"/>
        </w:rPr>
        <w:t xml:space="preserve">5 out of the total 101 ETFs/ETNs, now listed on the JSE, track global indices and assets (equities, bonds, listed property, commodities and currencies).  The balance track South African indices and assets, so the ETP industry now offers a wide choice of products to enable the focus of investments on specific asset classes and </w:t>
      </w:r>
      <w:r>
        <w:rPr>
          <w:rFonts w:ascii="Verdana" w:hAnsi="Verdana"/>
          <w:color w:val="000000"/>
          <w:sz w:val="21"/>
          <w:szCs w:val="21"/>
        </w:rPr>
        <w:t xml:space="preserve">market </w:t>
      </w:r>
      <w:r w:rsidR="007D3765">
        <w:rPr>
          <w:rFonts w:ascii="Verdana" w:hAnsi="Verdana"/>
          <w:color w:val="000000"/>
          <w:sz w:val="21"/>
          <w:szCs w:val="21"/>
        </w:rPr>
        <w:t xml:space="preserve">sectors, </w:t>
      </w:r>
      <w:r w:rsidR="006E70F6">
        <w:rPr>
          <w:rFonts w:ascii="Verdana" w:hAnsi="Verdana"/>
          <w:color w:val="000000"/>
          <w:sz w:val="21"/>
          <w:szCs w:val="21"/>
        </w:rPr>
        <w:t xml:space="preserve">as well as </w:t>
      </w:r>
      <w:r>
        <w:rPr>
          <w:rFonts w:ascii="Verdana" w:hAnsi="Verdana"/>
          <w:color w:val="000000"/>
          <w:sz w:val="21"/>
          <w:szCs w:val="21"/>
        </w:rPr>
        <w:t xml:space="preserve">allowing </w:t>
      </w:r>
      <w:r w:rsidR="006E70F6">
        <w:rPr>
          <w:rFonts w:ascii="Verdana" w:hAnsi="Verdana"/>
          <w:color w:val="000000"/>
          <w:sz w:val="21"/>
          <w:szCs w:val="21"/>
        </w:rPr>
        <w:t>the construction of multi-asset class balanc</w:t>
      </w:r>
      <w:r>
        <w:rPr>
          <w:rFonts w:ascii="Verdana" w:hAnsi="Verdana"/>
          <w:color w:val="000000"/>
          <w:sz w:val="21"/>
          <w:szCs w:val="21"/>
        </w:rPr>
        <w:t>ed</w:t>
      </w:r>
      <w:r w:rsidR="006E70F6">
        <w:rPr>
          <w:rFonts w:ascii="Verdana" w:hAnsi="Verdana"/>
          <w:color w:val="000000"/>
          <w:sz w:val="21"/>
          <w:szCs w:val="21"/>
        </w:rPr>
        <w:t xml:space="preserve"> portfolios for private and institutional clients.  </w:t>
      </w:r>
    </w:p>
    <w:p w14:paraId="20CE23D0" w14:textId="494F42FC" w:rsidR="00FE752C" w:rsidRDefault="00FE752C" w:rsidP="00FE752C">
      <w:pPr>
        <w:spacing w:after="0" w:line="320" w:lineRule="atLeast"/>
        <w:rPr>
          <w:rFonts w:ascii="Verdana" w:hAnsi="Verdana"/>
          <w:color w:val="000000"/>
          <w:sz w:val="21"/>
          <w:szCs w:val="21"/>
        </w:rPr>
      </w:pPr>
    </w:p>
    <w:p w14:paraId="00C98C00" w14:textId="4F0C964B" w:rsidR="006E70F6" w:rsidRDefault="006E70F6">
      <w:pPr>
        <w:rPr>
          <w:rFonts w:ascii="Verdana" w:hAnsi="Verdana"/>
          <w:color w:val="000000"/>
          <w:sz w:val="21"/>
          <w:szCs w:val="21"/>
        </w:rPr>
      </w:pPr>
      <w:r>
        <w:rPr>
          <w:rFonts w:ascii="Verdana" w:hAnsi="Verdana"/>
          <w:color w:val="000000"/>
          <w:sz w:val="21"/>
          <w:szCs w:val="21"/>
        </w:rPr>
        <w:br w:type="page"/>
      </w:r>
    </w:p>
    <w:p w14:paraId="30EEA13A" w14:textId="77777777" w:rsidR="006E70F6" w:rsidRDefault="006E70F6" w:rsidP="00FE752C">
      <w:pPr>
        <w:spacing w:after="0" w:line="320" w:lineRule="atLeast"/>
        <w:rPr>
          <w:rFonts w:ascii="Verdana" w:hAnsi="Verdana"/>
          <w:color w:val="000000"/>
          <w:sz w:val="21"/>
          <w:szCs w:val="21"/>
        </w:rPr>
      </w:pPr>
    </w:p>
    <w:p w14:paraId="541B3F22" w14:textId="58E9A7A6" w:rsidR="002A6914" w:rsidRPr="002A6914" w:rsidRDefault="002A6914" w:rsidP="00FE752C">
      <w:pPr>
        <w:spacing w:after="0" w:line="320" w:lineRule="atLeast"/>
        <w:rPr>
          <w:rFonts w:ascii="Verdana" w:hAnsi="Verdana"/>
          <w:b/>
          <w:color w:val="000000"/>
          <w:sz w:val="21"/>
          <w:szCs w:val="21"/>
        </w:rPr>
      </w:pPr>
      <w:r w:rsidRPr="002A6914">
        <w:rPr>
          <w:rFonts w:ascii="Verdana" w:hAnsi="Verdana"/>
          <w:b/>
          <w:color w:val="000000"/>
          <w:sz w:val="21"/>
          <w:szCs w:val="21"/>
        </w:rPr>
        <w:t xml:space="preserve">Table </w:t>
      </w:r>
      <w:r w:rsidR="006E70F6">
        <w:rPr>
          <w:rFonts w:ascii="Verdana" w:hAnsi="Verdana"/>
          <w:b/>
          <w:color w:val="000000"/>
          <w:sz w:val="21"/>
          <w:szCs w:val="21"/>
        </w:rPr>
        <w:t>B</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
        <w:gridCol w:w="1701"/>
        <w:gridCol w:w="993"/>
        <w:gridCol w:w="992"/>
        <w:gridCol w:w="1417"/>
        <w:gridCol w:w="1418"/>
        <w:gridCol w:w="1843"/>
      </w:tblGrid>
      <w:tr w:rsidR="00B228FA" w:rsidRPr="00AB6CBE" w14:paraId="434626B3" w14:textId="77777777" w:rsidTr="00F41953">
        <w:tc>
          <w:tcPr>
            <w:tcW w:w="9214" w:type="dxa"/>
            <w:gridSpan w:val="8"/>
            <w:shd w:val="clear" w:color="auto" w:fill="C00000"/>
            <w:vAlign w:val="center"/>
          </w:tcPr>
          <w:p w14:paraId="3450A6C7" w14:textId="77777777" w:rsidR="00B228FA" w:rsidRPr="003B4F95" w:rsidRDefault="00B228FA" w:rsidP="00B228FA">
            <w:pPr>
              <w:spacing w:before="20" w:after="60" w:line="280" w:lineRule="atLeast"/>
              <w:jc w:val="center"/>
              <w:rPr>
                <w:rFonts w:ascii="Verdana" w:hAnsi="Verdana"/>
                <w:b/>
                <w:color w:val="FFFFFF"/>
                <w:sz w:val="18"/>
                <w:szCs w:val="18"/>
              </w:rPr>
            </w:pPr>
            <w:r w:rsidRPr="003B4F95">
              <w:rPr>
                <w:rFonts w:ascii="Verdana" w:hAnsi="Verdana"/>
                <w:b/>
                <w:color w:val="FFFFFF"/>
                <w:sz w:val="18"/>
                <w:szCs w:val="18"/>
              </w:rPr>
              <w:t>The South African Exchange Traded Product Industry</w:t>
            </w:r>
          </w:p>
          <w:p w14:paraId="151AE169" w14:textId="0783C273" w:rsidR="00B228FA" w:rsidRPr="003B4F95" w:rsidRDefault="00B228FA" w:rsidP="00B228FA">
            <w:pPr>
              <w:spacing w:before="20" w:after="60" w:line="280" w:lineRule="atLeast"/>
              <w:jc w:val="center"/>
              <w:rPr>
                <w:rFonts w:ascii="Verdana" w:hAnsi="Verdana"/>
                <w:b/>
                <w:color w:val="FFFFFF"/>
                <w:sz w:val="18"/>
                <w:szCs w:val="18"/>
              </w:rPr>
            </w:pPr>
            <w:r w:rsidRPr="003B4F95">
              <w:rPr>
                <w:rFonts w:ascii="Verdana" w:hAnsi="Verdana"/>
                <w:b/>
                <w:color w:val="FFFFFF"/>
                <w:sz w:val="18"/>
                <w:szCs w:val="18"/>
              </w:rPr>
              <w:t xml:space="preserve">(as at </w:t>
            </w:r>
            <w:r w:rsidR="006E70F6">
              <w:rPr>
                <w:rFonts w:ascii="Verdana" w:hAnsi="Verdana"/>
                <w:b/>
                <w:color w:val="FFFFFF"/>
                <w:sz w:val="18"/>
                <w:szCs w:val="18"/>
              </w:rPr>
              <w:t>31</w:t>
            </w:r>
            <w:r w:rsidR="001A6952">
              <w:rPr>
                <w:rFonts w:ascii="Verdana" w:hAnsi="Verdana"/>
                <w:b/>
                <w:color w:val="FFFFFF"/>
                <w:sz w:val="18"/>
                <w:szCs w:val="18"/>
              </w:rPr>
              <w:t xml:space="preserve"> </w:t>
            </w:r>
            <w:r w:rsidR="006E70F6">
              <w:rPr>
                <w:rFonts w:ascii="Verdana" w:hAnsi="Verdana"/>
                <w:b/>
                <w:color w:val="FFFFFF"/>
                <w:sz w:val="18"/>
                <w:szCs w:val="18"/>
              </w:rPr>
              <w:t>Dec</w:t>
            </w:r>
            <w:r w:rsidR="00A94957">
              <w:rPr>
                <w:rFonts w:ascii="Verdana" w:hAnsi="Verdana"/>
                <w:b/>
                <w:color w:val="FFFFFF"/>
                <w:sz w:val="18"/>
                <w:szCs w:val="18"/>
              </w:rPr>
              <w:t>ember</w:t>
            </w:r>
            <w:r w:rsidRPr="003B4F95">
              <w:rPr>
                <w:rFonts w:ascii="Verdana" w:hAnsi="Verdana"/>
                <w:b/>
                <w:color w:val="FFFFFF"/>
                <w:sz w:val="18"/>
                <w:szCs w:val="18"/>
              </w:rPr>
              <w:t xml:space="preserve"> 201</w:t>
            </w:r>
            <w:r w:rsidR="001A6952">
              <w:rPr>
                <w:rFonts w:ascii="Verdana" w:hAnsi="Verdana"/>
                <w:b/>
                <w:color w:val="FFFFFF"/>
                <w:sz w:val="18"/>
                <w:szCs w:val="18"/>
              </w:rPr>
              <w:t>8</w:t>
            </w:r>
            <w:r w:rsidRPr="003B4F95">
              <w:rPr>
                <w:rFonts w:ascii="Verdana" w:hAnsi="Verdana"/>
                <w:b/>
                <w:color w:val="FFFFFF"/>
                <w:sz w:val="18"/>
                <w:szCs w:val="18"/>
              </w:rPr>
              <w:t>)</w:t>
            </w:r>
          </w:p>
        </w:tc>
      </w:tr>
      <w:tr w:rsidR="00B228FA" w:rsidRPr="00AB6CBE" w14:paraId="2FBAE7FA" w14:textId="77777777" w:rsidTr="00F41953">
        <w:trPr>
          <w:trHeight w:val="311"/>
        </w:trPr>
        <w:tc>
          <w:tcPr>
            <w:tcW w:w="567" w:type="dxa"/>
            <w:shd w:val="clear" w:color="auto" w:fill="4C4C4C"/>
            <w:vAlign w:val="center"/>
          </w:tcPr>
          <w:p w14:paraId="75478BA6" w14:textId="77777777" w:rsidR="00B228FA" w:rsidRPr="003B4F95" w:rsidRDefault="00B228FA" w:rsidP="00A94957">
            <w:pPr>
              <w:spacing w:before="60" w:after="60" w:line="280" w:lineRule="atLeast"/>
              <w:rPr>
                <w:rFonts w:ascii="Verdana" w:hAnsi="Verdana"/>
                <w:b/>
                <w:color w:val="FFFFFF"/>
                <w:sz w:val="18"/>
                <w:szCs w:val="18"/>
              </w:rPr>
            </w:pPr>
          </w:p>
        </w:tc>
        <w:tc>
          <w:tcPr>
            <w:tcW w:w="1984" w:type="dxa"/>
            <w:gridSpan w:val="2"/>
            <w:shd w:val="clear" w:color="auto" w:fill="4C4C4C"/>
            <w:vAlign w:val="center"/>
          </w:tcPr>
          <w:p w14:paraId="54C54B5A" w14:textId="77777777" w:rsidR="00B228FA" w:rsidRPr="003B4F95" w:rsidRDefault="00B228FA" w:rsidP="00A94957">
            <w:pPr>
              <w:spacing w:before="60" w:after="60" w:line="280" w:lineRule="atLeast"/>
              <w:jc w:val="right"/>
              <w:rPr>
                <w:rFonts w:ascii="Verdana" w:hAnsi="Verdana"/>
                <w:b/>
                <w:color w:val="FFFFFF"/>
                <w:sz w:val="18"/>
                <w:szCs w:val="18"/>
              </w:rPr>
            </w:pPr>
          </w:p>
        </w:tc>
        <w:tc>
          <w:tcPr>
            <w:tcW w:w="1985" w:type="dxa"/>
            <w:gridSpan w:val="2"/>
            <w:shd w:val="clear" w:color="auto" w:fill="4C4C4C"/>
            <w:vAlign w:val="center"/>
          </w:tcPr>
          <w:p w14:paraId="2FE892D7" w14:textId="7D1046E5" w:rsidR="00B228FA" w:rsidRPr="003B4F95" w:rsidRDefault="006E70F6" w:rsidP="00A94957">
            <w:pPr>
              <w:spacing w:before="60" w:after="60" w:line="280" w:lineRule="atLeast"/>
              <w:jc w:val="center"/>
              <w:rPr>
                <w:rFonts w:ascii="Verdana" w:hAnsi="Verdana"/>
                <w:b/>
                <w:color w:val="FFFFFF"/>
                <w:sz w:val="18"/>
                <w:szCs w:val="18"/>
              </w:rPr>
            </w:pPr>
            <w:r>
              <w:rPr>
                <w:rFonts w:ascii="Verdana" w:hAnsi="Verdana"/>
                <w:b/>
                <w:color w:val="FFFFFF"/>
                <w:sz w:val="18"/>
                <w:szCs w:val="18"/>
              </w:rPr>
              <w:t>Number of Products</w:t>
            </w:r>
          </w:p>
        </w:tc>
        <w:tc>
          <w:tcPr>
            <w:tcW w:w="2835" w:type="dxa"/>
            <w:gridSpan w:val="2"/>
            <w:shd w:val="clear" w:color="auto" w:fill="4C4C4C"/>
            <w:vAlign w:val="center"/>
          </w:tcPr>
          <w:p w14:paraId="0855FF1A" w14:textId="00847BCB" w:rsidR="00B228FA" w:rsidRPr="003B4F95" w:rsidRDefault="006E70F6" w:rsidP="00A94957">
            <w:pPr>
              <w:spacing w:before="60" w:after="60" w:line="280" w:lineRule="atLeast"/>
              <w:jc w:val="center"/>
              <w:rPr>
                <w:rFonts w:ascii="Verdana" w:hAnsi="Verdana"/>
                <w:b/>
                <w:color w:val="FFFFFF"/>
                <w:sz w:val="18"/>
                <w:szCs w:val="18"/>
              </w:rPr>
            </w:pPr>
            <w:r w:rsidRPr="003B4F95">
              <w:rPr>
                <w:rFonts w:ascii="Verdana" w:hAnsi="Verdana"/>
                <w:b/>
                <w:color w:val="FFFFFF"/>
                <w:sz w:val="18"/>
                <w:szCs w:val="18"/>
              </w:rPr>
              <w:t>Value (Market Cap) of Shares in Issue (Rm)</w:t>
            </w:r>
          </w:p>
        </w:tc>
        <w:tc>
          <w:tcPr>
            <w:tcW w:w="1843" w:type="dxa"/>
            <w:vMerge w:val="restart"/>
            <w:shd w:val="clear" w:color="auto" w:fill="4C4C4C"/>
            <w:vAlign w:val="center"/>
          </w:tcPr>
          <w:p w14:paraId="66283660" w14:textId="7208144B" w:rsidR="00B228FA" w:rsidRPr="003B4F95" w:rsidRDefault="00F41953" w:rsidP="00B228FA">
            <w:pPr>
              <w:spacing w:before="20" w:after="60" w:line="280" w:lineRule="atLeast"/>
              <w:jc w:val="right"/>
              <w:rPr>
                <w:rFonts w:ascii="Verdana" w:hAnsi="Verdana"/>
                <w:b/>
                <w:color w:val="FFFFFF"/>
                <w:sz w:val="18"/>
                <w:szCs w:val="18"/>
              </w:rPr>
            </w:pPr>
            <w:r>
              <w:rPr>
                <w:rFonts w:ascii="Verdana" w:hAnsi="Verdana"/>
                <w:b/>
                <w:color w:val="FFFFFF"/>
                <w:sz w:val="18"/>
                <w:szCs w:val="18"/>
              </w:rPr>
              <w:t>Total Market Capitalisation</w:t>
            </w:r>
            <w:r w:rsidR="00B228FA" w:rsidRPr="003B4F95">
              <w:rPr>
                <w:rFonts w:ascii="Verdana" w:hAnsi="Verdana"/>
                <w:b/>
                <w:color w:val="FFFFFF"/>
                <w:sz w:val="18"/>
                <w:szCs w:val="18"/>
              </w:rPr>
              <w:t xml:space="preserve"> (Rm)</w:t>
            </w:r>
          </w:p>
        </w:tc>
      </w:tr>
      <w:tr w:rsidR="00B228FA" w:rsidRPr="00AB6CBE" w14:paraId="25F85B79" w14:textId="77777777" w:rsidTr="00F41953">
        <w:trPr>
          <w:trHeight w:val="311"/>
        </w:trPr>
        <w:tc>
          <w:tcPr>
            <w:tcW w:w="567" w:type="dxa"/>
            <w:shd w:val="clear" w:color="auto" w:fill="4C4C4C"/>
            <w:vAlign w:val="center"/>
          </w:tcPr>
          <w:p w14:paraId="30623943" w14:textId="77777777" w:rsidR="00B228FA" w:rsidRPr="003B4F95" w:rsidRDefault="00B228FA" w:rsidP="00A94957">
            <w:pPr>
              <w:spacing w:before="60" w:after="60" w:line="280" w:lineRule="atLeast"/>
              <w:rPr>
                <w:rFonts w:ascii="Verdana" w:hAnsi="Verdana"/>
                <w:b/>
                <w:color w:val="FFFFFF"/>
                <w:sz w:val="18"/>
                <w:szCs w:val="18"/>
              </w:rPr>
            </w:pPr>
          </w:p>
        </w:tc>
        <w:tc>
          <w:tcPr>
            <w:tcW w:w="1984" w:type="dxa"/>
            <w:gridSpan w:val="2"/>
            <w:shd w:val="clear" w:color="auto" w:fill="4C4C4C"/>
          </w:tcPr>
          <w:p w14:paraId="433B9834" w14:textId="77777777" w:rsidR="00B228FA" w:rsidRPr="003B4F95" w:rsidRDefault="00B228FA" w:rsidP="00A94957">
            <w:pPr>
              <w:spacing w:before="60" w:after="60" w:line="280" w:lineRule="atLeast"/>
              <w:rPr>
                <w:rFonts w:ascii="Verdana" w:hAnsi="Verdana"/>
                <w:b/>
                <w:color w:val="FFFFFF"/>
                <w:sz w:val="18"/>
                <w:szCs w:val="18"/>
              </w:rPr>
            </w:pPr>
            <w:r w:rsidRPr="003B4F95">
              <w:rPr>
                <w:rFonts w:ascii="Verdana" w:hAnsi="Verdana"/>
                <w:b/>
                <w:color w:val="FFFFFF"/>
                <w:sz w:val="18"/>
                <w:szCs w:val="18"/>
              </w:rPr>
              <w:t>Issuer</w:t>
            </w:r>
          </w:p>
        </w:tc>
        <w:tc>
          <w:tcPr>
            <w:tcW w:w="993" w:type="dxa"/>
            <w:shd w:val="clear" w:color="auto" w:fill="4C4C4C"/>
            <w:vAlign w:val="center"/>
          </w:tcPr>
          <w:p w14:paraId="604AED10" w14:textId="77777777" w:rsidR="00B228FA" w:rsidRPr="003B4F95" w:rsidRDefault="00B228FA" w:rsidP="00F41953">
            <w:pPr>
              <w:spacing w:before="60" w:after="60" w:line="280" w:lineRule="atLeast"/>
              <w:jc w:val="center"/>
              <w:rPr>
                <w:rFonts w:ascii="Verdana" w:hAnsi="Verdana"/>
                <w:b/>
                <w:color w:val="FFFFFF"/>
                <w:sz w:val="18"/>
                <w:szCs w:val="18"/>
              </w:rPr>
            </w:pPr>
            <w:r w:rsidRPr="003B4F95">
              <w:rPr>
                <w:rFonts w:ascii="Verdana" w:hAnsi="Verdana"/>
                <w:b/>
                <w:color w:val="FFFFFF"/>
                <w:sz w:val="18"/>
                <w:szCs w:val="18"/>
              </w:rPr>
              <w:t>ETFs</w:t>
            </w:r>
          </w:p>
        </w:tc>
        <w:tc>
          <w:tcPr>
            <w:tcW w:w="992" w:type="dxa"/>
            <w:shd w:val="clear" w:color="auto" w:fill="4C4C4C"/>
            <w:vAlign w:val="center"/>
          </w:tcPr>
          <w:p w14:paraId="3575676A" w14:textId="77777777" w:rsidR="00B228FA" w:rsidRPr="003B4F95" w:rsidRDefault="00B228FA" w:rsidP="00F41953">
            <w:pPr>
              <w:spacing w:before="60" w:after="60" w:line="280" w:lineRule="atLeast"/>
              <w:jc w:val="center"/>
              <w:rPr>
                <w:rFonts w:ascii="Verdana" w:hAnsi="Verdana"/>
                <w:b/>
                <w:color w:val="FFFFFF"/>
                <w:sz w:val="18"/>
                <w:szCs w:val="18"/>
              </w:rPr>
            </w:pPr>
            <w:r>
              <w:rPr>
                <w:rFonts w:ascii="Verdana" w:hAnsi="Verdana"/>
                <w:b/>
                <w:color w:val="FFFFFF"/>
                <w:sz w:val="18"/>
                <w:szCs w:val="18"/>
              </w:rPr>
              <w:t>ETN</w:t>
            </w:r>
            <w:r w:rsidRPr="003B4F95">
              <w:rPr>
                <w:rFonts w:ascii="Verdana" w:hAnsi="Verdana"/>
                <w:b/>
                <w:color w:val="FFFFFF"/>
                <w:sz w:val="18"/>
                <w:szCs w:val="18"/>
              </w:rPr>
              <w:t>s</w:t>
            </w:r>
          </w:p>
        </w:tc>
        <w:tc>
          <w:tcPr>
            <w:tcW w:w="1417" w:type="dxa"/>
            <w:shd w:val="clear" w:color="auto" w:fill="4C4C4C"/>
            <w:vAlign w:val="center"/>
          </w:tcPr>
          <w:p w14:paraId="740D16DC" w14:textId="77777777" w:rsidR="00B228FA" w:rsidRPr="003B4F95" w:rsidRDefault="00B228FA" w:rsidP="00A94957">
            <w:pPr>
              <w:spacing w:before="60" w:after="60" w:line="280" w:lineRule="atLeast"/>
              <w:jc w:val="right"/>
              <w:rPr>
                <w:rFonts w:ascii="Verdana" w:hAnsi="Verdana"/>
                <w:b/>
                <w:color w:val="FFFFFF"/>
                <w:sz w:val="18"/>
                <w:szCs w:val="18"/>
              </w:rPr>
            </w:pPr>
            <w:r w:rsidRPr="003B4F95">
              <w:rPr>
                <w:rFonts w:ascii="Verdana" w:hAnsi="Verdana"/>
                <w:b/>
                <w:color w:val="FFFFFF"/>
                <w:sz w:val="18"/>
                <w:szCs w:val="18"/>
              </w:rPr>
              <w:t>ETFs</w:t>
            </w:r>
          </w:p>
        </w:tc>
        <w:tc>
          <w:tcPr>
            <w:tcW w:w="1418" w:type="dxa"/>
            <w:shd w:val="clear" w:color="auto" w:fill="4C4C4C"/>
            <w:vAlign w:val="center"/>
          </w:tcPr>
          <w:p w14:paraId="3532EF75" w14:textId="77777777" w:rsidR="00B228FA" w:rsidRPr="003B4F95" w:rsidRDefault="00B228FA" w:rsidP="00A94957">
            <w:pPr>
              <w:spacing w:before="60" w:after="60" w:line="280" w:lineRule="atLeast"/>
              <w:jc w:val="right"/>
              <w:rPr>
                <w:rFonts w:ascii="Verdana" w:hAnsi="Verdana"/>
                <w:b/>
                <w:color w:val="FFFFFF"/>
                <w:sz w:val="18"/>
                <w:szCs w:val="18"/>
              </w:rPr>
            </w:pPr>
            <w:r w:rsidRPr="003B4F95">
              <w:rPr>
                <w:rFonts w:ascii="Verdana" w:hAnsi="Verdana"/>
                <w:b/>
                <w:color w:val="FFFFFF"/>
                <w:sz w:val="18"/>
                <w:szCs w:val="18"/>
              </w:rPr>
              <w:t>ETNs</w:t>
            </w:r>
          </w:p>
        </w:tc>
        <w:tc>
          <w:tcPr>
            <w:tcW w:w="1843" w:type="dxa"/>
            <w:vMerge/>
            <w:shd w:val="clear" w:color="auto" w:fill="4C4C4C"/>
            <w:vAlign w:val="center"/>
          </w:tcPr>
          <w:p w14:paraId="7E1926F4" w14:textId="77777777" w:rsidR="00B228FA" w:rsidRPr="003B4F95" w:rsidRDefault="00B228FA" w:rsidP="00A97831">
            <w:pPr>
              <w:spacing w:before="60" w:after="60" w:line="300" w:lineRule="atLeast"/>
              <w:jc w:val="right"/>
              <w:rPr>
                <w:rFonts w:ascii="Verdana" w:hAnsi="Verdana"/>
                <w:b/>
                <w:color w:val="FFFFFF"/>
                <w:sz w:val="18"/>
                <w:szCs w:val="18"/>
              </w:rPr>
            </w:pPr>
          </w:p>
        </w:tc>
      </w:tr>
      <w:tr w:rsidR="00B228FA" w:rsidRPr="00AB6CBE" w14:paraId="3C6E091B" w14:textId="77777777" w:rsidTr="00F41953">
        <w:tc>
          <w:tcPr>
            <w:tcW w:w="567" w:type="dxa"/>
            <w:shd w:val="clear" w:color="auto" w:fill="auto"/>
          </w:tcPr>
          <w:p w14:paraId="43D9FC1C" w14:textId="77777777" w:rsidR="00B228FA" w:rsidRPr="003B4F95" w:rsidRDefault="00B228FA" w:rsidP="00792524">
            <w:pPr>
              <w:spacing w:before="80" w:after="80" w:line="320" w:lineRule="atLeast"/>
              <w:rPr>
                <w:rFonts w:ascii="Verdana" w:hAnsi="Verdana"/>
                <w:color w:val="000000"/>
                <w:sz w:val="18"/>
                <w:szCs w:val="18"/>
              </w:rPr>
            </w:pPr>
            <w:r w:rsidRPr="003B4F95">
              <w:rPr>
                <w:rFonts w:ascii="Verdana" w:hAnsi="Verdana"/>
                <w:color w:val="000000"/>
                <w:sz w:val="18"/>
                <w:szCs w:val="18"/>
              </w:rPr>
              <w:t>1.</w:t>
            </w:r>
          </w:p>
        </w:tc>
        <w:tc>
          <w:tcPr>
            <w:tcW w:w="1984" w:type="dxa"/>
            <w:gridSpan w:val="2"/>
            <w:shd w:val="clear" w:color="auto" w:fill="auto"/>
          </w:tcPr>
          <w:p w14:paraId="1CA99F22" w14:textId="3E30031B" w:rsidR="00B228FA" w:rsidRPr="003B4F95" w:rsidRDefault="00B228FA" w:rsidP="00792524">
            <w:pPr>
              <w:spacing w:before="80" w:after="80" w:line="320" w:lineRule="atLeast"/>
              <w:rPr>
                <w:rFonts w:ascii="Verdana" w:hAnsi="Verdana"/>
                <w:color w:val="000000"/>
                <w:sz w:val="18"/>
                <w:szCs w:val="18"/>
              </w:rPr>
            </w:pPr>
            <w:r w:rsidRPr="003B4F95">
              <w:rPr>
                <w:rFonts w:ascii="Verdana" w:hAnsi="Verdana"/>
                <w:color w:val="000000"/>
                <w:sz w:val="18"/>
                <w:szCs w:val="18"/>
              </w:rPr>
              <w:t xml:space="preserve">Absa </w:t>
            </w:r>
            <w:r w:rsidR="000C2A04">
              <w:rPr>
                <w:rFonts w:ascii="Verdana" w:hAnsi="Verdana"/>
                <w:color w:val="000000"/>
                <w:sz w:val="18"/>
                <w:szCs w:val="18"/>
              </w:rPr>
              <w:t>Capital</w:t>
            </w:r>
          </w:p>
        </w:tc>
        <w:tc>
          <w:tcPr>
            <w:tcW w:w="993" w:type="dxa"/>
            <w:shd w:val="clear" w:color="auto" w:fill="auto"/>
            <w:vAlign w:val="center"/>
          </w:tcPr>
          <w:p w14:paraId="324A907A" w14:textId="314D23AD" w:rsidR="00B228FA" w:rsidRPr="003B4F95" w:rsidRDefault="00F41953" w:rsidP="00F41953">
            <w:pPr>
              <w:spacing w:before="80" w:after="80" w:line="320" w:lineRule="atLeast"/>
              <w:jc w:val="center"/>
              <w:rPr>
                <w:rFonts w:ascii="Verdana" w:hAnsi="Verdana"/>
                <w:color w:val="000000"/>
                <w:sz w:val="18"/>
                <w:szCs w:val="18"/>
              </w:rPr>
            </w:pPr>
            <w:r>
              <w:rPr>
                <w:rFonts w:ascii="Verdana" w:hAnsi="Verdana"/>
                <w:color w:val="000000"/>
                <w:sz w:val="18"/>
                <w:szCs w:val="18"/>
              </w:rPr>
              <w:t>18</w:t>
            </w:r>
          </w:p>
        </w:tc>
        <w:tc>
          <w:tcPr>
            <w:tcW w:w="992" w:type="dxa"/>
            <w:shd w:val="clear" w:color="auto" w:fill="auto"/>
            <w:vAlign w:val="center"/>
          </w:tcPr>
          <w:p w14:paraId="719569D7" w14:textId="1A65C208" w:rsidR="00B228FA" w:rsidRPr="003B4F95" w:rsidRDefault="00F41953" w:rsidP="00F41953">
            <w:pPr>
              <w:spacing w:before="80" w:after="80" w:line="320" w:lineRule="atLeast"/>
              <w:jc w:val="center"/>
              <w:rPr>
                <w:rFonts w:ascii="Verdana" w:hAnsi="Verdana"/>
                <w:color w:val="000000"/>
                <w:sz w:val="18"/>
                <w:szCs w:val="18"/>
              </w:rPr>
            </w:pPr>
            <w:r>
              <w:rPr>
                <w:rFonts w:ascii="Verdana" w:hAnsi="Verdana"/>
                <w:color w:val="000000"/>
                <w:sz w:val="18"/>
                <w:szCs w:val="18"/>
              </w:rPr>
              <w:t>5</w:t>
            </w:r>
          </w:p>
        </w:tc>
        <w:tc>
          <w:tcPr>
            <w:tcW w:w="1417" w:type="dxa"/>
            <w:vAlign w:val="center"/>
          </w:tcPr>
          <w:p w14:paraId="0C0A4EED" w14:textId="79086BA6" w:rsidR="00B228FA" w:rsidRPr="003B4F95" w:rsidRDefault="00AC5FC2" w:rsidP="00792524">
            <w:pPr>
              <w:spacing w:before="80" w:after="80" w:line="320" w:lineRule="atLeast"/>
              <w:jc w:val="right"/>
              <w:rPr>
                <w:rFonts w:ascii="Verdana" w:hAnsi="Verdana"/>
                <w:color w:val="000000"/>
                <w:sz w:val="18"/>
                <w:szCs w:val="18"/>
              </w:rPr>
            </w:pPr>
            <w:r>
              <w:rPr>
                <w:rFonts w:ascii="Verdana" w:hAnsi="Verdana"/>
                <w:color w:val="000000"/>
                <w:sz w:val="18"/>
                <w:szCs w:val="18"/>
              </w:rPr>
              <w:t>21 091,1</w:t>
            </w:r>
          </w:p>
        </w:tc>
        <w:tc>
          <w:tcPr>
            <w:tcW w:w="1418" w:type="dxa"/>
            <w:vAlign w:val="center"/>
          </w:tcPr>
          <w:p w14:paraId="02828A48" w14:textId="6A2343F6" w:rsidR="00B228FA" w:rsidRPr="003B4F95" w:rsidRDefault="00AC5FC2" w:rsidP="00792524">
            <w:pPr>
              <w:spacing w:before="80" w:after="80" w:line="320" w:lineRule="atLeast"/>
              <w:jc w:val="right"/>
              <w:rPr>
                <w:rFonts w:ascii="Verdana" w:hAnsi="Verdana"/>
                <w:color w:val="000000"/>
                <w:sz w:val="18"/>
                <w:szCs w:val="18"/>
              </w:rPr>
            </w:pPr>
            <w:r>
              <w:rPr>
                <w:rFonts w:ascii="Verdana" w:hAnsi="Verdana"/>
                <w:color w:val="000000"/>
                <w:sz w:val="18"/>
                <w:szCs w:val="18"/>
              </w:rPr>
              <w:t>560,2</w:t>
            </w:r>
          </w:p>
        </w:tc>
        <w:tc>
          <w:tcPr>
            <w:tcW w:w="1843" w:type="dxa"/>
            <w:vAlign w:val="center"/>
          </w:tcPr>
          <w:p w14:paraId="64FF97C3" w14:textId="71196258" w:rsidR="00B228FA" w:rsidRPr="003B4F95" w:rsidRDefault="00AC5FC2" w:rsidP="00792524">
            <w:pPr>
              <w:spacing w:before="80" w:after="80" w:line="320" w:lineRule="atLeast"/>
              <w:jc w:val="right"/>
              <w:rPr>
                <w:rFonts w:ascii="Verdana" w:hAnsi="Verdana"/>
                <w:color w:val="000000"/>
                <w:sz w:val="18"/>
                <w:szCs w:val="18"/>
              </w:rPr>
            </w:pPr>
            <w:r>
              <w:rPr>
                <w:rFonts w:ascii="Verdana" w:hAnsi="Verdana"/>
                <w:color w:val="000000"/>
                <w:sz w:val="18"/>
                <w:szCs w:val="18"/>
              </w:rPr>
              <w:t>21 651,3</w:t>
            </w:r>
          </w:p>
        </w:tc>
      </w:tr>
      <w:tr w:rsidR="001A6952" w:rsidRPr="00AB6CBE" w14:paraId="07FDD855" w14:textId="77777777" w:rsidTr="00F41953">
        <w:tc>
          <w:tcPr>
            <w:tcW w:w="567" w:type="dxa"/>
            <w:shd w:val="clear" w:color="auto" w:fill="auto"/>
          </w:tcPr>
          <w:p w14:paraId="65CEA719" w14:textId="16855E92" w:rsidR="001A6952" w:rsidRPr="003B4F95" w:rsidRDefault="001A6952" w:rsidP="00792524">
            <w:pPr>
              <w:spacing w:before="80" w:after="80" w:line="320" w:lineRule="atLeast"/>
              <w:rPr>
                <w:rFonts w:ascii="Verdana" w:hAnsi="Verdana"/>
                <w:color w:val="000000"/>
                <w:sz w:val="18"/>
                <w:szCs w:val="18"/>
              </w:rPr>
            </w:pPr>
            <w:r>
              <w:rPr>
                <w:rFonts w:ascii="Verdana" w:hAnsi="Verdana"/>
                <w:color w:val="000000"/>
                <w:sz w:val="18"/>
                <w:szCs w:val="18"/>
              </w:rPr>
              <w:t>2</w:t>
            </w:r>
            <w:r w:rsidRPr="003B4F95">
              <w:rPr>
                <w:rFonts w:ascii="Verdana" w:hAnsi="Verdana"/>
                <w:color w:val="000000"/>
                <w:sz w:val="18"/>
                <w:szCs w:val="18"/>
              </w:rPr>
              <w:t>.</w:t>
            </w:r>
          </w:p>
        </w:tc>
        <w:tc>
          <w:tcPr>
            <w:tcW w:w="1984" w:type="dxa"/>
            <w:gridSpan w:val="2"/>
            <w:shd w:val="clear" w:color="auto" w:fill="auto"/>
          </w:tcPr>
          <w:p w14:paraId="43ED603E" w14:textId="31DB1B8F" w:rsidR="001A6952" w:rsidRPr="003B4F95" w:rsidRDefault="001A6952" w:rsidP="00792524">
            <w:pPr>
              <w:spacing w:before="80" w:after="80" w:line="320" w:lineRule="atLeast"/>
              <w:rPr>
                <w:rFonts w:ascii="Verdana" w:hAnsi="Verdana"/>
                <w:color w:val="000000"/>
                <w:sz w:val="18"/>
                <w:szCs w:val="18"/>
              </w:rPr>
            </w:pPr>
            <w:r>
              <w:rPr>
                <w:rFonts w:ascii="Verdana" w:hAnsi="Verdana"/>
                <w:color w:val="000000"/>
                <w:sz w:val="18"/>
                <w:szCs w:val="18"/>
              </w:rPr>
              <w:t>Sygnia/Itrix</w:t>
            </w:r>
          </w:p>
        </w:tc>
        <w:tc>
          <w:tcPr>
            <w:tcW w:w="993" w:type="dxa"/>
            <w:shd w:val="clear" w:color="auto" w:fill="auto"/>
            <w:vAlign w:val="center"/>
          </w:tcPr>
          <w:p w14:paraId="04921586" w14:textId="48B7BC98" w:rsidR="001A6952" w:rsidRPr="003B4F95" w:rsidRDefault="00F41953" w:rsidP="00F41953">
            <w:pPr>
              <w:spacing w:before="80" w:after="80" w:line="320" w:lineRule="atLeast"/>
              <w:jc w:val="center"/>
              <w:rPr>
                <w:rFonts w:ascii="Verdana" w:hAnsi="Verdana"/>
                <w:color w:val="000000"/>
                <w:sz w:val="18"/>
                <w:szCs w:val="18"/>
              </w:rPr>
            </w:pPr>
            <w:r>
              <w:rPr>
                <w:rFonts w:ascii="Verdana" w:hAnsi="Verdana"/>
                <w:color w:val="000000"/>
                <w:sz w:val="18"/>
                <w:szCs w:val="18"/>
              </w:rPr>
              <w:t>10</w:t>
            </w:r>
          </w:p>
        </w:tc>
        <w:tc>
          <w:tcPr>
            <w:tcW w:w="992" w:type="dxa"/>
            <w:shd w:val="clear" w:color="auto" w:fill="auto"/>
            <w:vAlign w:val="center"/>
          </w:tcPr>
          <w:p w14:paraId="735077D7" w14:textId="4CD173A3" w:rsidR="001A6952" w:rsidRPr="003B4F95" w:rsidRDefault="00F41953" w:rsidP="00F41953">
            <w:pPr>
              <w:spacing w:before="80" w:after="80" w:line="32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71125BDA" w14:textId="787103D8" w:rsidR="001A6952" w:rsidRPr="003B4F95" w:rsidRDefault="00AC5FC2" w:rsidP="00792524">
            <w:pPr>
              <w:spacing w:before="80" w:after="80" w:line="320" w:lineRule="atLeast"/>
              <w:jc w:val="right"/>
              <w:rPr>
                <w:rFonts w:ascii="Verdana" w:hAnsi="Verdana"/>
                <w:color w:val="000000"/>
                <w:sz w:val="18"/>
                <w:szCs w:val="18"/>
              </w:rPr>
            </w:pPr>
            <w:r>
              <w:rPr>
                <w:rFonts w:ascii="Verdana" w:hAnsi="Verdana"/>
                <w:color w:val="000000"/>
                <w:sz w:val="18"/>
                <w:szCs w:val="18"/>
              </w:rPr>
              <w:t>17 449,7</w:t>
            </w:r>
          </w:p>
        </w:tc>
        <w:tc>
          <w:tcPr>
            <w:tcW w:w="1418" w:type="dxa"/>
            <w:vAlign w:val="center"/>
          </w:tcPr>
          <w:p w14:paraId="685AB7FF" w14:textId="65F32C7A" w:rsidR="001A6952" w:rsidRPr="003B4F95" w:rsidRDefault="00AC5FC2" w:rsidP="00792524">
            <w:pPr>
              <w:spacing w:before="80" w:after="80" w:line="32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7B51B0F0" w14:textId="60781B3B" w:rsidR="001A6952" w:rsidRPr="003B4F95" w:rsidRDefault="00AC5FC2" w:rsidP="00792524">
            <w:pPr>
              <w:spacing w:before="80" w:after="80" w:line="320" w:lineRule="atLeast"/>
              <w:jc w:val="right"/>
              <w:rPr>
                <w:rFonts w:ascii="Verdana" w:hAnsi="Verdana"/>
                <w:color w:val="000000"/>
                <w:sz w:val="18"/>
                <w:szCs w:val="18"/>
              </w:rPr>
            </w:pPr>
            <w:r>
              <w:rPr>
                <w:rFonts w:ascii="Verdana" w:hAnsi="Verdana"/>
                <w:color w:val="000000"/>
                <w:sz w:val="18"/>
                <w:szCs w:val="18"/>
              </w:rPr>
              <w:t>17 449,7</w:t>
            </w:r>
          </w:p>
        </w:tc>
      </w:tr>
      <w:tr w:rsidR="001A6952" w:rsidRPr="00AB6CBE" w14:paraId="2A196225" w14:textId="77777777" w:rsidTr="00F41953">
        <w:tc>
          <w:tcPr>
            <w:tcW w:w="567" w:type="dxa"/>
            <w:shd w:val="clear" w:color="auto" w:fill="auto"/>
          </w:tcPr>
          <w:p w14:paraId="6460258D" w14:textId="6279EC75" w:rsidR="001A6952" w:rsidRPr="003B4F95" w:rsidRDefault="001A6952" w:rsidP="00792524">
            <w:pPr>
              <w:spacing w:before="80" w:after="80" w:line="320" w:lineRule="atLeast"/>
              <w:rPr>
                <w:rFonts w:ascii="Verdana" w:hAnsi="Verdana"/>
                <w:color w:val="000000"/>
                <w:sz w:val="18"/>
                <w:szCs w:val="18"/>
              </w:rPr>
            </w:pPr>
            <w:r>
              <w:rPr>
                <w:rFonts w:ascii="Verdana" w:hAnsi="Verdana"/>
                <w:color w:val="000000"/>
                <w:sz w:val="18"/>
                <w:szCs w:val="18"/>
              </w:rPr>
              <w:t>3</w:t>
            </w:r>
            <w:r w:rsidRPr="003B4F95">
              <w:rPr>
                <w:rFonts w:ascii="Verdana" w:hAnsi="Verdana"/>
                <w:color w:val="000000"/>
                <w:sz w:val="18"/>
                <w:szCs w:val="18"/>
              </w:rPr>
              <w:t>.</w:t>
            </w:r>
          </w:p>
        </w:tc>
        <w:tc>
          <w:tcPr>
            <w:tcW w:w="1984" w:type="dxa"/>
            <w:gridSpan w:val="2"/>
            <w:shd w:val="clear" w:color="auto" w:fill="auto"/>
          </w:tcPr>
          <w:p w14:paraId="578D7CC5" w14:textId="4F5059DE" w:rsidR="001A6952" w:rsidRPr="003B4F95" w:rsidRDefault="001A6952" w:rsidP="00792524">
            <w:pPr>
              <w:spacing w:before="80" w:after="80" w:line="320" w:lineRule="atLeast"/>
              <w:rPr>
                <w:rFonts w:ascii="Verdana" w:hAnsi="Verdana"/>
                <w:color w:val="000000"/>
                <w:sz w:val="18"/>
                <w:szCs w:val="18"/>
              </w:rPr>
            </w:pPr>
            <w:r w:rsidRPr="003B4F95">
              <w:rPr>
                <w:rFonts w:ascii="Verdana" w:hAnsi="Verdana"/>
                <w:color w:val="000000"/>
                <w:sz w:val="18"/>
                <w:szCs w:val="18"/>
              </w:rPr>
              <w:t>Satrix Managers</w:t>
            </w:r>
          </w:p>
        </w:tc>
        <w:tc>
          <w:tcPr>
            <w:tcW w:w="993" w:type="dxa"/>
            <w:shd w:val="clear" w:color="auto" w:fill="auto"/>
            <w:vAlign w:val="center"/>
          </w:tcPr>
          <w:p w14:paraId="69F876A4" w14:textId="41DB76CC" w:rsidR="001A6952" w:rsidRPr="003B4F95" w:rsidRDefault="00F41953" w:rsidP="00F41953">
            <w:pPr>
              <w:spacing w:before="80" w:after="80" w:line="320" w:lineRule="atLeast"/>
              <w:jc w:val="center"/>
              <w:rPr>
                <w:rFonts w:ascii="Verdana" w:hAnsi="Verdana"/>
                <w:color w:val="000000"/>
                <w:sz w:val="18"/>
                <w:szCs w:val="18"/>
              </w:rPr>
            </w:pPr>
            <w:r>
              <w:rPr>
                <w:rFonts w:ascii="Verdana" w:hAnsi="Verdana"/>
                <w:color w:val="000000"/>
                <w:sz w:val="18"/>
                <w:szCs w:val="18"/>
              </w:rPr>
              <w:t>15</w:t>
            </w:r>
          </w:p>
        </w:tc>
        <w:tc>
          <w:tcPr>
            <w:tcW w:w="992" w:type="dxa"/>
            <w:shd w:val="clear" w:color="auto" w:fill="auto"/>
            <w:vAlign w:val="center"/>
          </w:tcPr>
          <w:p w14:paraId="7BEC730D" w14:textId="1A4E200A" w:rsidR="001A6952" w:rsidRPr="003B4F95" w:rsidRDefault="00F41953" w:rsidP="00F41953">
            <w:pPr>
              <w:spacing w:before="80" w:after="80" w:line="32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3906B521" w14:textId="64D4CC7E" w:rsidR="001A6952" w:rsidRPr="003B4F95" w:rsidRDefault="00AC5FC2" w:rsidP="00792524">
            <w:pPr>
              <w:spacing w:before="80" w:after="80" w:line="320" w:lineRule="atLeast"/>
              <w:jc w:val="right"/>
              <w:rPr>
                <w:rFonts w:ascii="Verdana" w:hAnsi="Verdana"/>
                <w:color w:val="000000"/>
                <w:sz w:val="18"/>
                <w:szCs w:val="18"/>
              </w:rPr>
            </w:pPr>
            <w:r>
              <w:rPr>
                <w:rFonts w:ascii="Verdana" w:hAnsi="Verdana"/>
                <w:color w:val="000000"/>
                <w:sz w:val="18"/>
                <w:szCs w:val="18"/>
              </w:rPr>
              <w:t>15 499,1</w:t>
            </w:r>
          </w:p>
        </w:tc>
        <w:tc>
          <w:tcPr>
            <w:tcW w:w="1418" w:type="dxa"/>
            <w:vAlign w:val="center"/>
          </w:tcPr>
          <w:p w14:paraId="515F931F" w14:textId="3CFE24AE" w:rsidR="001A6952" w:rsidRPr="003B4F95" w:rsidRDefault="00AC5FC2" w:rsidP="00792524">
            <w:pPr>
              <w:spacing w:before="80" w:after="80" w:line="32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5A9BE7D3" w14:textId="50FC09E5" w:rsidR="001A6952" w:rsidRPr="003B4F95" w:rsidRDefault="00AC5FC2" w:rsidP="00792524">
            <w:pPr>
              <w:spacing w:before="80" w:after="80" w:line="320" w:lineRule="atLeast"/>
              <w:jc w:val="right"/>
              <w:rPr>
                <w:rFonts w:ascii="Verdana" w:hAnsi="Verdana"/>
                <w:color w:val="000000"/>
                <w:sz w:val="18"/>
                <w:szCs w:val="18"/>
              </w:rPr>
            </w:pPr>
            <w:r>
              <w:rPr>
                <w:rFonts w:ascii="Verdana" w:hAnsi="Verdana"/>
                <w:color w:val="000000"/>
                <w:sz w:val="18"/>
                <w:szCs w:val="18"/>
              </w:rPr>
              <w:t>15 499,1</w:t>
            </w:r>
          </w:p>
        </w:tc>
      </w:tr>
      <w:tr w:rsidR="001A6952" w:rsidRPr="000435BE" w14:paraId="48986393" w14:textId="77777777" w:rsidTr="00F41953">
        <w:tc>
          <w:tcPr>
            <w:tcW w:w="567" w:type="dxa"/>
            <w:shd w:val="clear" w:color="auto" w:fill="auto"/>
          </w:tcPr>
          <w:p w14:paraId="407ED0F0" w14:textId="77777777" w:rsidR="001A6952" w:rsidRPr="003B4F95" w:rsidRDefault="001A6952" w:rsidP="00792524">
            <w:pPr>
              <w:spacing w:before="80" w:after="80" w:line="320" w:lineRule="atLeast"/>
              <w:rPr>
                <w:rFonts w:ascii="Verdana" w:hAnsi="Verdana"/>
                <w:color w:val="000000"/>
                <w:sz w:val="18"/>
                <w:szCs w:val="18"/>
              </w:rPr>
            </w:pPr>
            <w:r w:rsidRPr="003B4F95">
              <w:rPr>
                <w:rFonts w:ascii="Verdana" w:hAnsi="Verdana"/>
                <w:color w:val="000000"/>
                <w:sz w:val="18"/>
                <w:szCs w:val="18"/>
              </w:rPr>
              <w:t>4.</w:t>
            </w:r>
          </w:p>
        </w:tc>
        <w:tc>
          <w:tcPr>
            <w:tcW w:w="1984" w:type="dxa"/>
            <w:gridSpan w:val="2"/>
            <w:shd w:val="clear" w:color="auto" w:fill="auto"/>
          </w:tcPr>
          <w:p w14:paraId="5C226DEA" w14:textId="77777777" w:rsidR="001A6952" w:rsidRPr="003B4F95" w:rsidRDefault="001A6952" w:rsidP="00792524">
            <w:pPr>
              <w:spacing w:before="80" w:after="80" w:line="320" w:lineRule="atLeast"/>
              <w:rPr>
                <w:rFonts w:ascii="Verdana" w:hAnsi="Verdana"/>
                <w:color w:val="000000"/>
                <w:sz w:val="18"/>
                <w:szCs w:val="18"/>
              </w:rPr>
            </w:pPr>
            <w:r w:rsidRPr="003B4F95">
              <w:rPr>
                <w:rFonts w:ascii="Verdana" w:hAnsi="Verdana"/>
                <w:color w:val="000000"/>
                <w:sz w:val="18"/>
                <w:szCs w:val="18"/>
              </w:rPr>
              <w:t>Standard Bank</w:t>
            </w:r>
          </w:p>
        </w:tc>
        <w:tc>
          <w:tcPr>
            <w:tcW w:w="993" w:type="dxa"/>
            <w:shd w:val="clear" w:color="auto" w:fill="auto"/>
            <w:vAlign w:val="center"/>
          </w:tcPr>
          <w:p w14:paraId="2FDF84F9" w14:textId="70B60E90" w:rsidR="001A6952" w:rsidRPr="003B4F95" w:rsidRDefault="00AC5FC2" w:rsidP="00F41953">
            <w:pPr>
              <w:spacing w:before="80" w:after="80" w:line="320" w:lineRule="atLeast"/>
              <w:jc w:val="center"/>
              <w:rPr>
                <w:rFonts w:ascii="Verdana" w:hAnsi="Verdana"/>
                <w:color w:val="000000"/>
                <w:sz w:val="18"/>
                <w:szCs w:val="18"/>
              </w:rPr>
            </w:pPr>
            <w:r>
              <w:rPr>
                <w:rFonts w:ascii="Verdana" w:hAnsi="Verdana"/>
                <w:color w:val="000000"/>
                <w:sz w:val="18"/>
                <w:szCs w:val="18"/>
              </w:rPr>
              <w:t>4</w:t>
            </w:r>
          </w:p>
        </w:tc>
        <w:tc>
          <w:tcPr>
            <w:tcW w:w="992" w:type="dxa"/>
            <w:shd w:val="clear" w:color="auto" w:fill="auto"/>
            <w:vAlign w:val="center"/>
          </w:tcPr>
          <w:p w14:paraId="2CFD0B91" w14:textId="34B0C761" w:rsidR="001A6952" w:rsidRPr="003B4F95" w:rsidRDefault="00AC5FC2" w:rsidP="00F41953">
            <w:pPr>
              <w:spacing w:before="80" w:after="80" w:line="320" w:lineRule="atLeast"/>
              <w:jc w:val="center"/>
              <w:rPr>
                <w:rFonts w:ascii="Verdana" w:hAnsi="Verdana"/>
                <w:color w:val="000000"/>
                <w:sz w:val="18"/>
                <w:szCs w:val="18"/>
              </w:rPr>
            </w:pPr>
            <w:r>
              <w:rPr>
                <w:rFonts w:ascii="Verdana" w:hAnsi="Verdana"/>
                <w:color w:val="000000"/>
                <w:sz w:val="18"/>
                <w:szCs w:val="18"/>
              </w:rPr>
              <w:t>10</w:t>
            </w:r>
          </w:p>
        </w:tc>
        <w:tc>
          <w:tcPr>
            <w:tcW w:w="1417" w:type="dxa"/>
            <w:vAlign w:val="center"/>
          </w:tcPr>
          <w:p w14:paraId="02B17B9E" w14:textId="6B36952C" w:rsidR="001A6952" w:rsidRPr="003B4F95" w:rsidRDefault="00AC5FC2" w:rsidP="00792524">
            <w:pPr>
              <w:spacing w:before="80" w:after="80" w:line="320" w:lineRule="atLeast"/>
              <w:jc w:val="right"/>
              <w:rPr>
                <w:rFonts w:ascii="Verdana" w:hAnsi="Verdana"/>
                <w:color w:val="000000"/>
                <w:sz w:val="18"/>
                <w:szCs w:val="18"/>
              </w:rPr>
            </w:pPr>
            <w:r>
              <w:rPr>
                <w:rFonts w:ascii="Verdana" w:hAnsi="Verdana"/>
                <w:color w:val="000000"/>
                <w:sz w:val="18"/>
                <w:szCs w:val="18"/>
              </w:rPr>
              <w:t>4 507,1</w:t>
            </w:r>
          </w:p>
        </w:tc>
        <w:tc>
          <w:tcPr>
            <w:tcW w:w="1418" w:type="dxa"/>
            <w:vAlign w:val="center"/>
          </w:tcPr>
          <w:p w14:paraId="6DE009E1" w14:textId="7D1F6692" w:rsidR="001A6952" w:rsidRPr="003B4F95" w:rsidRDefault="00AC5FC2" w:rsidP="00792524">
            <w:pPr>
              <w:spacing w:before="80" w:after="80" w:line="320" w:lineRule="atLeast"/>
              <w:jc w:val="right"/>
              <w:rPr>
                <w:rFonts w:ascii="Verdana" w:hAnsi="Verdana"/>
                <w:color w:val="000000"/>
                <w:sz w:val="18"/>
                <w:szCs w:val="18"/>
              </w:rPr>
            </w:pPr>
            <w:r>
              <w:rPr>
                <w:rFonts w:ascii="Verdana" w:hAnsi="Verdana"/>
                <w:color w:val="000000"/>
                <w:sz w:val="18"/>
                <w:szCs w:val="18"/>
              </w:rPr>
              <w:t>1 578,5</w:t>
            </w:r>
          </w:p>
        </w:tc>
        <w:tc>
          <w:tcPr>
            <w:tcW w:w="1843" w:type="dxa"/>
            <w:vAlign w:val="center"/>
          </w:tcPr>
          <w:p w14:paraId="46E7E065" w14:textId="7384B8BE" w:rsidR="001A6952" w:rsidRPr="003B4F95" w:rsidRDefault="00AC5FC2" w:rsidP="00792524">
            <w:pPr>
              <w:spacing w:before="80" w:after="80" w:line="320" w:lineRule="atLeast"/>
              <w:jc w:val="right"/>
              <w:rPr>
                <w:rFonts w:ascii="Verdana" w:hAnsi="Verdana"/>
                <w:color w:val="000000"/>
                <w:sz w:val="18"/>
                <w:szCs w:val="18"/>
              </w:rPr>
            </w:pPr>
            <w:r>
              <w:rPr>
                <w:rFonts w:ascii="Verdana" w:hAnsi="Verdana"/>
                <w:color w:val="000000"/>
                <w:sz w:val="18"/>
                <w:szCs w:val="18"/>
              </w:rPr>
              <w:t>6 085,6</w:t>
            </w:r>
          </w:p>
        </w:tc>
      </w:tr>
      <w:tr w:rsidR="001A6952" w:rsidRPr="000435BE" w14:paraId="3C78B8DF" w14:textId="77777777" w:rsidTr="00F41953">
        <w:tc>
          <w:tcPr>
            <w:tcW w:w="567" w:type="dxa"/>
            <w:shd w:val="clear" w:color="auto" w:fill="auto"/>
          </w:tcPr>
          <w:p w14:paraId="1930D2ED" w14:textId="77777777" w:rsidR="001A6952" w:rsidRPr="003B4F95" w:rsidRDefault="001A6952" w:rsidP="00792524">
            <w:pPr>
              <w:spacing w:before="80" w:after="80" w:line="320" w:lineRule="atLeast"/>
              <w:rPr>
                <w:rFonts w:ascii="Verdana" w:hAnsi="Verdana"/>
                <w:color w:val="000000"/>
                <w:sz w:val="18"/>
                <w:szCs w:val="18"/>
              </w:rPr>
            </w:pPr>
            <w:r>
              <w:rPr>
                <w:rFonts w:ascii="Verdana" w:hAnsi="Verdana"/>
                <w:color w:val="000000"/>
                <w:sz w:val="18"/>
                <w:szCs w:val="18"/>
              </w:rPr>
              <w:t>5.</w:t>
            </w:r>
          </w:p>
        </w:tc>
        <w:tc>
          <w:tcPr>
            <w:tcW w:w="1984" w:type="dxa"/>
            <w:gridSpan w:val="2"/>
            <w:shd w:val="clear" w:color="auto" w:fill="auto"/>
          </w:tcPr>
          <w:p w14:paraId="01187D62" w14:textId="77777777" w:rsidR="001A6952" w:rsidRPr="003B4F95" w:rsidRDefault="001A6952" w:rsidP="00792524">
            <w:pPr>
              <w:spacing w:before="80" w:after="80" w:line="320" w:lineRule="atLeast"/>
              <w:rPr>
                <w:rFonts w:ascii="Verdana" w:hAnsi="Verdana"/>
                <w:color w:val="000000"/>
                <w:sz w:val="18"/>
                <w:szCs w:val="18"/>
              </w:rPr>
            </w:pPr>
            <w:r>
              <w:rPr>
                <w:rFonts w:ascii="Verdana" w:hAnsi="Verdana"/>
                <w:color w:val="000000"/>
                <w:sz w:val="18"/>
                <w:szCs w:val="18"/>
              </w:rPr>
              <w:t>Deutsche Bank</w:t>
            </w:r>
          </w:p>
        </w:tc>
        <w:tc>
          <w:tcPr>
            <w:tcW w:w="993" w:type="dxa"/>
            <w:shd w:val="clear" w:color="auto" w:fill="auto"/>
            <w:vAlign w:val="center"/>
          </w:tcPr>
          <w:p w14:paraId="238EBD52" w14:textId="6F20BC07" w:rsidR="001A6952" w:rsidRPr="003B4F95" w:rsidRDefault="00AC5FC2" w:rsidP="00F41953">
            <w:pPr>
              <w:spacing w:before="80" w:after="80" w:line="320" w:lineRule="atLeast"/>
              <w:jc w:val="center"/>
              <w:rPr>
                <w:rFonts w:ascii="Verdana" w:hAnsi="Verdana"/>
                <w:color w:val="000000"/>
                <w:sz w:val="18"/>
                <w:szCs w:val="18"/>
              </w:rPr>
            </w:pPr>
            <w:r>
              <w:rPr>
                <w:rFonts w:ascii="Verdana" w:hAnsi="Verdana"/>
                <w:color w:val="000000"/>
                <w:sz w:val="18"/>
                <w:szCs w:val="18"/>
              </w:rPr>
              <w:t>-</w:t>
            </w:r>
          </w:p>
        </w:tc>
        <w:tc>
          <w:tcPr>
            <w:tcW w:w="992" w:type="dxa"/>
            <w:shd w:val="clear" w:color="auto" w:fill="auto"/>
            <w:vAlign w:val="center"/>
          </w:tcPr>
          <w:p w14:paraId="3601A66B" w14:textId="7CDD9E6A" w:rsidR="001A6952" w:rsidRPr="003B4F95" w:rsidRDefault="00AC5FC2" w:rsidP="00F41953">
            <w:pPr>
              <w:spacing w:before="80" w:after="80" w:line="320" w:lineRule="atLeast"/>
              <w:jc w:val="center"/>
              <w:rPr>
                <w:rFonts w:ascii="Verdana" w:hAnsi="Verdana"/>
                <w:color w:val="000000"/>
                <w:sz w:val="18"/>
                <w:szCs w:val="18"/>
              </w:rPr>
            </w:pPr>
            <w:r>
              <w:rPr>
                <w:rFonts w:ascii="Verdana" w:hAnsi="Verdana"/>
                <w:color w:val="000000"/>
                <w:sz w:val="18"/>
                <w:szCs w:val="18"/>
              </w:rPr>
              <w:t>3</w:t>
            </w:r>
          </w:p>
        </w:tc>
        <w:tc>
          <w:tcPr>
            <w:tcW w:w="1417" w:type="dxa"/>
            <w:vAlign w:val="center"/>
          </w:tcPr>
          <w:p w14:paraId="785A1B9D" w14:textId="2805ADB9" w:rsidR="001A6952" w:rsidRPr="003B4F95" w:rsidRDefault="00AC5FC2" w:rsidP="00792524">
            <w:pPr>
              <w:spacing w:before="80" w:after="80" w:line="320" w:lineRule="atLeast"/>
              <w:jc w:val="right"/>
              <w:rPr>
                <w:rFonts w:ascii="Verdana" w:hAnsi="Verdana"/>
                <w:color w:val="000000"/>
                <w:sz w:val="18"/>
                <w:szCs w:val="18"/>
              </w:rPr>
            </w:pPr>
            <w:r>
              <w:rPr>
                <w:rFonts w:ascii="Verdana" w:hAnsi="Verdana"/>
                <w:color w:val="000000"/>
                <w:sz w:val="18"/>
                <w:szCs w:val="18"/>
              </w:rPr>
              <w:t>-</w:t>
            </w:r>
          </w:p>
        </w:tc>
        <w:tc>
          <w:tcPr>
            <w:tcW w:w="1418" w:type="dxa"/>
            <w:vAlign w:val="center"/>
          </w:tcPr>
          <w:p w14:paraId="33E25C28" w14:textId="6DF7DD16" w:rsidR="001A6952" w:rsidRPr="003B4F95" w:rsidRDefault="00AC5FC2" w:rsidP="00792524">
            <w:pPr>
              <w:spacing w:before="80" w:after="80" w:line="320" w:lineRule="atLeast"/>
              <w:jc w:val="right"/>
              <w:rPr>
                <w:rFonts w:ascii="Verdana" w:hAnsi="Verdana"/>
                <w:color w:val="000000"/>
                <w:sz w:val="18"/>
                <w:szCs w:val="18"/>
              </w:rPr>
            </w:pPr>
            <w:r>
              <w:rPr>
                <w:rFonts w:ascii="Verdana" w:hAnsi="Verdana"/>
                <w:color w:val="000000"/>
                <w:sz w:val="18"/>
                <w:szCs w:val="18"/>
              </w:rPr>
              <w:t>4 790,2</w:t>
            </w:r>
          </w:p>
        </w:tc>
        <w:tc>
          <w:tcPr>
            <w:tcW w:w="1843" w:type="dxa"/>
            <w:vAlign w:val="center"/>
          </w:tcPr>
          <w:p w14:paraId="0DF649C5" w14:textId="4EB633B2" w:rsidR="001A6952" w:rsidRPr="003B4F95" w:rsidRDefault="00AC5FC2" w:rsidP="00792524">
            <w:pPr>
              <w:spacing w:before="80" w:after="80" w:line="320" w:lineRule="atLeast"/>
              <w:jc w:val="right"/>
              <w:rPr>
                <w:rFonts w:ascii="Verdana" w:hAnsi="Verdana"/>
                <w:color w:val="000000"/>
                <w:sz w:val="18"/>
                <w:szCs w:val="18"/>
              </w:rPr>
            </w:pPr>
            <w:r>
              <w:rPr>
                <w:rFonts w:ascii="Verdana" w:hAnsi="Verdana"/>
                <w:color w:val="000000"/>
                <w:sz w:val="18"/>
                <w:szCs w:val="18"/>
              </w:rPr>
              <w:t>4 790,2</w:t>
            </w:r>
          </w:p>
        </w:tc>
      </w:tr>
      <w:tr w:rsidR="001A6952" w:rsidRPr="000435BE" w14:paraId="6C6403EC" w14:textId="77777777" w:rsidTr="00F41953">
        <w:tc>
          <w:tcPr>
            <w:tcW w:w="567" w:type="dxa"/>
            <w:shd w:val="clear" w:color="auto" w:fill="auto"/>
          </w:tcPr>
          <w:p w14:paraId="4E1A889C" w14:textId="10AE7653" w:rsidR="001A6952" w:rsidRDefault="001A6952" w:rsidP="00792524">
            <w:pPr>
              <w:spacing w:before="80" w:after="80" w:line="320" w:lineRule="atLeast"/>
              <w:rPr>
                <w:rFonts w:ascii="Verdana" w:hAnsi="Verdana"/>
                <w:color w:val="000000"/>
                <w:sz w:val="18"/>
                <w:szCs w:val="18"/>
              </w:rPr>
            </w:pPr>
            <w:r>
              <w:rPr>
                <w:rFonts w:ascii="Verdana" w:hAnsi="Verdana"/>
                <w:color w:val="000000"/>
                <w:sz w:val="18"/>
                <w:szCs w:val="18"/>
              </w:rPr>
              <w:t>6</w:t>
            </w:r>
            <w:r w:rsidRPr="003B4F95">
              <w:rPr>
                <w:rFonts w:ascii="Verdana" w:hAnsi="Verdana"/>
                <w:color w:val="000000"/>
                <w:sz w:val="18"/>
                <w:szCs w:val="18"/>
              </w:rPr>
              <w:t>.</w:t>
            </w:r>
          </w:p>
        </w:tc>
        <w:tc>
          <w:tcPr>
            <w:tcW w:w="1984" w:type="dxa"/>
            <w:gridSpan w:val="2"/>
            <w:shd w:val="clear" w:color="auto" w:fill="auto"/>
          </w:tcPr>
          <w:p w14:paraId="6AF7A19C" w14:textId="0FD5EBF7" w:rsidR="001A6952" w:rsidRPr="003B4F95" w:rsidRDefault="001A6952" w:rsidP="00792524">
            <w:pPr>
              <w:spacing w:before="80" w:after="80" w:line="320" w:lineRule="atLeast"/>
              <w:rPr>
                <w:rFonts w:ascii="Verdana" w:hAnsi="Verdana"/>
                <w:color w:val="000000"/>
                <w:sz w:val="18"/>
                <w:szCs w:val="18"/>
              </w:rPr>
            </w:pPr>
            <w:r w:rsidRPr="003B4F95">
              <w:rPr>
                <w:rFonts w:ascii="Verdana" w:hAnsi="Verdana"/>
                <w:color w:val="000000"/>
                <w:sz w:val="18"/>
                <w:szCs w:val="18"/>
              </w:rPr>
              <w:t>CoreShares</w:t>
            </w:r>
          </w:p>
        </w:tc>
        <w:tc>
          <w:tcPr>
            <w:tcW w:w="993" w:type="dxa"/>
            <w:shd w:val="clear" w:color="auto" w:fill="auto"/>
            <w:vAlign w:val="center"/>
          </w:tcPr>
          <w:p w14:paraId="38FFCED0" w14:textId="465CD30F" w:rsidR="001A6952" w:rsidRPr="003B4F95" w:rsidRDefault="00F41953" w:rsidP="00F41953">
            <w:pPr>
              <w:spacing w:before="80" w:after="80" w:line="320" w:lineRule="atLeast"/>
              <w:jc w:val="center"/>
              <w:rPr>
                <w:rFonts w:ascii="Verdana" w:hAnsi="Verdana"/>
                <w:color w:val="000000"/>
                <w:sz w:val="18"/>
                <w:szCs w:val="18"/>
              </w:rPr>
            </w:pPr>
            <w:r>
              <w:rPr>
                <w:rFonts w:ascii="Verdana" w:hAnsi="Verdana"/>
                <w:color w:val="000000"/>
                <w:sz w:val="18"/>
                <w:szCs w:val="18"/>
              </w:rPr>
              <w:t>11</w:t>
            </w:r>
          </w:p>
        </w:tc>
        <w:tc>
          <w:tcPr>
            <w:tcW w:w="992" w:type="dxa"/>
            <w:shd w:val="clear" w:color="auto" w:fill="auto"/>
            <w:vAlign w:val="center"/>
          </w:tcPr>
          <w:p w14:paraId="48ADE631" w14:textId="5D1341F7" w:rsidR="001A6952" w:rsidRPr="003B4F95" w:rsidRDefault="00AC5FC2" w:rsidP="00F41953">
            <w:pPr>
              <w:spacing w:before="80" w:after="80" w:line="32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5264BD77" w14:textId="3B8ECB5B" w:rsidR="001A6952" w:rsidRPr="003B4F95" w:rsidRDefault="00AC5FC2" w:rsidP="00792524">
            <w:pPr>
              <w:spacing w:before="80" w:after="80" w:line="320" w:lineRule="atLeast"/>
              <w:jc w:val="right"/>
              <w:rPr>
                <w:rFonts w:ascii="Verdana" w:hAnsi="Verdana"/>
                <w:color w:val="000000"/>
                <w:sz w:val="18"/>
                <w:szCs w:val="18"/>
              </w:rPr>
            </w:pPr>
            <w:r>
              <w:rPr>
                <w:rFonts w:ascii="Verdana" w:hAnsi="Verdana"/>
                <w:color w:val="000000"/>
                <w:sz w:val="18"/>
                <w:szCs w:val="18"/>
              </w:rPr>
              <w:t>3 393,6</w:t>
            </w:r>
          </w:p>
        </w:tc>
        <w:tc>
          <w:tcPr>
            <w:tcW w:w="1418" w:type="dxa"/>
            <w:vAlign w:val="center"/>
          </w:tcPr>
          <w:p w14:paraId="7DC56BFF" w14:textId="58E98B01" w:rsidR="001A6952" w:rsidRPr="003B4F95" w:rsidRDefault="00AC5FC2" w:rsidP="00792524">
            <w:pPr>
              <w:spacing w:before="80" w:after="80" w:line="32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19CD19D0" w14:textId="120F0D18" w:rsidR="001A6952" w:rsidRPr="003B4F95" w:rsidRDefault="00AC5FC2" w:rsidP="00792524">
            <w:pPr>
              <w:spacing w:before="80" w:after="80" w:line="320" w:lineRule="atLeast"/>
              <w:jc w:val="right"/>
              <w:rPr>
                <w:rFonts w:ascii="Verdana" w:hAnsi="Verdana"/>
                <w:color w:val="000000"/>
                <w:sz w:val="18"/>
                <w:szCs w:val="18"/>
              </w:rPr>
            </w:pPr>
            <w:r>
              <w:rPr>
                <w:rFonts w:ascii="Verdana" w:hAnsi="Verdana"/>
                <w:color w:val="000000"/>
                <w:sz w:val="18"/>
                <w:szCs w:val="18"/>
              </w:rPr>
              <w:t>3 393,6</w:t>
            </w:r>
          </w:p>
        </w:tc>
      </w:tr>
      <w:tr w:rsidR="00A94957" w:rsidRPr="000435BE" w14:paraId="24AAC8E9" w14:textId="77777777" w:rsidTr="00F41953">
        <w:tc>
          <w:tcPr>
            <w:tcW w:w="567" w:type="dxa"/>
            <w:shd w:val="clear" w:color="auto" w:fill="auto"/>
          </w:tcPr>
          <w:p w14:paraId="3ED33C91" w14:textId="341096D0" w:rsidR="00A94957" w:rsidRDefault="00A94957" w:rsidP="00792524">
            <w:pPr>
              <w:spacing w:before="80" w:after="80" w:line="320" w:lineRule="atLeast"/>
              <w:rPr>
                <w:rFonts w:ascii="Verdana" w:hAnsi="Verdana"/>
                <w:color w:val="000000"/>
                <w:sz w:val="18"/>
                <w:szCs w:val="18"/>
              </w:rPr>
            </w:pPr>
            <w:r>
              <w:rPr>
                <w:rFonts w:ascii="Verdana" w:hAnsi="Verdana"/>
                <w:color w:val="000000"/>
                <w:sz w:val="18"/>
                <w:szCs w:val="18"/>
              </w:rPr>
              <w:t>7.</w:t>
            </w:r>
          </w:p>
        </w:tc>
        <w:tc>
          <w:tcPr>
            <w:tcW w:w="1984" w:type="dxa"/>
            <w:gridSpan w:val="2"/>
            <w:shd w:val="clear" w:color="auto" w:fill="auto"/>
          </w:tcPr>
          <w:p w14:paraId="48C76A1B" w14:textId="2442317F" w:rsidR="00A94957" w:rsidRPr="003B4F95" w:rsidRDefault="00A94957" w:rsidP="00792524">
            <w:pPr>
              <w:spacing w:before="80" w:after="80" w:line="320" w:lineRule="atLeast"/>
              <w:rPr>
                <w:rFonts w:ascii="Verdana" w:hAnsi="Verdana"/>
                <w:color w:val="000000"/>
                <w:sz w:val="18"/>
                <w:szCs w:val="18"/>
              </w:rPr>
            </w:pPr>
            <w:r w:rsidRPr="003B4F95">
              <w:rPr>
                <w:rFonts w:ascii="Verdana" w:hAnsi="Verdana"/>
                <w:color w:val="000000"/>
                <w:sz w:val="18"/>
                <w:szCs w:val="18"/>
              </w:rPr>
              <w:t>Ashburton</w:t>
            </w:r>
          </w:p>
        </w:tc>
        <w:tc>
          <w:tcPr>
            <w:tcW w:w="993" w:type="dxa"/>
            <w:shd w:val="clear" w:color="auto" w:fill="auto"/>
            <w:vAlign w:val="center"/>
          </w:tcPr>
          <w:p w14:paraId="253E6913" w14:textId="7219CF92" w:rsidR="00A94957" w:rsidRDefault="00F41953" w:rsidP="00F41953">
            <w:pPr>
              <w:spacing w:before="80" w:after="80" w:line="320" w:lineRule="atLeast"/>
              <w:jc w:val="center"/>
              <w:rPr>
                <w:rFonts w:ascii="Verdana" w:hAnsi="Verdana"/>
                <w:color w:val="000000"/>
                <w:sz w:val="18"/>
                <w:szCs w:val="18"/>
              </w:rPr>
            </w:pPr>
            <w:r>
              <w:rPr>
                <w:rFonts w:ascii="Verdana" w:hAnsi="Verdana"/>
                <w:color w:val="000000"/>
                <w:sz w:val="18"/>
                <w:szCs w:val="18"/>
              </w:rPr>
              <w:t>5</w:t>
            </w:r>
          </w:p>
        </w:tc>
        <w:tc>
          <w:tcPr>
            <w:tcW w:w="992" w:type="dxa"/>
            <w:shd w:val="clear" w:color="auto" w:fill="auto"/>
            <w:vAlign w:val="center"/>
          </w:tcPr>
          <w:p w14:paraId="6651BA84" w14:textId="46D68B81" w:rsidR="00A94957" w:rsidRDefault="00AC5FC2" w:rsidP="00F41953">
            <w:pPr>
              <w:spacing w:before="80" w:after="80" w:line="32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686D5821" w14:textId="4F3F2FA1" w:rsidR="00A94957" w:rsidRDefault="00AC5FC2" w:rsidP="00792524">
            <w:pPr>
              <w:spacing w:before="80" w:after="80" w:line="320" w:lineRule="atLeast"/>
              <w:jc w:val="right"/>
              <w:rPr>
                <w:rFonts w:ascii="Verdana" w:hAnsi="Verdana"/>
                <w:color w:val="000000"/>
                <w:sz w:val="18"/>
                <w:szCs w:val="18"/>
              </w:rPr>
            </w:pPr>
            <w:r>
              <w:rPr>
                <w:rFonts w:ascii="Verdana" w:hAnsi="Verdana"/>
                <w:color w:val="000000"/>
                <w:sz w:val="18"/>
                <w:szCs w:val="18"/>
              </w:rPr>
              <w:t>3 046,5</w:t>
            </w:r>
          </w:p>
        </w:tc>
        <w:tc>
          <w:tcPr>
            <w:tcW w:w="1418" w:type="dxa"/>
            <w:vAlign w:val="center"/>
          </w:tcPr>
          <w:p w14:paraId="45DAE5B2" w14:textId="12868281" w:rsidR="00A94957" w:rsidRDefault="00AC5FC2" w:rsidP="00792524">
            <w:pPr>
              <w:spacing w:before="80" w:after="80" w:line="32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79AAB33B" w14:textId="510B172E" w:rsidR="00A94957" w:rsidRDefault="00AC5FC2" w:rsidP="00792524">
            <w:pPr>
              <w:spacing w:before="80" w:after="80" w:line="320" w:lineRule="atLeast"/>
              <w:jc w:val="right"/>
              <w:rPr>
                <w:rFonts w:ascii="Verdana" w:hAnsi="Verdana"/>
                <w:color w:val="000000"/>
                <w:sz w:val="18"/>
                <w:szCs w:val="18"/>
              </w:rPr>
            </w:pPr>
            <w:r>
              <w:rPr>
                <w:rFonts w:ascii="Verdana" w:hAnsi="Verdana"/>
                <w:color w:val="000000"/>
                <w:sz w:val="18"/>
                <w:szCs w:val="18"/>
              </w:rPr>
              <w:t>3 046,5</w:t>
            </w:r>
          </w:p>
        </w:tc>
      </w:tr>
      <w:tr w:rsidR="00A94957" w:rsidRPr="000435BE" w14:paraId="2C1CA14B" w14:textId="77777777" w:rsidTr="00F41953">
        <w:tc>
          <w:tcPr>
            <w:tcW w:w="567" w:type="dxa"/>
            <w:shd w:val="clear" w:color="auto" w:fill="auto"/>
          </w:tcPr>
          <w:p w14:paraId="7E592697" w14:textId="087727D1" w:rsidR="00A94957" w:rsidRPr="003B4F95" w:rsidRDefault="00A94957" w:rsidP="00792524">
            <w:pPr>
              <w:spacing w:before="80" w:after="80" w:line="320" w:lineRule="atLeast"/>
              <w:rPr>
                <w:rFonts w:ascii="Verdana" w:hAnsi="Verdana"/>
                <w:color w:val="000000"/>
                <w:sz w:val="18"/>
                <w:szCs w:val="18"/>
              </w:rPr>
            </w:pPr>
            <w:r>
              <w:rPr>
                <w:rFonts w:ascii="Verdana" w:hAnsi="Verdana"/>
                <w:color w:val="000000"/>
                <w:sz w:val="18"/>
                <w:szCs w:val="18"/>
              </w:rPr>
              <w:t>8.</w:t>
            </w:r>
          </w:p>
        </w:tc>
        <w:tc>
          <w:tcPr>
            <w:tcW w:w="1984" w:type="dxa"/>
            <w:gridSpan w:val="2"/>
            <w:shd w:val="clear" w:color="auto" w:fill="auto"/>
          </w:tcPr>
          <w:p w14:paraId="3D2A580E" w14:textId="2CD3BEB4" w:rsidR="00A94957" w:rsidRPr="003B4F95" w:rsidRDefault="00A94957" w:rsidP="00792524">
            <w:pPr>
              <w:spacing w:before="80" w:after="80" w:line="320" w:lineRule="atLeast"/>
              <w:rPr>
                <w:rFonts w:ascii="Verdana" w:hAnsi="Verdana"/>
                <w:color w:val="000000"/>
                <w:sz w:val="18"/>
                <w:szCs w:val="18"/>
              </w:rPr>
            </w:pPr>
            <w:r w:rsidRPr="003B4F95">
              <w:rPr>
                <w:rFonts w:ascii="Verdana" w:hAnsi="Verdana"/>
                <w:color w:val="000000"/>
                <w:sz w:val="18"/>
                <w:szCs w:val="18"/>
              </w:rPr>
              <w:t>Stan</w:t>
            </w:r>
            <w:r w:rsidR="000C2A04">
              <w:rPr>
                <w:rFonts w:ascii="Verdana" w:hAnsi="Verdana"/>
                <w:color w:val="000000"/>
                <w:sz w:val="18"/>
                <w:szCs w:val="18"/>
              </w:rPr>
              <w:t>lib</w:t>
            </w:r>
          </w:p>
        </w:tc>
        <w:tc>
          <w:tcPr>
            <w:tcW w:w="993" w:type="dxa"/>
            <w:shd w:val="clear" w:color="auto" w:fill="auto"/>
            <w:vAlign w:val="center"/>
          </w:tcPr>
          <w:p w14:paraId="1C80EBD4" w14:textId="633D0E2C" w:rsidR="00A94957" w:rsidRPr="003B4F95" w:rsidRDefault="00F41953" w:rsidP="00F41953">
            <w:pPr>
              <w:spacing w:before="80" w:after="80" w:line="320" w:lineRule="atLeast"/>
              <w:jc w:val="center"/>
              <w:rPr>
                <w:rFonts w:ascii="Verdana" w:hAnsi="Verdana"/>
                <w:color w:val="000000"/>
                <w:sz w:val="18"/>
                <w:szCs w:val="18"/>
              </w:rPr>
            </w:pPr>
            <w:r>
              <w:rPr>
                <w:rFonts w:ascii="Verdana" w:hAnsi="Verdana"/>
                <w:color w:val="000000"/>
                <w:sz w:val="18"/>
                <w:szCs w:val="18"/>
              </w:rPr>
              <w:t>8</w:t>
            </w:r>
          </w:p>
        </w:tc>
        <w:tc>
          <w:tcPr>
            <w:tcW w:w="992" w:type="dxa"/>
            <w:shd w:val="clear" w:color="auto" w:fill="auto"/>
            <w:vAlign w:val="center"/>
          </w:tcPr>
          <w:p w14:paraId="18E3D638" w14:textId="2FB2A77C" w:rsidR="00A94957" w:rsidRPr="003B4F95" w:rsidRDefault="00AC5FC2" w:rsidP="00F41953">
            <w:pPr>
              <w:spacing w:before="80" w:after="80" w:line="32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779DF0A4" w14:textId="6E4129BE" w:rsidR="00A94957" w:rsidRPr="003B4F95" w:rsidRDefault="00AC5FC2" w:rsidP="00792524">
            <w:pPr>
              <w:spacing w:before="80" w:after="80" w:line="320" w:lineRule="atLeast"/>
              <w:jc w:val="right"/>
              <w:rPr>
                <w:rFonts w:ascii="Verdana" w:hAnsi="Verdana"/>
                <w:color w:val="000000"/>
                <w:sz w:val="18"/>
                <w:szCs w:val="18"/>
              </w:rPr>
            </w:pPr>
            <w:r>
              <w:rPr>
                <w:rFonts w:ascii="Verdana" w:hAnsi="Verdana"/>
                <w:color w:val="000000"/>
                <w:sz w:val="18"/>
                <w:szCs w:val="18"/>
              </w:rPr>
              <w:t>2 721,8</w:t>
            </w:r>
          </w:p>
        </w:tc>
        <w:tc>
          <w:tcPr>
            <w:tcW w:w="1418" w:type="dxa"/>
            <w:vAlign w:val="center"/>
          </w:tcPr>
          <w:p w14:paraId="0125BCAB" w14:textId="4D4939DF" w:rsidR="00A94957" w:rsidRPr="003B4F95" w:rsidRDefault="00AC5FC2" w:rsidP="00792524">
            <w:pPr>
              <w:spacing w:before="80" w:after="80" w:line="32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1FC38D9E" w14:textId="267FC1BC" w:rsidR="00A94957" w:rsidRPr="003B4F95" w:rsidRDefault="00AC5FC2" w:rsidP="00792524">
            <w:pPr>
              <w:spacing w:before="80" w:after="80" w:line="320" w:lineRule="atLeast"/>
              <w:jc w:val="right"/>
              <w:rPr>
                <w:rFonts w:ascii="Verdana" w:hAnsi="Verdana"/>
                <w:color w:val="000000"/>
                <w:sz w:val="18"/>
                <w:szCs w:val="18"/>
              </w:rPr>
            </w:pPr>
            <w:r>
              <w:rPr>
                <w:rFonts w:ascii="Verdana" w:hAnsi="Verdana"/>
                <w:color w:val="000000"/>
                <w:sz w:val="18"/>
                <w:szCs w:val="18"/>
              </w:rPr>
              <w:t>2 721,8</w:t>
            </w:r>
          </w:p>
        </w:tc>
      </w:tr>
      <w:tr w:rsidR="00A94957" w:rsidRPr="000435BE" w14:paraId="2F3304AD" w14:textId="77777777" w:rsidTr="00F41953">
        <w:tc>
          <w:tcPr>
            <w:tcW w:w="567" w:type="dxa"/>
            <w:shd w:val="clear" w:color="auto" w:fill="auto"/>
          </w:tcPr>
          <w:p w14:paraId="1308FAE1" w14:textId="77777777" w:rsidR="00A94957" w:rsidRDefault="00A94957" w:rsidP="00792524">
            <w:pPr>
              <w:spacing w:before="80" w:after="80" w:line="320" w:lineRule="atLeast"/>
              <w:rPr>
                <w:rFonts w:ascii="Verdana" w:hAnsi="Verdana"/>
                <w:color w:val="000000"/>
                <w:sz w:val="18"/>
                <w:szCs w:val="18"/>
              </w:rPr>
            </w:pPr>
            <w:r>
              <w:rPr>
                <w:rFonts w:ascii="Verdana" w:hAnsi="Verdana"/>
                <w:color w:val="000000"/>
                <w:sz w:val="18"/>
                <w:szCs w:val="18"/>
              </w:rPr>
              <w:t>9.</w:t>
            </w:r>
          </w:p>
        </w:tc>
        <w:tc>
          <w:tcPr>
            <w:tcW w:w="1984" w:type="dxa"/>
            <w:gridSpan w:val="2"/>
            <w:shd w:val="clear" w:color="auto" w:fill="auto"/>
          </w:tcPr>
          <w:p w14:paraId="5A8D3E1D" w14:textId="2AFD89A7" w:rsidR="00A94957" w:rsidRPr="003B4F95" w:rsidRDefault="00A94957" w:rsidP="00792524">
            <w:pPr>
              <w:spacing w:before="80" w:after="80" w:line="320" w:lineRule="atLeast"/>
              <w:rPr>
                <w:rFonts w:ascii="Verdana" w:hAnsi="Verdana"/>
                <w:color w:val="000000"/>
                <w:sz w:val="18"/>
                <w:szCs w:val="18"/>
              </w:rPr>
            </w:pPr>
            <w:r w:rsidRPr="003B4F95">
              <w:rPr>
                <w:rFonts w:ascii="Verdana" w:hAnsi="Verdana"/>
                <w:color w:val="000000"/>
                <w:sz w:val="18"/>
                <w:szCs w:val="18"/>
              </w:rPr>
              <w:t>Investec</w:t>
            </w:r>
          </w:p>
        </w:tc>
        <w:tc>
          <w:tcPr>
            <w:tcW w:w="993" w:type="dxa"/>
            <w:shd w:val="clear" w:color="auto" w:fill="auto"/>
            <w:vAlign w:val="center"/>
          </w:tcPr>
          <w:p w14:paraId="7794B719" w14:textId="38558AD2" w:rsidR="00A94957" w:rsidRDefault="00F41953" w:rsidP="00F41953">
            <w:pPr>
              <w:spacing w:before="80" w:after="80" w:line="320" w:lineRule="atLeast"/>
              <w:jc w:val="center"/>
              <w:rPr>
                <w:rFonts w:ascii="Verdana" w:hAnsi="Verdana"/>
                <w:color w:val="000000"/>
                <w:sz w:val="18"/>
                <w:szCs w:val="18"/>
              </w:rPr>
            </w:pPr>
            <w:r>
              <w:rPr>
                <w:rFonts w:ascii="Verdana" w:hAnsi="Verdana"/>
                <w:color w:val="000000"/>
                <w:sz w:val="18"/>
                <w:szCs w:val="18"/>
              </w:rPr>
              <w:t>-</w:t>
            </w:r>
          </w:p>
        </w:tc>
        <w:tc>
          <w:tcPr>
            <w:tcW w:w="992" w:type="dxa"/>
            <w:shd w:val="clear" w:color="auto" w:fill="auto"/>
            <w:vAlign w:val="center"/>
          </w:tcPr>
          <w:p w14:paraId="1F412EBF" w14:textId="73D00ECB" w:rsidR="00A94957" w:rsidRPr="003B4F95" w:rsidRDefault="00AC5FC2" w:rsidP="00F41953">
            <w:pPr>
              <w:spacing w:before="80" w:after="80" w:line="320" w:lineRule="atLeast"/>
              <w:jc w:val="center"/>
              <w:rPr>
                <w:rFonts w:ascii="Verdana" w:hAnsi="Verdana"/>
                <w:color w:val="000000"/>
                <w:sz w:val="18"/>
                <w:szCs w:val="18"/>
              </w:rPr>
            </w:pPr>
            <w:r>
              <w:rPr>
                <w:rFonts w:ascii="Verdana" w:hAnsi="Verdana"/>
                <w:color w:val="000000"/>
                <w:sz w:val="18"/>
                <w:szCs w:val="18"/>
              </w:rPr>
              <w:t>2</w:t>
            </w:r>
          </w:p>
        </w:tc>
        <w:tc>
          <w:tcPr>
            <w:tcW w:w="1417" w:type="dxa"/>
            <w:vAlign w:val="center"/>
          </w:tcPr>
          <w:p w14:paraId="22AB282F" w14:textId="54EB46FF" w:rsidR="00A94957" w:rsidRPr="003B4F95" w:rsidRDefault="00AC5FC2" w:rsidP="00792524">
            <w:pPr>
              <w:spacing w:before="80" w:after="80" w:line="320" w:lineRule="atLeast"/>
              <w:jc w:val="right"/>
              <w:rPr>
                <w:rFonts w:ascii="Verdana" w:hAnsi="Verdana"/>
                <w:color w:val="000000"/>
                <w:sz w:val="18"/>
                <w:szCs w:val="18"/>
              </w:rPr>
            </w:pPr>
            <w:r>
              <w:rPr>
                <w:rFonts w:ascii="Verdana" w:hAnsi="Verdana"/>
                <w:color w:val="000000"/>
                <w:sz w:val="18"/>
                <w:szCs w:val="18"/>
              </w:rPr>
              <w:t>-</w:t>
            </w:r>
          </w:p>
        </w:tc>
        <w:tc>
          <w:tcPr>
            <w:tcW w:w="1418" w:type="dxa"/>
            <w:vAlign w:val="center"/>
          </w:tcPr>
          <w:p w14:paraId="1B3161E7" w14:textId="103F1F70" w:rsidR="00A94957" w:rsidRPr="003B4F95" w:rsidRDefault="00AC5FC2" w:rsidP="00792524">
            <w:pPr>
              <w:spacing w:before="80" w:after="80" w:line="320" w:lineRule="atLeast"/>
              <w:jc w:val="right"/>
              <w:rPr>
                <w:rFonts w:ascii="Verdana" w:hAnsi="Verdana"/>
                <w:color w:val="000000"/>
                <w:sz w:val="18"/>
                <w:szCs w:val="18"/>
              </w:rPr>
            </w:pPr>
            <w:r>
              <w:rPr>
                <w:rFonts w:ascii="Verdana" w:hAnsi="Verdana"/>
                <w:color w:val="000000"/>
                <w:sz w:val="18"/>
                <w:szCs w:val="18"/>
              </w:rPr>
              <w:t>1 723,3</w:t>
            </w:r>
          </w:p>
        </w:tc>
        <w:tc>
          <w:tcPr>
            <w:tcW w:w="1843" w:type="dxa"/>
            <w:vAlign w:val="center"/>
          </w:tcPr>
          <w:p w14:paraId="508591B1" w14:textId="72D2E1DE" w:rsidR="00A94957" w:rsidRDefault="00AC5FC2" w:rsidP="00792524">
            <w:pPr>
              <w:spacing w:before="80" w:after="80" w:line="320" w:lineRule="atLeast"/>
              <w:jc w:val="right"/>
              <w:rPr>
                <w:rFonts w:ascii="Verdana" w:hAnsi="Verdana"/>
                <w:color w:val="000000"/>
                <w:sz w:val="18"/>
                <w:szCs w:val="18"/>
              </w:rPr>
            </w:pPr>
            <w:r>
              <w:rPr>
                <w:rFonts w:ascii="Verdana" w:hAnsi="Verdana"/>
                <w:color w:val="000000"/>
                <w:sz w:val="18"/>
                <w:szCs w:val="18"/>
              </w:rPr>
              <w:t>1 723,3</w:t>
            </w:r>
          </w:p>
        </w:tc>
      </w:tr>
      <w:tr w:rsidR="00A94957" w:rsidRPr="000435BE" w14:paraId="5CBEF8FC" w14:textId="77777777" w:rsidTr="00F41953">
        <w:tc>
          <w:tcPr>
            <w:tcW w:w="567" w:type="dxa"/>
            <w:shd w:val="clear" w:color="auto" w:fill="auto"/>
          </w:tcPr>
          <w:p w14:paraId="53471E5D" w14:textId="77777777" w:rsidR="00A94957" w:rsidRPr="003B4F95" w:rsidRDefault="00A94957" w:rsidP="00792524">
            <w:pPr>
              <w:spacing w:before="80" w:after="80" w:line="320" w:lineRule="atLeast"/>
              <w:rPr>
                <w:rFonts w:ascii="Verdana" w:hAnsi="Verdana"/>
                <w:color w:val="000000"/>
                <w:sz w:val="18"/>
                <w:szCs w:val="18"/>
              </w:rPr>
            </w:pPr>
            <w:r>
              <w:rPr>
                <w:rFonts w:ascii="Verdana" w:hAnsi="Verdana"/>
                <w:color w:val="000000"/>
                <w:sz w:val="18"/>
                <w:szCs w:val="18"/>
              </w:rPr>
              <w:t>10</w:t>
            </w:r>
            <w:r w:rsidRPr="003B4F95">
              <w:rPr>
                <w:rFonts w:ascii="Verdana" w:hAnsi="Verdana"/>
                <w:color w:val="000000"/>
                <w:sz w:val="18"/>
                <w:szCs w:val="18"/>
              </w:rPr>
              <w:t>.</w:t>
            </w:r>
          </w:p>
        </w:tc>
        <w:tc>
          <w:tcPr>
            <w:tcW w:w="1984" w:type="dxa"/>
            <w:gridSpan w:val="2"/>
            <w:shd w:val="clear" w:color="auto" w:fill="auto"/>
          </w:tcPr>
          <w:p w14:paraId="6A64B47E" w14:textId="71446075" w:rsidR="00A94957" w:rsidRPr="003B4F95" w:rsidRDefault="00A94957" w:rsidP="00792524">
            <w:pPr>
              <w:spacing w:before="80" w:after="80" w:line="320" w:lineRule="atLeast"/>
              <w:rPr>
                <w:rFonts w:ascii="Verdana" w:hAnsi="Verdana"/>
                <w:color w:val="000000"/>
                <w:sz w:val="18"/>
                <w:szCs w:val="18"/>
              </w:rPr>
            </w:pPr>
            <w:r w:rsidRPr="003B4F95">
              <w:rPr>
                <w:rFonts w:ascii="Verdana" w:hAnsi="Verdana"/>
                <w:color w:val="000000"/>
                <w:sz w:val="18"/>
                <w:szCs w:val="18"/>
              </w:rPr>
              <w:t>FirstRand</w:t>
            </w:r>
            <w:r w:rsidR="00417CC4">
              <w:rPr>
                <w:rFonts w:ascii="Verdana" w:hAnsi="Verdana"/>
                <w:color w:val="000000"/>
                <w:sz w:val="18"/>
                <w:szCs w:val="18"/>
              </w:rPr>
              <w:t xml:space="preserve"> (RMB)</w:t>
            </w:r>
          </w:p>
        </w:tc>
        <w:tc>
          <w:tcPr>
            <w:tcW w:w="993" w:type="dxa"/>
            <w:shd w:val="clear" w:color="auto" w:fill="auto"/>
            <w:vAlign w:val="center"/>
          </w:tcPr>
          <w:p w14:paraId="346D3664" w14:textId="44BB7627" w:rsidR="00A94957" w:rsidRPr="003B4F95" w:rsidRDefault="00F41953" w:rsidP="00F41953">
            <w:pPr>
              <w:spacing w:before="80" w:after="80" w:line="320" w:lineRule="atLeast"/>
              <w:jc w:val="center"/>
              <w:rPr>
                <w:rFonts w:ascii="Verdana" w:hAnsi="Verdana"/>
                <w:color w:val="000000"/>
                <w:sz w:val="18"/>
                <w:szCs w:val="18"/>
              </w:rPr>
            </w:pPr>
            <w:r>
              <w:rPr>
                <w:rFonts w:ascii="Verdana" w:hAnsi="Verdana"/>
                <w:color w:val="000000"/>
                <w:sz w:val="18"/>
                <w:szCs w:val="18"/>
              </w:rPr>
              <w:t>3</w:t>
            </w:r>
          </w:p>
        </w:tc>
        <w:tc>
          <w:tcPr>
            <w:tcW w:w="992" w:type="dxa"/>
            <w:shd w:val="clear" w:color="auto" w:fill="auto"/>
            <w:vAlign w:val="center"/>
          </w:tcPr>
          <w:p w14:paraId="5CCC7464" w14:textId="0FD47E48" w:rsidR="00A94957" w:rsidRPr="003B4F95" w:rsidRDefault="00AC5FC2" w:rsidP="00F41953">
            <w:pPr>
              <w:spacing w:before="80" w:after="80" w:line="32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2A9A06E8" w14:textId="74AC9B12" w:rsidR="00A94957" w:rsidRPr="003B4F95" w:rsidRDefault="00AC5FC2" w:rsidP="00792524">
            <w:pPr>
              <w:spacing w:before="80" w:after="80" w:line="320" w:lineRule="atLeast"/>
              <w:jc w:val="right"/>
              <w:rPr>
                <w:rFonts w:ascii="Verdana" w:hAnsi="Verdana"/>
                <w:color w:val="000000"/>
                <w:sz w:val="18"/>
                <w:szCs w:val="18"/>
              </w:rPr>
            </w:pPr>
            <w:r>
              <w:rPr>
                <w:rFonts w:ascii="Verdana" w:hAnsi="Verdana"/>
                <w:color w:val="000000"/>
                <w:sz w:val="18"/>
                <w:szCs w:val="18"/>
              </w:rPr>
              <w:t>772,3</w:t>
            </w:r>
          </w:p>
        </w:tc>
        <w:tc>
          <w:tcPr>
            <w:tcW w:w="1418" w:type="dxa"/>
            <w:vAlign w:val="center"/>
          </w:tcPr>
          <w:p w14:paraId="7207BF4E" w14:textId="60A5CBD3" w:rsidR="00A94957" w:rsidRPr="003B4F95" w:rsidRDefault="00AC5FC2" w:rsidP="00792524">
            <w:pPr>
              <w:spacing w:before="80" w:after="80" w:line="320" w:lineRule="atLeast"/>
              <w:jc w:val="right"/>
              <w:rPr>
                <w:rFonts w:ascii="Verdana" w:hAnsi="Verdana"/>
                <w:color w:val="000000"/>
                <w:sz w:val="18"/>
                <w:szCs w:val="18"/>
              </w:rPr>
            </w:pPr>
            <w:r>
              <w:rPr>
                <w:rFonts w:ascii="Verdana" w:hAnsi="Verdana"/>
                <w:color w:val="000000"/>
                <w:sz w:val="18"/>
                <w:szCs w:val="18"/>
              </w:rPr>
              <w:t>-</w:t>
            </w:r>
          </w:p>
        </w:tc>
        <w:tc>
          <w:tcPr>
            <w:tcW w:w="1843" w:type="dxa"/>
            <w:vAlign w:val="center"/>
          </w:tcPr>
          <w:p w14:paraId="2E43090D" w14:textId="6CDE4DC7" w:rsidR="00A94957" w:rsidRPr="003B4F95" w:rsidRDefault="00AC5FC2" w:rsidP="00792524">
            <w:pPr>
              <w:spacing w:before="80" w:after="80" w:line="320" w:lineRule="atLeast"/>
              <w:jc w:val="right"/>
              <w:rPr>
                <w:rFonts w:ascii="Verdana" w:hAnsi="Verdana"/>
                <w:color w:val="000000"/>
                <w:sz w:val="18"/>
                <w:szCs w:val="18"/>
              </w:rPr>
            </w:pPr>
            <w:r>
              <w:rPr>
                <w:rFonts w:ascii="Verdana" w:hAnsi="Verdana"/>
                <w:color w:val="000000"/>
                <w:sz w:val="18"/>
                <w:szCs w:val="18"/>
              </w:rPr>
              <w:t>772,3</w:t>
            </w:r>
          </w:p>
        </w:tc>
      </w:tr>
      <w:tr w:rsidR="00CF781A" w:rsidRPr="000435BE" w14:paraId="7EDE5828" w14:textId="77777777" w:rsidTr="00F41953">
        <w:tc>
          <w:tcPr>
            <w:tcW w:w="567" w:type="dxa"/>
            <w:shd w:val="clear" w:color="auto" w:fill="auto"/>
          </w:tcPr>
          <w:p w14:paraId="4884ED9C" w14:textId="5DAFDB0C" w:rsidR="00CF781A" w:rsidRDefault="00CF781A" w:rsidP="00792524">
            <w:pPr>
              <w:spacing w:before="80" w:after="80" w:line="320" w:lineRule="atLeast"/>
              <w:rPr>
                <w:rFonts w:ascii="Verdana" w:hAnsi="Verdana"/>
                <w:color w:val="000000"/>
                <w:sz w:val="18"/>
                <w:szCs w:val="18"/>
              </w:rPr>
            </w:pPr>
            <w:r>
              <w:rPr>
                <w:rFonts w:ascii="Verdana" w:hAnsi="Verdana"/>
                <w:color w:val="000000"/>
                <w:sz w:val="18"/>
                <w:szCs w:val="18"/>
              </w:rPr>
              <w:t>11.</w:t>
            </w:r>
          </w:p>
        </w:tc>
        <w:tc>
          <w:tcPr>
            <w:tcW w:w="1984" w:type="dxa"/>
            <w:gridSpan w:val="2"/>
            <w:shd w:val="clear" w:color="auto" w:fill="auto"/>
          </w:tcPr>
          <w:p w14:paraId="2E9C4FB1" w14:textId="515219FC" w:rsidR="00CF781A" w:rsidRPr="003B4F95" w:rsidRDefault="00CF781A" w:rsidP="00792524">
            <w:pPr>
              <w:spacing w:before="80" w:after="80" w:line="320" w:lineRule="atLeast"/>
              <w:rPr>
                <w:rFonts w:ascii="Verdana" w:hAnsi="Verdana"/>
                <w:color w:val="000000"/>
                <w:sz w:val="18"/>
                <w:szCs w:val="18"/>
              </w:rPr>
            </w:pPr>
            <w:r>
              <w:rPr>
                <w:rFonts w:ascii="Verdana" w:hAnsi="Verdana"/>
                <w:color w:val="000000"/>
                <w:sz w:val="18"/>
                <w:szCs w:val="18"/>
              </w:rPr>
              <w:t>UBS</w:t>
            </w:r>
          </w:p>
        </w:tc>
        <w:tc>
          <w:tcPr>
            <w:tcW w:w="993" w:type="dxa"/>
            <w:shd w:val="clear" w:color="auto" w:fill="auto"/>
            <w:vAlign w:val="center"/>
          </w:tcPr>
          <w:p w14:paraId="3DAA00DC" w14:textId="66B0842B" w:rsidR="00CF781A" w:rsidRDefault="00F41953" w:rsidP="00F41953">
            <w:pPr>
              <w:spacing w:before="80" w:after="80" w:line="320" w:lineRule="atLeast"/>
              <w:jc w:val="center"/>
              <w:rPr>
                <w:rFonts w:ascii="Verdana" w:hAnsi="Verdana"/>
                <w:color w:val="000000"/>
                <w:sz w:val="18"/>
                <w:szCs w:val="18"/>
              </w:rPr>
            </w:pPr>
            <w:r>
              <w:rPr>
                <w:rFonts w:ascii="Verdana" w:hAnsi="Verdana"/>
                <w:color w:val="000000"/>
                <w:sz w:val="18"/>
                <w:szCs w:val="18"/>
              </w:rPr>
              <w:t>-</w:t>
            </w:r>
          </w:p>
        </w:tc>
        <w:tc>
          <w:tcPr>
            <w:tcW w:w="992" w:type="dxa"/>
            <w:shd w:val="clear" w:color="auto" w:fill="auto"/>
            <w:vAlign w:val="center"/>
          </w:tcPr>
          <w:p w14:paraId="3DEFBD4E" w14:textId="65FD3F6F" w:rsidR="00CF781A" w:rsidRDefault="00AC5FC2" w:rsidP="00F41953">
            <w:pPr>
              <w:spacing w:before="80" w:after="80" w:line="320" w:lineRule="atLeast"/>
              <w:jc w:val="center"/>
              <w:rPr>
                <w:rFonts w:ascii="Verdana" w:hAnsi="Verdana"/>
                <w:color w:val="000000"/>
                <w:sz w:val="18"/>
                <w:szCs w:val="18"/>
              </w:rPr>
            </w:pPr>
            <w:r>
              <w:rPr>
                <w:rFonts w:ascii="Verdana" w:hAnsi="Verdana"/>
                <w:color w:val="000000"/>
                <w:sz w:val="18"/>
                <w:szCs w:val="18"/>
              </w:rPr>
              <w:t>5</w:t>
            </w:r>
          </w:p>
        </w:tc>
        <w:tc>
          <w:tcPr>
            <w:tcW w:w="1417" w:type="dxa"/>
            <w:vAlign w:val="center"/>
          </w:tcPr>
          <w:p w14:paraId="313E3AD2" w14:textId="1CC5EF03" w:rsidR="00CF781A" w:rsidRDefault="00AC5FC2" w:rsidP="00792524">
            <w:pPr>
              <w:spacing w:before="80" w:after="80" w:line="320" w:lineRule="atLeast"/>
              <w:jc w:val="right"/>
              <w:rPr>
                <w:rFonts w:ascii="Verdana" w:hAnsi="Verdana"/>
                <w:color w:val="000000"/>
                <w:sz w:val="18"/>
                <w:szCs w:val="18"/>
              </w:rPr>
            </w:pPr>
            <w:r>
              <w:rPr>
                <w:rFonts w:ascii="Verdana" w:hAnsi="Verdana"/>
                <w:color w:val="000000"/>
                <w:sz w:val="18"/>
                <w:szCs w:val="18"/>
              </w:rPr>
              <w:t>-</w:t>
            </w:r>
          </w:p>
        </w:tc>
        <w:tc>
          <w:tcPr>
            <w:tcW w:w="1418" w:type="dxa"/>
            <w:vAlign w:val="center"/>
          </w:tcPr>
          <w:p w14:paraId="3B6349D4" w14:textId="733EF213" w:rsidR="00CF781A" w:rsidRDefault="00AC5FC2" w:rsidP="00792524">
            <w:pPr>
              <w:spacing w:before="80" w:after="80" w:line="320" w:lineRule="atLeast"/>
              <w:jc w:val="right"/>
              <w:rPr>
                <w:rFonts w:ascii="Verdana" w:hAnsi="Verdana"/>
                <w:color w:val="000000"/>
                <w:sz w:val="18"/>
                <w:szCs w:val="18"/>
              </w:rPr>
            </w:pPr>
            <w:r>
              <w:rPr>
                <w:rFonts w:ascii="Verdana" w:hAnsi="Verdana"/>
                <w:color w:val="000000"/>
                <w:sz w:val="18"/>
                <w:szCs w:val="18"/>
              </w:rPr>
              <w:t>633,0</w:t>
            </w:r>
          </w:p>
        </w:tc>
        <w:tc>
          <w:tcPr>
            <w:tcW w:w="1843" w:type="dxa"/>
            <w:vAlign w:val="center"/>
          </w:tcPr>
          <w:p w14:paraId="6B14250D" w14:textId="44ECA9BA" w:rsidR="00CF781A" w:rsidRDefault="00AC5FC2" w:rsidP="00792524">
            <w:pPr>
              <w:spacing w:before="80" w:after="80" w:line="320" w:lineRule="atLeast"/>
              <w:jc w:val="right"/>
              <w:rPr>
                <w:rFonts w:ascii="Verdana" w:hAnsi="Verdana"/>
                <w:color w:val="000000"/>
                <w:sz w:val="18"/>
                <w:szCs w:val="18"/>
              </w:rPr>
            </w:pPr>
            <w:r>
              <w:rPr>
                <w:rFonts w:ascii="Verdana" w:hAnsi="Verdana"/>
                <w:color w:val="000000"/>
                <w:sz w:val="18"/>
                <w:szCs w:val="18"/>
              </w:rPr>
              <w:t>633,0</w:t>
            </w:r>
          </w:p>
        </w:tc>
      </w:tr>
      <w:tr w:rsidR="00A94957" w:rsidRPr="000435BE" w14:paraId="505C3280" w14:textId="77777777" w:rsidTr="00F41953">
        <w:tc>
          <w:tcPr>
            <w:tcW w:w="567" w:type="dxa"/>
            <w:shd w:val="clear" w:color="auto" w:fill="auto"/>
          </w:tcPr>
          <w:p w14:paraId="2562BD68" w14:textId="648D7A0B" w:rsidR="00A94957" w:rsidRPr="003B4F95" w:rsidRDefault="00A94957" w:rsidP="00792524">
            <w:pPr>
              <w:spacing w:before="80" w:after="80" w:line="320" w:lineRule="atLeast"/>
              <w:rPr>
                <w:rFonts w:ascii="Verdana" w:hAnsi="Verdana"/>
                <w:color w:val="000000"/>
                <w:sz w:val="18"/>
                <w:szCs w:val="18"/>
              </w:rPr>
            </w:pPr>
            <w:r>
              <w:rPr>
                <w:rFonts w:ascii="Verdana" w:hAnsi="Verdana"/>
                <w:color w:val="000000"/>
                <w:sz w:val="18"/>
                <w:szCs w:val="18"/>
              </w:rPr>
              <w:t>1</w:t>
            </w:r>
            <w:r w:rsidR="00CF781A">
              <w:rPr>
                <w:rFonts w:ascii="Verdana" w:hAnsi="Verdana"/>
                <w:color w:val="000000"/>
                <w:sz w:val="18"/>
                <w:szCs w:val="18"/>
              </w:rPr>
              <w:t>2</w:t>
            </w:r>
            <w:r w:rsidRPr="003B4F95">
              <w:rPr>
                <w:rFonts w:ascii="Verdana" w:hAnsi="Verdana"/>
                <w:color w:val="000000"/>
                <w:sz w:val="18"/>
                <w:szCs w:val="18"/>
              </w:rPr>
              <w:t>.</w:t>
            </w:r>
          </w:p>
        </w:tc>
        <w:tc>
          <w:tcPr>
            <w:tcW w:w="1984" w:type="dxa"/>
            <w:gridSpan w:val="2"/>
            <w:shd w:val="clear" w:color="auto" w:fill="auto"/>
          </w:tcPr>
          <w:p w14:paraId="5808FACC" w14:textId="77777777" w:rsidR="00A94957" w:rsidRPr="003B4F95" w:rsidRDefault="00A94957" w:rsidP="00792524">
            <w:pPr>
              <w:spacing w:before="80" w:after="80" w:line="320" w:lineRule="atLeast"/>
              <w:rPr>
                <w:rFonts w:ascii="Verdana" w:hAnsi="Verdana"/>
                <w:color w:val="000000"/>
                <w:sz w:val="18"/>
                <w:szCs w:val="18"/>
              </w:rPr>
            </w:pPr>
            <w:r w:rsidRPr="003B4F95">
              <w:rPr>
                <w:rFonts w:ascii="Verdana" w:hAnsi="Verdana"/>
                <w:color w:val="000000"/>
                <w:sz w:val="18"/>
                <w:szCs w:val="18"/>
              </w:rPr>
              <w:t>Cloud Atlas</w:t>
            </w:r>
          </w:p>
        </w:tc>
        <w:tc>
          <w:tcPr>
            <w:tcW w:w="993" w:type="dxa"/>
            <w:shd w:val="clear" w:color="auto" w:fill="auto"/>
            <w:vAlign w:val="center"/>
          </w:tcPr>
          <w:p w14:paraId="6B8A50E7" w14:textId="1CCB42D6" w:rsidR="00A94957" w:rsidRPr="003B4F95" w:rsidRDefault="00F41953" w:rsidP="00F41953">
            <w:pPr>
              <w:spacing w:before="80" w:after="80" w:line="320" w:lineRule="atLeast"/>
              <w:jc w:val="center"/>
              <w:rPr>
                <w:rFonts w:ascii="Verdana" w:hAnsi="Verdana"/>
                <w:color w:val="000000"/>
                <w:sz w:val="18"/>
                <w:szCs w:val="18"/>
              </w:rPr>
            </w:pPr>
            <w:r>
              <w:rPr>
                <w:rFonts w:ascii="Verdana" w:hAnsi="Verdana"/>
                <w:color w:val="000000"/>
                <w:sz w:val="18"/>
                <w:szCs w:val="18"/>
              </w:rPr>
              <w:t>2</w:t>
            </w:r>
          </w:p>
        </w:tc>
        <w:tc>
          <w:tcPr>
            <w:tcW w:w="992" w:type="dxa"/>
            <w:shd w:val="clear" w:color="auto" w:fill="auto"/>
            <w:vAlign w:val="center"/>
          </w:tcPr>
          <w:p w14:paraId="344EA43B" w14:textId="3F7776C4" w:rsidR="00A94957" w:rsidRPr="003B4F95" w:rsidRDefault="00AC5FC2" w:rsidP="00F41953">
            <w:pPr>
              <w:spacing w:before="80" w:after="80" w:line="320" w:lineRule="atLeast"/>
              <w:jc w:val="center"/>
              <w:rPr>
                <w:rFonts w:ascii="Verdana" w:hAnsi="Verdana"/>
                <w:color w:val="000000"/>
                <w:sz w:val="18"/>
                <w:szCs w:val="18"/>
              </w:rPr>
            </w:pPr>
            <w:r>
              <w:rPr>
                <w:rFonts w:ascii="Verdana" w:hAnsi="Verdana"/>
                <w:color w:val="000000"/>
                <w:sz w:val="18"/>
                <w:szCs w:val="18"/>
              </w:rPr>
              <w:t>-</w:t>
            </w:r>
          </w:p>
        </w:tc>
        <w:tc>
          <w:tcPr>
            <w:tcW w:w="1417" w:type="dxa"/>
            <w:vAlign w:val="center"/>
          </w:tcPr>
          <w:p w14:paraId="47FF3E14" w14:textId="39A92AD8" w:rsidR="00A94957" w:rsidRPr="003B4F95" w:rsidRDefault="00AC5FC2" w:rsidP="00792524">
            <w:pPr>
              <w:spacing w:before="80" w:after="80" w:line="320" w:lineRule="atLeast"/>
              <w:jc w:val="right"/>
              <w:rPr>
                <w:rFonts w:ascii="Verdana" w:hAnsi="Verdana"/>
                <w:color w:val="000000"/>
                <w:sz w:val="18"/>
                <w:szCs w:val="18"/>
              </w:rPr>
            </w:pPr>
            <w:r>
              <w:rPr>
                <w:rFonts w:ascii="Verdana" w:hAnsi="Verdana"/>
                <w:color w:val="000000"/>
                <w:sz w:val="18"/>
                <w:szCs w:val="18"/>
              </w:rPr>
              <w:t>20,1</w:t>
            </w:r>
          </w:p>
        </w:tc>
        <w:tc>
          <w:tcPr>
            <w:tcW w:w="1418" w:type="dxa"/>
            <w:vAlign w:val="center"/>
          </w:tcPr>
          <w:p w14:paraId="25FD6C85" w14:textId="50D9AD74" w:rsidR="00A94957" w:rsidRPr="003B4F95" w:rsidRDefault="00AC5FC2" w:rsidP="00792524">
            <w:pPr>
              <w:spacing w:before="80" w:after="80" w:line="320" w:lineRule="atLeast"/>
              <w:jc w:val="right"/>
              <w:rPr>
                <w:rFonts w:ascii="Verdana" w:hAnsi="Verdana"/>
                <w:color w:val="000000"/>
                <w:sz w:val="18"/>
                <w:szCs w:val="18"/>
              </w:rPr>
            </w:pPr>
            <w:r>
              <w:rPr>
                <w:rFonts w:ascii="Verdana" w:hAnsi="Verdana"/>
                <w:color w:val="000000"/>
                <w:sz w:val="18"/>
                <w:szCs w:val="18"/>
              </w:rPr>
              <w:t>0</w:t>
            </w:r>
          </w:p>
        </w:tc>
        <w:tc>
          <w:tcPr>
            <w:tcW w:w="1843" w:type="dxa"/>
            <w:vAlign w:val="center"/>
          </w:tcPr>
          <w:p w14:paraId="0638E956" w14:textId="6C590925" w:rsidR="00A94957" w:rsidRPr="003B4F95" w:rsidRDefault="00AC5FC2" w:rsidP="00792524">
            <w:pPr>
              <w:spacing w:before="80" w:after="80" w:line="320" w:lineRule="atLeast"/>
              <w:jc w:val="right"/>
              <w:rPr>
                <w:rFonts w:ascii="Verdana" w:hAnsi="Verdana"/>
                <w:color w:val="000000"/>
                <w:sz w:val="18"/>
                <w:szCs w:val="18"/>
              </w:rPr>
            </w:pPr>
            <w:r>
              <w:rPr>
                <w:rFonts w:ascii="Verdana" w:hAnsi="Verdana"/>
                <w:color w:val="000000"/>
                <w:sz w:val="18"/>
                <w:szCs w:val="18"/>
              </w:rPr>
              <w:t>20,1</w:t>
            </w:r>
          </w:p>
        </w:tc>
      </w:tr>
      <w:tr w:rsidR="00A94957" w:rsidRPr="000435BE" w14:paraId="38A874B2" w14:textId="77777777" w:rsidTr="00F41953">
        <w:tc>
          <w:tcPr>
            <w:tcW w:w="2551" w:type="dxa"/>
            <w:gridSpan w:val="3"/>
            <w:shd w:val="clear" w:color="auto" w:fill="auto"/>
          </w:tcPr>
          <w:p w14:paraId="7C0A436B" w14:textId="77777777" w:rsidR="00A94957" w:rsidRPr="003B4F95" w:rsidRDefault="00A94957" w:rsidP="00792524">
            <w:pPr>
              <w:spacing w:before="80" w:after="80" w:line="320" w:lineRule="atLeast"/>
              <w:rPr>
                <w:rFonts w:ascii="Verdana" w:hAnsi="Verdana"/>
                <w:b/>
                <w:color w:val="000000"/>
                <w:sz w:val="18"/>
                <w:szCs w:val="18"/>
              </w:rPr>
            </w:pPr>
            <w:r w:rsidRPr="003B4F95">
              <w:rPr>
                <w:rFonts w:ascii="Verdana" w:hAnsi="Verdana"/>
                <w:b/>
                <w:color w:val="000000"/>
                <w:sz w:val="18"/>
                <w:szCs w:val="18"/>
              </w:rPr>
              <w:t>Totals</w:t>
            </w:r>
          </w:p>
        </w:tc>
        <w:tc>
          <w:tcPr>
            <w:tcW w:w="993" w:type="dxa"/>
            <w:shd w:val="clear" w:color="auto" w:fill="auto"/>
            <w:vAlign w:val="center"/>
          </w:tcPr>
          <w:p w14:paraId="30C967CB" w14:textId="08AE1B9B" w:rsidR="00A94957" w:rsidRPr="003B4F95" w:rsidRDefault="00F41953" w:rsidP="00F41953">
            <w:pPr>
              <w:spacing w:before="80" w:after="80" w:line="320" w:lineRule="atLeast"/>
              <w:jc w:val="center"/>
              <w:rPr>
                <w:rFonts w:ascii="Verdana" w:hAnsi="Verdana"/>
                <w:b/>
                <w:color w:val="000000"/>
                <w:sz w:val="18"/>
                <w:szCs w:val="18"/>
              </w:rPr>
            </w:pPr>
            <w:r>
              <w:rPr>
                <w:rFonts w:ascii="Verdana" w:hAnsi="Verdana"/>
                <w:b/>
                <w:color w:val="000000"/>
                <w:sz w:val="18"/>
                <w:szCs w:val="18"/>
              </w:rPr>
              <w:t>76</w:t>
            </w:r>
          </w:p>
        </w:tc>
        <w:tc>
          <w:tcPr>
            <w:tcW w:w="992" w:type="dxa"/>
            <w:shd w:val="clear" w:color="auto" w:fill="auto"/>
            <w:vAlign w:val="center"/>
          </w:tcPr>
          <w:p w14:paraId="399F9D67" w14:textId="4ECA9269" w:rsidR="00A94957" w:rsidRPr="003B4F95" w:rsidRDefault="00AC5FC2" w:rsidP="00F41953">
            <w:pPr>
              <w:spacing w:before="80" w:after="80" w:line="320" w:lineRule="atLeast"/>
              <w:jc w:val="center"/>
              <w:rPr>
                <w:rFonts w:ascii="Verdana" w:hAnsi="Verdana"/>
                <w:b/>
                <w:color w:val="000000"/>
                <w:sz w:val="18"/>
                <w:szCs w:val="18"/>
              </w:rPr>
            </w:pPr>
            <w:r>
              <w:rPr>
                <w:rFonts w:ascii="Verdana" w:hAnsi="Verdana"/>
                <w:b/>
                <w:color w:val="000000"/>
                <w:sz w:val="18"/>
                <w:szCs w:val="18"/>
              </w:rPr>
              <w:t>25</w:t>
            </w:r>
          </w:p>
        </w:tc>
        <w:tc>
          <w:tcPr>
            <w:tcW w:w="1417" w:type="dxa"/>
            <w:vAlign w:val="center"/>
          </w:tcPr>
          <w:p w14:paraId="3B665D46" w14:textId="1F1A5AAE" w:rsidR="00A94957" w:rsidRPr="003B4F95" w:rsidRDefault="00AC5FC2" w:rsidP="00792524">
            <w:pPr>
              <w:spacing w:before="80" w:after="80" w:line="320" w:lineRule="atLeast"/>
              <w:jc w:val="right"/>
              <w:rPr>
                <w:rFonts w:ascii="Verdana" w:hAnsi="Verdana"/>
                <w:b/>
                <w:color w:val="000000"/>
                <w:sz w:val="18"/>
                <w:szCs w:val="18"/>
              </w:rPr>
            </w:pPr>
            <w:r>
              <w:rPr>
                <w:rFonts w:ascii="Verdana" w:hAnsi="Verdana"/>
                <w:b/>
                <w:color w:val="000000"/>
                <w:sz w:val="18"/>
                <w:szCs w:val="18"/>
              </w:rPr>
              <w:t>68 501,3</w:t>
            </w:r>
          </w:p>
        </w:tc>
        <w:tc>
          <w:tcPr>
            <w:tcW w:w="1418" w:type="dxa"/>
            <w:vAlign w:val="center"/>
          </w:tcPr>
          <w:p w14:paraId="61150CA3" w14:textId="02564533" w:rsidR="00A94957" w:rsidRPr="003B4F95" w:rsidRDefault="00AC5FC2" w:rsidP="00792524">
            <w:pPr>
              <w:spacing w:before="80" w:after="80" w:line="320" w:lineRule="atLeast"/>
              <w:jc w:val="right"/>
              <w:rPr>
                <w:rFonts w:ascii="Verdana" w:hAnsi="Verdana"/>
                <w:b/>
                <w:color w:val="000000"/>
                <w:sz w:val="18"/>
                <w:szCs w:val="18"/>
              </w:rPr>
            </w:pPr>
            <w:r>
              <w:rPr>
                <w:rFonts w:ascii="Verdana" w:hAnsi="Verdana"/>
                <w:b/>
                <w:color w:val="000000"/>
                <w:sz w:val="18"/>
                <w:szCs w:val="18"/>
              </w:rPr>
              <w:t>9 285,2</w:t>
            </w:r>
          </w:p>
        </w:tc>
        <w:tc>
          <w:tcPr>
            <w:tcW w:w="1843" w:type="dxa"/>
            <w:vAlign w:val="center"/>
          </w:tcPr>
          <w:p w14:paraId="7F92AA9E" w14:textId="0826432A" w:rsidR="00A94957" w:rsidRPr="003B4F95" w:rsidRDefault="00AC5FC2" w:rsidP="00792524">
            <w:pPr>
              <w:spacing w:before="80" w:after="80" w:line="320" w:lineRule="atLeast"/>
              <w:jc w:val="right"/>
              <w:rPr>
                <w:rFonts w:ascii="Verdana" w:hAnsi="Verdana"/>
                <w:b/>
                <w:color w:val="000000"/>
                <w:sz w:val="18"/>
                <w:szCs w:val="18"/>
              </w:rPr>
            </w:pPr>
            <w:r>
              <w:rPr>
                <w:rFonts w:ascii="Verdana" w:hAnsi="Verdana"/>
                <w:b/>
                <w:color w:val="000000"/>
                <w:sz w:val="18"/>
                <w:szCs w:val="18"/>
              </w:rPr>
              <w:t>77 786,5</w:t>
            </w:r>
          </w:p>
        </w:tc>
      </w:tr>
      <w:tr w:rsidR="00A94957" w:rsidRPr="00AB6CBE" w14:paraId="0B21714A" w14:textId="77777777" w:rsidTr="00F41953">
        <w:trPr>
          <w:trHeight w:val="217"/>
        </w:trPr>
        <w:tc>
          <w:tcPr>
            <w:tcW w:w="850" w:type="dxa"/>
            <w:gridSpan w:val="2"/>
            <w:tcBorders>
              <w:right w:val="nil"/>
            </w:tcBorders>
            <w:shd w:val="clear" w:color="auto" w:fill="auto"/>
            <w:vAlign w:val="center"/>
          </w:tcPr>
          <w:p w14:paraId="3191AFE6" w14:textId="77777777" w:rsidR="00A94957" w:rsidRPr="000435BE" w:rsidRDefault="00A94957" w:rsidP="00A94957">
            <w:pPr>
              <w:spacing w:after="40" w:line="280" w:lineRule="atLeast"/>
              <w:rPr>
                <w:rFonts w:ascii="Verdana" w:hAnsi="Verdana"/>
                <w:i/>
                <w:color w:val="000000"/>
                <w:sz w:val="14"/>
                <w:szCs w:val="14"/>
              </w:rPr>
            </w:pPr>
            <w:r w:rsidRPr="000435BE">
              <w:rPr>
                <w:rFonts w:ascii="Verdana" w:hAnsi="Verdana"/>
                <w:i/>
                <w:color w:val="000000"/>
                <w:sz w:val="14"/>
                <w:szCs w:val="14"/>
              </w:rPr>
              <w:t>Source:</w:t>
            </w:r>
          </w:p>
        </w:tc>
        <w:tc>
          <w:tcPr>
            <w:tcW w:w="8364" w:type="dxa"/>
            <w:gridSpan w:val="6"/>
            <w:tcBorders>
              <w:left w:val="nil"/>
            </w:tcBorders>
            <w:shd w:val="clear" w:color="auto" w:fill="auto"/>
            <w:vAlign w:val="center"/>
          </w:tcPr>
          <w:p w14:paraId="3D15DF39" w14:textId="7E464BEB" w:rsidR="00A94957" w:rsidRPr="000435BE" w:rsidRDefault="00A94957" w:rsidP="00A94957">
            <w:pPr>
              <w:spacing w:after="40" w:line="280" w:lineRule="atLeast"/>
              <w:rPr>
                <w:rFonts w:ascii="Verdana" w:hAnsi="Verdana"/>
                <w:i/>
                <w:color w:val="000000"/>
                <w:sz w:val="14"/>
                <w:szCs w:val="14"/>
              </w:rPr>
            </w:pPr>
            <w:r w:rsidRPr="000435BE">
              <w:rPr>
                <w:rFonts w:ascii="Verdana" w:hAnsi="Verdana"/>
                <w:i/>
                <w:color w:val="000000"/>
                <w:sz w:val="14"/>
                <w:szCs w:val="14"/>
              </w:rPr>
              <w:t>etfSA.co.za / JSE / Profile Data (</w:t>
            </w:r>
            <w:r w:rsidR="006E70F6">
              <w:rPr>
                <w:rFonts w:ascii="Verdana" w:hAnsi="Verdana"/>
                <w:i/>
                <w:color w:val="000000"/>
                <w:sz w:val="14"/>
                <w:szCs w:val="14"/>
              </w:rPr>
              <w:t>31</w:t>
            </w:r>
            <w:r w:rsidRPr="000435BE">
              <w:rPr>
                <w:rFonts w:ascii="Verdana" w:hAnsi="Verdana"/>
                <w:i/>
                <w:color w:val="000000"/>
                <w:sz w:val="14"/>
                <w:szCs w:val="14"/>
              </w:rPr>
              <w:t>/</w:t>
            </w:r>
            <w:r w:rsidR="006E70F6">
              <w:rPr>
                <w:rFonts w:ascii="Verdana" w:hAnsi="Verdana"/>
                <w:i/>
                <w:color w:val="000000"/>
                <w:sz w:val="14"/>
                <w:szCs w:val="14"/>
              </w:rPr>
              <w:t>12</w:t>
            </w:r>
            <w:r w:rsidRPr="000435BE">
              <w:rPr>
                <w:rFonts w:ascii="Verdana" w:hAnsi="Verdana"/>
                <w:i/>
                <w:color w:val="000000"/>
                <w:sz w:val="14"/>
                <w:szCs w:val="14"/>
              </w:rPr>
              <w:t>/201</w:t>
            </w:r>
            <w:r>
              <w:rPr>
                <w:rFonts w:ascii="Verdana" w:hAnsi="Verdana"/>
                <w:i/>
                <w:color w:val="000000"/>
                <w:sz w:val="14"/>
                <w:szCs w:val="14"/>
              </w:rPr>
              <w:t>8</w:t>
            </w:r>
            <w:r w:rsidRPr="000435BE">
              <w:rPr>
                <w:rFonts w:ascii="Verdana" w:hAnsi="Verdana"/>
                <w:i/>
                <w:color w:val="000000"/>
                <w:sz w:val="14"/>
                <w:szCs w:val="14"/>
              </w:rPr>
              <w:t xml:space="preserve">). </w:t>
            </w:r>
          </w:p>
        </w:tc>
      </w:tr>
    </w:tbl>
    <w:p w14:paraId="2E596863" w14:textId="77777777" w:rsidR="0013147F" w:rsidRPr="00F56643" w:rsidRDefault="0013147F" w:rsidP="00FC62D1">
      <w:pPr>
        <w:spacing w:after="0" w:line="300" w:lineRule="atLeast"/>
        <w:jc w:val="both"/>
        <w:rPr>
          <w:rFonts w:ascii="Verdana" w:hAnsi="Verdana"/>
          <w:sz w:val="21"/>
          <w:szCs w:val="21"/>
        </w:rPr>
      </w:pPr>
    </w:p>
    <w:p w14:paraId="10CBA856" w14:textId="5BE272DC" w:rsidR="00792524" w:rsidRDefault="00792524" w:rsidP="00F00380">
      <w:pPr>
        <w:spacing w:after="0" w:line="320" w:lineRule="atLeast"/>
        <w:jc w:val="both"/>
        <w:rPr>
          <w:rFonts w:ascii="Verdana" w:hAnsi="Verdana"/>
          <w:b/>
          <w:sz w:val="21"/>
          <w:szCs w:val="21"/>
        </w:rPr>
      </w:pPr>
    </w:p>
    <w:p w14:paraId="2CC12BDC" w14:textId="77777777" w:rsidR="0074101D" w:rsidRDefault="0074101D" w:rsidP="0074101D">
      <w:pPr>
        <w:spacing w:after="0" w:line="360" w:lineRule="atLeast"/>
        <w:jc w:val="both"/>
        <w:rPr>
          <w:rFonts w:ascii="Verdana" w:hAnsi="Verdana"/>
          <w:sz w:val="21"/>
          <w:szCs w:val="21"/>
        </w:rPr>
      </w:pPr>
    </w:p>
    <w:p w14:paraId="09BC7363" w14:textId="5B969A1E" w:rsidR="0074101D" w:rsidRDefault="0074101D" w:rsidP="0074101D">
      <w:pPr>
        <w:spacing w:after="0" w:line="360" w:lineRule="atLeast"/>
        <w:jc w:val="both"/>
        <w:rPr>
          <w:rFonts w:ascii="Verdana" w:hAnsi="Verdana"/>
          <w:sz w:val="21"/>
          <w:szCs w:val="21"/>
        </w:rPr>
      </w:pPr>
      <w:r>
        <w:rPr>
          <w:rFonts w:ascii="Verdana" w:hAnsi="Verdana"/>
          <w:b/>
          <w:sz w:val="21"/>
          <w:szCs w:val="21"/>
        </w:rPr>
        <w:t>Absa Capital</w:t>
      </w:r>
      <w:r>
        <w:rPr>
          <w:rFonts w:ascii="Verdana" w:hAnsi="Verdana"/>
          <w:sz w:val="21"/>
          <w:szCs w:val="21"/>
        </w:rPr>
        <w:t xml:space="preserve"> – remains the largest issuer of ETPs in South Africa with a total of 23 products and a market capitalisation of R21 651,3 million.  This market dominance is, however, under threat as Absa’s market capitalisation has fallen from R36,4 billion in 2014 (46% of the total SA ETP industry), to R21,6 billion in 2018, 28% of the local industry.  </w:t>
      </w:r>
      <w:r w:rsidR="00417CC4">
        <w:rPr>
          <w:rFonts w:ascii="Verdana" w:hAnsi="Verdana"/>
          <w:sz w:val="21"/>
          <w:szCs w:val="21"/>
        </w:rPr>
        <w:t xml:space="preserve">Absa </w:t>
      </w:r>
      <w:r>
        <w:rPr>
          <w:rFonts w:ascii="Verdana" w:hAnsi="Verdana"/>
          <w:sz w:val="21"/>
          <w:szCs w:val="21"/>
        </w:rPr>
        <w:t>Commodity ETFs, which in 2014 had a market cap of R35,6 billion, ha</w:t>
      </w:r>
      <w:r w:rsidR="00417CC4">
        <w:rPr>
          <w:rFonts w:ascii="Verdana" w:hAnsi="Verdana"/>
          <w:sz w:val="21"/>
          <w:szCs w:val="21"/>
        </w:rPr>
        <w:t>ve</w:t>
      </w:r>
      <w:r>
        <w:rPr>
          <w:rFonts w:ascii="Verdana" w:hAnsi="Verdana"/>
          <w:sz w:val="21"/>
          <w:szCs w:val="21"/>
        </w:rPr>
        <w:t xml:space="preserve"> no</w:t>
      </w:r>
      <w:r w:rsidR="00DB6E1D">
        <w:rPr>
          <w:rFonts w:ascii="Verdana" w:hAnsi="Verdana"/>
          <w:sz w:val="21"/>
          <w:szCs w:val="21"/>
        </w:rPr>
        <w:t>w</w:t>
      </w:r>
      <w:r>
        <w:rPr>
          <w:rFonts w:ascii="Verdana" w:hAnsi="Verdana"/>
          <w:sz w:val="21"/>
          <w:szCs w:val="21"/>
        </w:rPr>
        <w:t xml:space="preserve"> fallen to R19,6 billion, a drop of 45%. </w:t>
      </w:r>
    </w:p>
    <w:p w14:paraId="1DA355FD" w14:textId="77777777" w:rsidR="0074101D" w:rsidRDefault="0074101D" w:rsidP="0074101D">
      <w:pPr>
        <w:spacing w:after="0" w:line="360" w:lineRule="atLeast"/>
        <w:jc w:val="both"/>
        <w:rPr>
          <w:rFonts w:ascii="Verdana" w:hAnsi="Verdana"/>
          <w:sz w:val="21"/>
          <w:szCs w:val="21"/>
        </w:rPr>
      </w:pPr>
    </w:p>
    <w:p w14:paraId="1E268728" w14:textId="77777777" w:rsidR="0074101D" w:rsidRDefault="0074101D" w:rsidP="0074101D">
      <w:pPr>
        <w:spacing w:after="0" w:line="360" w:lineRule="atLeast"/>
        <w:jc w:val="both"/>
        <w:rPr>
          <w:rFonts w:ascii="Verdana" w:hAnsi="Verdana"/>
          <w:sz w:val="21"/>
          <w:szCs w:val="21"/>
        </w:rPr>
      </w:pPr>
      <w:r>
        <w:rPr>
          <w:rFonts w:ascii="Verdana" w:hAnsi="Verdana"/>
          <w:sz w:val="21"/>
          <w:szCs w:val="21"/>
        </w:rPr>
        <w:t xml:space="preserve">Absa’s dependence on commodity ETFs has left it vulnerable and its future strategy will be watched with interest.  </w:t>
      </w:r>
    </w:p>
    <w:p w14:paraId="471BBE81" w14:textId="77777777" w:rsidR="0074101D" w:rsidRDefault="0074101D" w:rsidP="0074101D">
      <w:pPr>
        <w:spacing w:after="0" w:line="360" w:lineRule="atLeast"/>
        <w:jc w:val="both"/>
        <w:rPr>
          <w:rFonts w:ascii="Verdana" w:hAnsi="Verdana"/>
          <w:sz w:val="21"/>
          <w:szCs w:val="21"/>
        </w:rPr>
      </w:pPr>
    </w:p>
    <w:p w14:paraId="0E6844D1" w14:textId="3E202012" w:rsidR="0074101D" w:rsidRDefault="0074101D" w:rsidP="0074101D">
      <w:pPr>
        <w:spacing w:after="0" w:line="360" w:lineRule="atLeast"/>
        <w:jc w:val="both"/>
        <w:rPr>
          <w:rFonts w:ascii="Verdana" w:hAnsi="Verdana"/>
          <w:sz w:val="21"/>
          <w:szCs w:val="21"/>
        </w:rPr>
      </w:pPr>
      <w:r>
        <w:rPr>
          <w:rFonts w:ascii="Verdana" w:hAnsi="Verdana"/>
          <w:sz w:val="21"/>
          <w:szCs w:val="21"/>
        </w:rPr>
        <w:t xml:space="preserve">Last year, Absa launched two new ETFs, both smart beta single factor products in the SA equity market, tracking volatility and value indices respectively.  Smart beta has yet to establish itself in South Africa and these products generated limited interest amongst investors. </w:t>
      </w:r>
    </w:p>
    <w:p w14:paraId="195D5637" w14:textId="07FDC0B3" w:rsidR="0074101D" w:rsidRDefault="0074101D">
      <w:pPr>
        <w:rPr>
          <w:rFonts w:ascii="Verdana" w:hAnsi="Verdana"/>
          <w:b/>
          <w:sz w:val="21"/>
          <w:szCs w:val="21"/>
        </w:rPr>
      </w:pPr>
      <w:r>
        <w:rPr>
          <w:rFonts w:ascii="Verdana" w:hAnsi="Verdana"/>
          <w:b/>
          <w:sz w:val="21"/>
          <w:szCs w:val="21"/>
        </w:rPr>
        <w:br w:type="page"/>
      </w:r>
    </w:p>
    <w:p w14:paraId="2CD63EB6" w14:textId="77777777" w:rsidR="0074101D" w:rsidRDefault="0074101D" w:rsidP="00F00380">
      <w:pPr>
        <w:spacing w:after="0" w:line="320" w:lineRule="atLeast"/>
        <w:jc w:val="both"/>
        <w:rPr>
          <w:rFonts w:ascii="Verdana" w:hAnsi="Verdana"/>
          <w:b/>
          <w:sz w:val="21"/>
          <w:szCs w:val="21"/>
        </w:rPr>
      </w:pPr>
    </w:p>
    <w:p w14:paraId="0A24A4FC" w14:textId="057D3864" w:rsidR="002536F5" w:rsidRDefault="00AC5FC2" w:rsidP="00AC5FC2">
      <w:pPr>
        <w:spacing w:after="0" w:line="360" w:lineRule="atLeast"/>
        <w:jc w:val="both"/>
        <w:rPr>
          <w:rFonts w:ascii="Verdana" w:hAnsi="Verdana"/>
          <w:sz w:val="21"/>
          <w:szCs w:val="21"/>
        </w:rPr>
      </w:pPr>
      <w:r>
        <w:rPr>
          <w:rFonts w:ascii="Verdana" w:hAnsi="Verdana"/>
          <w:b/>
          <w:sz w:val="21"/>
          <w:szCs w:val="21"/>
        </w:rPr>
        <w:t>Sygnia Itrix</w:t>
      </w:r>
      <w:r w:rsidR="00A97831" w:rsidRPr="00F56643">
        <w:rPr>
          <w:rFonts w:ascii="Verdana" w:hAnsi="Verdana"/>
          <w:sz w:val="21"/>
          <w:szCs w:val="21"/>
        </w:rPr>
        <w:t xml:space="preserve"> </w:t>
      </w:r>
      <w:r w:rsidR="009F66FE">
        <w:rPr>
          <w:rFonts w:ascii="Verdana" w:hAnsi="Verdana"/>
          <w:sz w:val="21"/>
          <w:szCs w:val="21"/>
        </w:rPr>
        <w:t>–</w:t>
      </w:r>
      <w:r w:rsidR="002A6914">
        <w:rPr>
          <w:rFonts w:ascii="Verdana" w:hAnsi="Verdana"/>
          <w:sz w:val="21"/>
          <w:szCs w:val="21"/>
        </w:rPr>
        <w:t xml:space="preserve"> </w:t>
      </w:r>
      <w:r>
        <w:rPr>
          <w:rFonts w:ascii="Verdana" w:hAnsi="Verdana"/>
          <w:sz w:val="21"/>
          <w:szCs w:val="21"/>
        </w:rPr>
        <w:t xml:space="preserve">only entered the South African ETP industry in June 2017, when it purchased five offshore ETFs from Deutsche Bank.  Since then, it has added a further five ETFs to its stable and has overtaken Satrix as the second largest issuer of ETFs in South Africa.  </w:t>
      </w:r>
    </w:p>
    <w:p w14:paraId="35DD0507" w14:textId="3EA402C7" w:rsidR="002536F5" w:rsidRDefault="002536F5" w:rsidP="00792524">
      <w:pPr>
        <w:spacing w:after="0" w:line="360" w:lineRule="atLeast"/>
        <w:jc w:val="both"/>
        <w:rPr>
          <w:rFonts w:ascii="Verdana" w:hAnsi="Verdana"/>
          <w:sz w:val="21"/>
          <w:szCs w:val="21"/>
        </w:rPr>
      </w:pPr>
    </w:p>
    <w:p w14:paraId="350B60D0" w14:textId="77777777" w:rsidR="00AC5FC2" w:rsidRDefault="00AC5FC2" w:rsidP="00792524">
      <w:pPr>
        <w:spacing w:after="0" w:line="360" w:lineRule="atLeast"/>
        <w:jc w:val="both"/>
        <w:rPr>
          <w:rFonts w:ascii="Verdana" w:hAnsi="Verdana"/>
          <w:sz w:val="21"/>
          <w:szCs w:val="21"/>
        </w:rPr>
      </w:pPr>
    </w:p>
    <w:p w14:paraId="3B8F64D8" w14:textId="19E8092A" w:rsidR="00AC5FC2" w:rsidRDefault="00AE6B7A" w:rsidP="00792524">
      <w:pPr>
        <w:spacing w:after="0" w:line="360" w:lineRule="atLeast"/>
        <w:jc w:val="both"/>
        <w:rPr>
          <w:rFonts w:ascii="Verdana" w:hAnsi="Verdana"/>
          <w:sz w:val="21"/>
          <w:szCs w:val="21"/>
        </w:rPr>
      </w:pPr>
      <w:r>
        <w:rPr>
          <w:rFonts w:ascii="Verdana" w:hAnsi="Verdana"/>
          <w:b/>
          <w:sz w:val="21"/>
          <w:szCs w:val="21"/>
        </w:rPr>
        <w:t>S</w:t>
      </w:r>
      <w:r w:rsidR="00AC5FC2">
        <w:rPr>
          <w:rFonts w:ascii="Verdana" w:hAnsi="Verdana"/>
          <w:b/>
          <w:sz w:val="21"/>
          <w:szCs w:val="21"/>
        </w:rPr>
        <w:t>atrix Managers</w:t>
      </w:r>
      <w:r>
        <w:rPr>
          <w:rFonts w:ascii="Verdana" w:hAnsi="Verdana"/>
          <w:sz w:val="21"/>
          <w:szCs w:val="21"/>
        </w:rPr>
        <w:t xml:space="preserve"> </w:t>
      </w:r>
      <w:r w:rsidR="00AC5FC2">
        <w:rPr>
          <w:rFonts w:ascii="Verdana" w:hAnsi="Verdana"/>
          <w:sz w:val="21"/>
          <w:szCs w:val="21"/>
        </w:rPr>
        <w:t>–</w:t>
      </w:r>
      <w:r w:rsidR="002A6914">
        <w:rPr>
          <w:rFonts w:ascii="Verdana" w:hAnsi="Verdana"/>
          <w:sz w:val="21"/>
          <w:szCs w:val="21"/>
        </w:rPr>
        <w:t xml:space="preserve"> </w:t>
      </w:r>
      <w:r w:rsidR="00AC5FC2">
        <w:rPr>
          <w:rFonts w:ascii="Verdana" w:hAnsi="Verdana"/>
          <w:sz w:val="21"/>
          <w:szCs w:val="21"/>
        </w:rPr>
        <w:t>for many years the dominant ETF provider in South Africa, Satrix fell behind Absa, when the commodity products of Absa gained market acceptance and has now dropped below Sygnia Itrix as well</w:t>
      </w:r>
      <w:r w:rsidR="0050685E">
        <w:rPr>
          <w:rFonts w:ascii="Verdana" w:hAnsi="Verdana"/>
          <w:sz w:val="21"/>
          <w:szCs w:val="21"/>
        </w:rPr>
        <w:t xml:space="preserve"> in the market capitalisation ranking tables</w:t>
      </w:r>
      <w:r w:rsidR="00AC5FC2">
        <w:rPr>
          <w:rFonts w:ascii="Verdana" w:hAnsi="Verdana"/>
          <w:sz w:val="21"/>
          <w:szCs w:val="21"/>
        </w:rPr>
        <w:t xml:space="preserve">.  </w:t>
      </w:r>
    </w:p>
    <w:p w14:paraId="6A5425FE" w14:textId="77777777" w:rsidR="00AC5FC2" w:rsidRDefault="00AC5FC2" w:rsidP="00792524">
      <w:pPr>
        <w:spacing w:after="0" w:line="360" w:lineRule="atLeast"/>
        <w:jc w:val="both"/>
        <w:rPr>
          <w:rFonts w:ascii="Verdana" w:hAnsi="Verdana"/>
          <w:sz w:val="21"/>
          <w:szCs w:val="21"/>
        </w:rPr>
      </w:pPr>
    </w:p>
    <w:p w14:paraId="6C949014" w14:textId="242A302A" w:rsidR="00900106" w:rsidRDefault="00AC5FC2" w:rsidP="00792524">
      <w:pPr>
        <w:spacing w:after="0" w:line="360" w:lineRule="atLeast"/>
        <w:jc w:val="both"/>
        <w:rPr>
          <w:rFonts w:ascii="Verdana" w:hAnsi="Verdana"/>
          <w:sz w:val="21"/>
          <w:szCs w:val="21"/>
        </w:rPr>
      </w:pPr>
      <w:r>
        <w:rPr>
          <w:rFonts w:ascii="Verdana" w:hAnsi="Verdana"/>
          <w:sz w:val="21"/>
          <w:szCs w:val="21"/>
        </w:rPr>
        <w:t xml:space="preserve">Satrix continues to issue new ETF products, the Satrix Nasdaq 100 ETF and the Satrix Momentum ETF in 2018, and continues to be the most widely recognised passive </w:t>
      </w:r>
      <w:r w:rsidR="0050685E">
        <w:rPr>
          <w:rFonts w:ascii="Verdana" w:hAnsi="Verdana"/>
          <w:sz w:val="21"/>
          <w:szCs w:val="21"/>
        </w:rPr>
        <w:t xml:space="preserve">brand </w:t>
      </w:r>
      <w:r>
        <w:rPr>
          <w:rFonts w:ascii="Verdana" w:hAnsi="Verdana"/>
          <w:sz w:val="21"/>
          <w:szCs w:val="21"/>
        </w:rPr>
        <w:t xml:space="preserve">in the retail investment market in South Africa.  </w:t>
      </w:r>
    </w:p>
    <w:p w14:paraId="2DF21460" w14:textId="0EC32089" w:rsidR="00A00FDB" w:rsidRDefault="00A00FDB" w:rsidP="00792524">
      <w:pPr>
        <w:spacing w:after="0" w:line="360" w:lineRule="atLeast"/>
        <w:jc w:val="both"/>
        <w:rPr>
          <w:rFonts w:ascii="Verdana" w:hAnsi="Verdana"/>
          <w:sz w:val="21"/>
          <w:szCs w:val="21"/>
        </w:rPr>
      </w:pPr>
    </w:p>
    <w:p w14:paraId="6EC3CF08" w14:textId="77777777" w:rsidR="0074101D" w:rsidRDefault="0074101D" w:rsidP="00792524">
      <w:pPr>
        <w:spacing w:after="0" w:line="360" w:lineRule="atLeast"/>
        <w:jc w:val="both"/>
        <w:rPr>
          <w:rFonts w:ascii="Verdana" w:hAnsi="Verdana"/>
          <w:sz w:val="21"/>
          <w:szCs w:val="21"/>
        </w:rPr>
      </w:pPr>
    </w:p>
    <w:p w14:paraId="1E4A00B4" w14:textId="483EE9C5" w:rsidR="000F4D11" w:rsidRDefault="00AC5FC2" w:rsidP="00792524">
      <w:pPr>
        <w:spacing w:after="0" w:line="360" w:lineRule="atLeast"/>
        <w:jc w:val="both"/>
        <w:rPr>
          <w:rFonts w:ascii="Verdana" w:hAnsi="Verdana"/>
          <w:sz w:val="21"/>
          <w:szCs w:val="21"/>
        </w:rPr>
      </w:pPr>
      <w:r>
        <w:rPr>
          <w:rFonts w:ascii="Verdana" w:hAnsi="Verdana"/>
          <w:b/>
          <w:sz w:val="21"/>
          <w:szCs w:val="21"/>
        </w:rPr>
        <w:t>Standard Bank</w:t>
      </w:r>
      <w:r w:rsidR="00B010F5">
        <w:rPr>
          <w:rFonts w:ascii="Verdana" w:hAnsi="Verdana"/>
          <w:b/>
          <w:sz w:val="21"/>
          <w:szCs w:val="21"/>
        </w:rPr>
        <w:t xml:space="preserve"> </w:t>
      </w:r>
      <w:r w:rsidR="00B010F5">
        <w:rPr>
          <w:rFonts w:ascii="Verdana" w:hAnsi="Verdana"/>
          <w:sz w:val="21"/>
          <w:szCs w:val="21"/>
        </w:rPr>
        <w:t>–</w:t>
      </w:r>
      <w:r w:rsidR="00371A95">
        <w:rPr>
          <w:rFonts w:ascii="Verdana" w:hAnsi="Verdana"/>
          <w:sz w:val="21"/>
          <w:szCs w:val="21"/>
        </w:rPr>
        <w:t xml:space="preserve"> </w:t>
      </w:r>
      <w:r>
        <w:rPr>
          <w:rFonts w:ascii="Verdana" w:hAnsi="Verdana"/>
          <w:sz w:val="21"/>
          <w:szCs w:val="21"/>
        </w:rPr>
        <w:t>with four commodity ETFs under issue, it suffered, like Absa, from the sell-off in commodity ETFs by local investors.  Particularly curious is the Standard Bank Africa Rhodium ETF, which is a unique product, not available anywhere else in the world, and which has produced an investment return of 82% per annum</w:t>
      </w:r>
      <w:r w:rsidR="0074101D">
        <w:rPr>
          <w:rFonts w:ascii="Verdana" w:hAnsi="Verdana"/>
          <w:sz w:val="21"/>
          <w:szCs w:val="21"/>
        </w:rPr>
        <w:t xml:space="preserve"> for the past 2 years, but continues to suffer from investors cashing in their units.  The Rhodium ETF securities in issue dropped from 3 815 555 in December 2017, to 945 555 </w:t>
      </w:r>
      <w:r w:rsidR="00D53225">
        <w:rPr>
          <w:rFonts w:ascii="Verdana" w:hAnsi="Verdana"/>
          <w:sz w:val="21"/>
          <w:szCs w:val="21"/>
        </w:rPr>
        <w:t>securities</w:t>
      </w:r>
      <w:r w:rsidR="0074101D">
        <w:rPr>
          <w:rFonts w:ascii="Verdana" w:hAnsi="Verdana"/>
          <w:sz w:val="21"/>
          <w:szCs w:val="21"/>
        </w:rPr>
        <w:t xml:space="preserve"> in December 2018, a fall of 75%, despite providing an investment return of 64,6% for the year. </w:t>
      </w:r>
      <w:r>
        <w:rPr>
          <w:rFonts w:ascii="Verdana" w:hAnsi="Verdana"/>
          <w:sz w:val="21"/>
          <w:szCs w:val="21"/>
        </w:rPr>
        <w:t xml:space="preserve"> </w:t>
      </w:r>
    </w:p>
    <w:p w14:paraId="0D33520E" w14:textId="79CBE67D" w:rsidR="00A00FDB" w:rsidRDefault="00A00FDB" w:rsidP="00792524">
      <w:pPr>
        <w:spacing w:after="0" w:line="360" w:lineRule="atLeast"/>
        <w:jc w:val="both"/>
        <w:rPr>
          <w:rFonts w:ascii="Verdana" w:hAnsi="Verdana"/>
          <w:sz w:val="21"/>
          <w:szCs w:val="21"/>
        </w:rPr>
      </w:pPr>
    </w:p>
    <w:p w14:paraId="1E564771" w14:textId="6EFF819B" w:rsidR="0074101D" w:rsidRDefault="0074101D" w:rsidP="00792524">
      <w:pPr>
        <w:spacing w:after="0" w:line="360" w:lineRule="atLeast"/>
        <w:jc w:val="both"/>
        <w:rPr>
          <w:rFonts w:ascii="Verdana" w:hAnsi="Verdana"/>
          <w:sz w:val="21"/>
          <w:szCs w:val="21"/>
        </w:rPr>
      </w:pPr>
    </w:p>
    <w:p w14:paraId="5B1C030E" w14:textId="3D0CBCA8" w:rsidR="0074101D" w:rsidRDefault="0074101D" w:rsidP="00792524">
      <w:pPr>
        <w:spacing w:after="0" w:line="360" w:lineRule="atLeast"/>
        <w:jc w:val="both"/>
        <w:rPr>
          <w:rFonts w:ascii="Verdana" w:hAnsi="Verdana"/>
          <w:sz w:val="21"/>
          <w:szCs w:val="21"/>
        </w:rPr>
      </w:pPr>
      <w:r>
        <w:rPr>
          <w:rFonts w:ascii="Verdana" w:hAnsi="Verdana"/>
          <w:b/>
          <w:sz w:val="21"/>
          <w:szCs w:val="21"/>
        </w:rPr>
        <w:t>FirstRand</w:t>
      </w:r>
      <w:r w:rsidR="0050685E">
        <w:rPr>
          <w:rFonts w:ascii="Verdana" w:hAnsi="Verdana"/>
          <w:b/>
          <w:sz w:val="21"/>
          <w:szCs w:val="21"/>
        </w:rPr>
        <w:t xml:space="preserve"> (RMB)</w:t>
      </w:r>
      <w:r>
        <w:rPr>
          <w:rFonts w:ascii="Verdana" w:hAnsi="Verdana"/>
          <w:sz w:val="21"/>
          <w:szCs w:val="21"/>
        </w:rPr>
        <w:t xml:space="preserve"> – issued three ETFs under this b</w:t>
      </w:r>
      <w:r w:rsidR="0050685E">
        <w:rPr>
          <w:rFonts w:ascii="Verdana" w:hAnsi="Verdana"/>
          <w:sz w:val="21"/>
          <w:szCs w:val="21"/>
        </w:rPr>
        <w:t>r</w:t>
      </w:r>
      <w:r>
        <w:rPr>
          <w:rFonts w:ascii="Verdana" w:hAnsi="Verdana"/>
          <w:sz w:val="21"/>
          <w:szCs w:val="21"/>
        </w:rPr>
        <w:t>an</w:t>
      </w:r>
      <w:r w:rsidR="0050685E">
        <w:rPr>
          <w:rFonts w:ascii="Verdana" w:hAnsi="Verdana"/>
          <w:sz w:val="21"/>
          <w:szCs w:val="21"/>
        </w:rPr>
        <w:t>d</w:t>
      </w:r>
      <w:r>
        <w:rPr>
          <w:rFonts w:ascii="Verdana" w:hAnsi="Verdana"/>
          <w:sz w:val="21"/>
          <w:szCs w:val="21"/>
        </w:rPr>
        <w:t xml:space="preserve">, namely </w:t>
      </w:r>
      <w:r w:rsidR="000C2A04">
        <w:rPr>
          <w:rFonts w:ascii="Verdana" w:hAnsi="Verdana"/>
          <w:sz w:val="21"/>
          <w:szCs w:val="21"/>
        </w:rPr>
        <w:t>C</w:t>
      </w:r>
      <w:r>
        <w:rPr>
          <w:rFonts w:ascii="Verdana" w:hAnsi="Verdana"/>
          <w:sz w:val="21"/>
          <w:szCs w:val="21"/>
        </w:rPr>
        <w:t>ustodia</w:t>
      </w:r>
      <w:r w:rsidR="000C2A04">
        <w:rPr>
          <w:rFonts w:ascii="Verdana" w:hAnsi="Verdana"/>
          <w:sz w:val="21"/>
          <w:szCs w:val="21"/>
        </w:rPr>
        <w:t>l</w:t>
      </w:r>
      <w:r>
        <w:rPr>
          <w:rFonts w:ascii="Verdana" w:hAnsi="Verdana"/>
          <w:sz w:val="21"/>
          <w:szCs w:val="21"/>
        </w:rPr>
        <w:t xml:space="preserve"> </w:t>
      </w:r>
      <w:r w:rsidR="000C2A04">
        <w:rPr>
          <w:rFonts w:ascii="Verdana" w:hAnsi="Verdana"/>
          <w:sz w:val="21"/>
          <w:szCs w:val="21"/>
        </w:rPr>
        <w:t>C</w:t>
      </w:r>
      <w:r>
        <w:rPr>
          <w:rFonts w:ascii="Verdana" w:hAnsi="Verdana"/>
          <w:sz w:val="21"/>
          <w:szCs w:val="21"/>
        </w:rPr>
        <w:t xml:space="preserve">ertificates </w:t>
      </w:r>
      <w:r w:rsidR="000C2A04">
        <w:rPr>
          <w:rFonts w:ascii="Verdana" w:hAnsi="Verdana"/>
          <w:sz w:val="21"/>
          <w:szCs w:val="21"/>
        </w:rPr>
        <w:t xml:space="preserve">(CC) </w:t>
      </w:r>
      <w:r>
        <w:rPr>
          <w:rFonts w:ascii="Verdana" w:hAnsi="Verdana"/>
          <w:sz w:val="21"/>
          <w:szCs w:val="21"/>
        </w:rPr>
        <w:t xml:space="preserve">tracking the price of Krugerrands and dollar denominated bonds.  The Krugerrand CC ETF recorded a fall of 52 000 units (61% of the units </w:t>
      </w:r>
      <w:r w:rsidR="0050685E">
        <w:rPr>
          <w:rFonts w:ascii="Verdana" w:hAnsi="Verdana"/>
          <w:sz w:val="21"/>
          <w:szCs w:val="21"/>
        </w:rPr>
        <w:t>in</w:t>
      </w:r>
      <w:r>
        <w:rPr>
          <w:rFonts w:ascii="Verdana" w:hAnsi="Verdana"/>
          <w:sz w:val="21"/>
          <w:szCs w:val="21"/>
        </w:rPr>
        <w:t xml:space="preserve"> issue), with a value of R912 million in 2018, as investors cashed in their Krugerrand holdings.  </w:t>
      </w:r>
    </w:p>
    <w:p w14:paraId="1C8EF67F" w14:textId="33932CF2" w:rsidR="0074101D" w:rsidRDefault="0074101D" w:rsidP="00792524">
      <w:pPr>
        <w:spacing w:after="0" w:line="360" w:lineRule="atLeast"/>
        <w:jc w:val="both"/>
        <w:rPr>
          <w:rFonts w:ascii="Verdana" w:hAnsi="Verdana"/>
          <w:sz w:val="21"/>
          <w:szCs w:val="21"/>
        </w:rPr>
      </w:pPr>
    </w:p>
    <w:p w14:paraId="303017D8" w14:textId="10025F8B" w:rsidR="0074101D" w:rsidRDefault="0074101D" w:rsidP="00792524">
      <w:pPr>
        <w:spacing w:after="0" w:line="360" w:lineRule="atLeast"/>
        <w:jc w:val="both"/>
        <w:rPr>
          <w:rFonts w:ascii="Verdana" w:hAnsi="Verdana"/>
          <w:sz w:val="21"/>
          <w:szCs w:val="21"/>
        </w:rPr>
      </w:pPr>
      <w:r>
        <w:rPr>
          <w:rFonts w:ascii="Verdana" w:hAnsi="Verdana"/>
          <w:sz w:val="21"/>
          <w:szCs w:val="21"/>
        </w:rPr>
        <w:t>Ashburton, another branch in the First</w:t>
      </w:r>
      <w:r w:rsidR="0050685E">
        <w:rPr>
          <w:rFonts w:ascii="Verdana" w:hAnsi="Verdana"/>
          <w:sz w:val="21"/>
          <w:szCs w:val="21"/>
        </w:rPr>
        <w:t xml:space="preserve"> </w:t>
      </w:r>
      <w:r w:rsidR="003835A0">
        <w:rPr>
          <w:rFonts w:ascii="Verdana" w:hAnsi="Verdana"/>
          <w:sz w:val="21"/>
          <w:szCs w:val="21"/>
        </w:rPr>
        <w:t>National</w:t>
      </w:r>
      <w:r>
        <w:rPr>
          <w:rFonts w:ascii="Verdana" w:hAnsi="Verdana"/>
          <w:sz w:val="21"/>
          <w:szCs w:val="21"/>
        </w:rPr>
        <w:t xml:space="preserve"> Bank stable, has steadily established itself in the local ETF market and now has five ETF products in issue accounting for a market capitalis</w:t>
      </w:r>
      <w:r w:rsidR="00E742FD">
        <w:rPr>
          <w:rFonts w:ascii="Verdana" w:hAnsi="Verdana"/>
          <w:sz w:val="21"/>
          <w:szCs w:val="21"/>
        </w:rPr>
        <w:t>a</w:t>
      </w:r>
      <w:r>
        <w:rPr>
          <w:rFonts w:ascii="Verdana" w:hAnsi="Verdana"/>
          <w:sz w:val="21"/>
          <w:szCs w:val="21"/>
        </w:rPr>
        <w:t xml:space="preserve">tion of R1,183 million.  </w:t>
      </w:r>
    </w:p>
    <w:p w14:paraId="6656244C" w14:textId="11BB71BF" w:rsidR="0074101D" w:rsidRDefault="0074101D" w:rsidP="00792524">
      <w:pPr>
        <w:spacing w:after="0" w:line="360" w:lineRule="atLeast"/>
        <w:jc w:val="both"/>
        <w:rPr>
          <w:rFonts w:ascii="Verdana" w:hAnsi="Verdana"/>
          <w:sz w:val="21"/>
          <w:szCs w:val="21"/>
        </w:rPr>
      </w:pPr>
    </w:p>
    <w:p w14:paraId="57562E3C" w14:textId="77777777" w:rsidR="00E742FD" w:rsidRDefault="00E742FD" w:rsidP="00792524">
      <w:pPr>
        <w:spacing w:after="0" w:line="360" w:lineRule="atLeast"/>
        <w:jc w:val="both"/>
        <w:rPr>
          <w:rFonts w:ascii="Verdana" w:hAnsi="Verdana"/>
          <w:sz w:val="21"/>
          <w:szCs w:val="21"/>
        </w:rPr>
      </w:pPr>
    </w:p>
    <w:p w14:paraId="08955CD2" w14:textId="6F36426A" w:rsidR="00E742FD" w:rsidRPr="0074101D" w:rsidRDefault="00E742FD" w:rsidP="00792524">
      <w:pPr>
        <w:spacing w:after="0" w:line="360" w:lineRule="atLeast"/>
        <w:jc w:val="both"/>
        <w:rPr>
          <w:rFonts w:ascii="Verdana" w:hAnsi="Verdana"/>
          <w:sz w:val="21"/>
          <w:szCs w:val="21"/>
        </w:rPr>
      </w:pPr>
      <w:r>
        <w:rPr>
          <w:rFonts w:ascii="Verdana" w:hAnsi="Verdana"/>
          <w:sz w:val="21"/>
          <w:szCs w:val="21"/>
        </w:rPr>
        <w:t xml:space="preserve">The </w:t>
      </w:r>
      <w:r w:rsidRPr="00E742FD">
        <w:rPr>
          <w:rFonts w:ascii="Verdana" w:hAnsi="Verdana"/>
          <w:b/>
          <w:sz w:val="21"/>
          <w:szCs w:val="21"/>
        </w:rPr>
        <w:t>Stanlib</w:t>
      </w:r>
      <w:r>
        <w:rPr>
          <w:rFonts w:ascii="Verdana" w:hAnsi="Verdana"/>
          <w:sz w:val="21"/>
          <w:szCs w:val="21"/>
        </w:rPr>
        <w:t xml:space="preserve"> ETFs, managed under the Liberty Life asset management license, were particularly active in 2018.  Four new ETFs tracking global indices, were launched, including one of the first Global Government </w:t>
      </w:r>
      <w:r w:rsidR="000C2A04">
        <w:rPr>
          <w:rFonts w:ascii="Verdana" w:hAnsi="Verdana"/>
          <w:sz w:val="21"/>
          <w:szCs w:val="21"/>
        </w:rPr>
        <w:t xml:space="preserve">Bond </w:t>
      </w:r>
      <w:r>
        <w:rPr>
          <w:rFonts w:ascii="Verdana" w:hAnsi="Verdana"/>
          <w:sz w:val="21"/>
          <w:szCs w:val="21"/>
        </w:rPr>
        <w:t>based ETFs, listed on the JSE and the Stanlib S&amp;P Inf</w:t>
      </w:r>
      <w:r w:rsidR="000C2A04">
        <w:rPr>
          <w:rFonts w:ascii="Verdana" w:hAnsi="Verdana"/>
          <w:sz w:val="21"/>
          <w:szCs w:val="21"/>
        </w:rPr>
        <w:t>orma</w:t>
      </w:r>
      <w:r>
        <w:rPr>
          <w:rFonts w:ascii="Verdana" w:hAnsi="Verdana"/>
          <w:sz w:val="21"/>
          <w:szCs w:val="21"/>
        </w:rPr>
        <w:t xml:space="preserve">tion Technology ETF, which tracks only the IT companies </w:t>
      </w:r>
      <w:r w:rsidR="000C2A04">
        <w:rPr>
          <w:rFonts w:ascii="Verdana" w:hAnsi="Verdana"/>
          <w:sz w:val="21"/>
          <w:szCs w:val="21"/>
        </w:rPr>
        <w:t>i</w:t>
      </w:r>
      <w:r>
        <w:rPr>
          <w:rFonts w:ascii="Verdana" w:hAnsi="Verdana"/>
          <w:sz w:val="21"/>
          <w:szCs w:val="21"/>
        </w:rPr>
        <w:t xml:space="preserve">n the S&amp;P 500 </w:t>
      </w:r>
      <w:r w:rsidR="000C2A04">
        <w:rPr>
          <w:rFonts w:ascii="Verdana" w:hAnsi="Verdana"/>
          <w:sz w:val="21"/>
          <w:szCs w:val="21"/>
        </w:rPr>
        <w:t>index</w:t>
      </w:r>
      <w:r>
        <w:rPr>
          <w:rFonts w:ascii="Verdana" w:hAnsi="Verdana"/>
          <w:sz w:val="21"/>
          <w:szCs w:val="21"/>
        </w:rPr>
        <w:t xml:space="preserve">.  </w:t>
      </w:r>
    </w:p>
    <w:p w14:paraId="3A8F8D5D" w14:textId="2A33D23B" w:rsidR="00E742FD" w:rsidRDefault="00E742FD">
      <w:pPr>
        <w:rPr>
          <w:rFonts w:ascii="Verdana" w:hAnsi="Verdana"/>
          <w:sz w:val="21"/>
          <w:szCs w:val="21"/>
        </w:rPr>
      </w:pPr>
      <w:r>
        <w:rPr>
          <w:rFonts w:ascii="Verdana" w:hAnsi="Verdana"/>
          <w:sz w:val="21"/>
          <w:szCs w:val="21"/>
        </w:rPr>
        <w:br w:type="page"/>
      </w:r>
    </w:p>
    <w:p w14:paraId="2114F7D4" w14:textId="69CEDDC0" w:rsidR="0074101D" w:rsidRDefault="0074101D" w:rsidP="00792524">
      <w:pPr>
        <w:spacing w:after="0" w:line="360" w:lineRule="atLeast"/>
        <w:jc w:val="both"/>
        <w:rPr>
          <w:rFonts w:ascii="Verdana" w:hAnsi="Verdana"/>
          <w:sz w:val="21"/>
          <w:szCs w:val="21"/>
        </w:rPr>
      </w:pPr>
    </w:p>
    <w:p w14:paraId="401E0EE1" w14:textId="77777777" w:rsidR="0050685E" w:rsidRDefault="0050685E" w:rsidP="00792524">
      <w:pPr>
        <w:spacing w:after="0" w:line="360" w:lineRule="atLeast"/>
        <w:jc w:val="both"/>
        <w:rPr>
          <w:rFonts w:ascii="Verdana" w:hAnsi="Verdana"/>
          <w:sz w:val="21"/>
          <w:szCs w:val="21"/>
        </w:rPr>
      </w:pPr>
      <w:bookmarkStart w:id="0" w:name="_GoBack"/>
      <w:bookmarkEnd w:id="0"/>
    </w:p>
    <w:p w14:paraId="53637DDD" w14:textId="5DF5D0C6" w:rsidR="00E742FD" w:rsidRDefault="00E742FD" w:rsidP="00792524">
      <w:pPr>
        <w:spacing w:after="0" w:line="360" w:lineRule="atLeast"/>
        <w:jc w:val="both"/>
        <w:rPr>
          <w:rFonts w:ascii="Verdana" w:hAnsi="Verdana"/>
          <w:sz w:val="21"/>
          <w:szCs w:val="21"/>
        </w:rPr>
      </w:pPr>
      <w:r>
        <w:rPr>
          <w:rFonts w:ascii="Verdana" w:hAnsi="Verdana"/>
          <w:b/>
          <w:sz w:val="21"/>
          <w:szCs w:val="21"/>
        </w:rPr>
        <w:t>Union Bank of Switzerland</w:t>
      </w:r>
      <w:r>
        <w:rPr>
          <w:rFonts w:ascii="Verdana" w:hAnsi="Verdana"/>
          <w:sz w:val="21"/>
          <w:szCs w:val="21"/>
        </w:rPr>
        <w:t xml:space="preserve"> – UBS launched a programme of portfolio notes, t</w:t>
      </w:r>
      <w:r w:rsidR="0050685E">
        <w:rPr>
          <w:rFonts w:ascii="Verdana" w:hAnsi="Verdana"/>
          <w:sz w:val="21"/>
          <w:szCs w:val="21"/>
        </w:rPr>
        <w:t>r</w:t>
      </w:r>
      <w:r>
        <w:rPr>
          <w:rFonts w:ascii="Verdana" w:hAnsi="Verdana"/>
          <w:sz w:val="21"/>
          <w:szCs w:val="21"/>
        </w:rPr>
        <w:t xml:space="preserve">acking various global indices, under an Exchange Traded Note programme.  These </w:t>
      </w:r>
      <w:r w:rsidR="00D53225">
        <w:rPr>
          <w:rFonts w:ascii="Verdana" w:hAnsi="Verdana"/>
          <w:sz w:val="21"/>
          <w:szCs w:val="21"/>
        </w:rPr>
        <w:t>portfolios</w:t>
      </w:r>
      <w:r>
        <w:rPr>
          <w:rFonts w:ascii="Verdana" w:hAnsi="Verdana"/>
          <w:sz w:val="21"/>
          <w:szCs w:val="21"/>
        </w:rPr>
        <w:t xml:space="preserve"> are actively managed, under certain parameters and five such notes have no</w:t>
      </w:r>
      <w:r w:rsidR="0050685E">
        <w:rPr>
          <w:rFonts w:ascii="Verdana" w:hAnsi="Verdana"/>
          <w:sz w:val="21"/>
          <w:szCs w:val="21"/>
        </w:rPr>
        <w:t>w</w:t>
      </w:r>
      <w:r>
        <w:rPr>
          <w:rFonts w:ascii="Verdana" w:hAnsi="Verdana"/>
          <w:sz w:val="21"/>
          <w:szCs w:val="21"/>
        </w:rPr>
        <w:t xml:space="preserve"> been issued with Absa and Momentum as the asset managers.  </w:t>
      </w:r>
    </w:p>
    <w:p w14:paraId="17DA58A5" w14:textId="2E876365" w:rsidR="00E742FD" w:rsidRDefault="00E742FD" w:rsidP="00792524">
      <w:pPr>
        <w:spacing w:after="0" w:line="360" w:lineRule="atLeast"/>
        <w:jc w:val="both"/>
        <w:rPr>
          <w:rFonts w:ascii="Verdana" w:hAnsi="Verdana"/>
          <w:sz w:val="21"/>
          <w:szCs w:val="21"/>
        </w:rPr>
      </w:pPr>
    </w:p>
    <w:p w14:paraId="1AFCEF0A" w14:textId="4E02A8A7" w:rsidR="00E742FD" w:rsidRPr="00E742FD" w:rsidRDefault="00E742FD" w:rsidP="00792524">
      <w:pPr>
        <w:spacing w:after="0" w:line="360" w:lineRule="atLeast"/>
        <w:jc w:val="both"/>
        <w:rPr>
          <w:rFonts w:ascii="Verdana" w:hAnsi="Verdana"/>
          <w:sz w:val="21"/>
          <w:szCs w:val="21"/>
        </w:rPr>
      </w:pPr>
      <w:r>
        <w:rPr>
          <w:rFonts w:ascii="Verdana" w:hAnsi="Verdana"/>
          <w:sz w:val="21"/>
          <w:szCs w:val="21"/>
        </w:rPr>
        <w:t xml:space="preserve">Using the </w:t>
      </w:r>
      <w:r w:rsidR="0050685E">
        <w:rPr>
          <w:rFonts w:ascii="Verdana" w:hAnsi="Verdana"/>
          <w:sz w:val="21"/>
          <w:szCs w:val="21"/>
        </w:rPr>
        <w:t xml:space="preserve">JSE </w:t>
      </w:r>
      <w:r>
        <w:rPr>
          <w:rFonts w:ascii="Verdana" w:hAnsi="Verdana"/>
          <w:sz w:val="21"/>
          <w:szCs w:val="21"/>
        </w:rPr>
        <w:t xml:space="preserve">ETN listing requirements to provide actively managed </w:t>
      </w:r>
      <w:r w:rsidR="00D53225">
        <w:rPr>
          <w:rFonts w:ascii="Verdana" w:hAnsi="Verdana"/>
          <w:sz w:val="21"/>
          <w:szCs w:val="21"/>
        </w:rPr>
        <w:t>portfolios</w:t>
      </w:r>
      <w:r w:rsidR="0050685E">
        <w:rPr>
          <w:rFonts w:ascii="Verdana" w:hAnsi="Verdana"/>
          <w:sz w:val="21"/>
          <w:szCs w:val="21"/>
        </w:rPr>
        <w:t>,</w:t>
      </w:r>
      <w:r>
        <w:rPr>
          <w:rFonts w:ascii="Verdana" w:hAnsi="Verdana"/>
          <w:sz w:val="21"/>
          <w:szCs w:val="21"/>
        </w:rPr>
        <w:t xml:space="preserve"> listed on the</w:t>
      </w:r>
      <w:r w:rsidR="0050685E">
        <w:rPr>
          <w:rFonts w:ascii="Verdana" w:hAnsi="Verdana"/>
          <w:sz w:val="21"/>
          <w:szCs w:val="21"/>
        </w:rPr>
        <w:t xml:space="preserve"> exchange</w:t>
      </w:r>
      <w:r>
        <w:rPr>
          <w:rFonts w:ascii="Verdana" w:hAnsi="Verdana"/>
          <w:sz w:val="21"/>
          <w:szCs w:val="21"/>
        </w:rPr>
        <w:t xml:space="preserve">, is a fresh initiative, which could be pursued by other providers in due course. </w:t>
      </w:r>
    </w:p>
    <w:p w14:paraId="4EBFD19C" w14:textId="77777777" w:rsidR="000F4D11" w:rsidRDefault="000F4D11" w:rsidP="00792524">
      <w:pPr>
        <w:spacing w:after="0" w:line="360" w:lineRule="atLeast"/>
        <w:jc w:val="both"/>
        <w:rPr>
          <w:rFonts w:ascii="Verdana" w:hAnsi="Verdana"/>
          <w:sz w:val="21"/>
          <w:szCs w:val="21"/>
        </w:rPr>
      </w:pPr>
    </w:p>
    <w:p w14:paraId="14D402CC" w14:textId="49AB5D05" w:rsidR="00BD4AED" w:rsidRDefault="00BD4AED">
      <w:pPr>
        <w:rPr>
          <w:rFonts w:ascii="Verdana" w:hAnsi="Verdana"/>
          <w:sz w:val="21"/>
          <w:szCs w:val="21"/>
        </w:rPr>
      </w:pPr>
    </w:p>
    <w:p w14:paraId="4E1C72D7" w14:textId="346E7CC5" w:rsidR="00D53225" w:rsidRDefault="00D53225">
      <w:pPr>
        <w:rPr>
          <w:rFonts w:ascii="Verdana" w:hAnsi="Verdana"/>
          <w:sz w:val="21"/>
          <w:szCs w:val="21"/>
        </w:rPr>
      </w:pPr>
    </w:p>
    <w:p w14:paraId="0DB5632B" w14:textId="570CEF2D" w:rsidR="00D53225" w:rsidRDefault="00D53225">
      <w:pPr>
        <w:rPr>
          <w:rFonts w:ascii="Verdana" w:hAnsi="Verdana"/>
          <w:sz w:val="21"/>
          <w:szCs w:val="21"/>
        </w:rPr>
      </w:pPr>
    </w:p>
    <w:p w14:paraId="26406964" w14:textId="1017E537" w:rsidR="0050685E" w:rsidRDefault="0050685E">
      <w:pPr>
        <w:rPr>
          <w:rFonts w:ascii="Verdana" w:hAnsi="Verdana"/>
          <w:sz w:val="21"/>
          <w:szCs w:val="21"/>
        </w:rPr>
      </w:pPr>
    </w:p>
    <w:p w14:paraId="7FC1382F" w14:textId="32954EAC" w:rsidR="0050685E" w:rsidRDefault="0050685E">
      <w:pPr>
        <w:rPr>
          <w:rFonts w:ascii="Verdana" w:hAnsi="Verdana"/>
          <w:sz w:val="21"/>
          <w:szCs w:val="21"/>
        </w:rPr>
      </w:pPr>
    </w:p>
    <w:p w14:paraId="24F7F008" w14:textId="56C02AB0" w:rsidR="0050685E" w:rsidRDefault="0050685E">
      <w:pPr>
        <w:rPr>
          <w:rFonts w:ascii="Verdana" w:hAnsi="Verdana"/>
          <w:sz w:val="21"/>
          <w:szCs w:val="21"/>
        </w:rPr>
      </w:pPr>
    </w:p>
    <w:p w14:paraId="25327C3A" w14:textId="1CD49231" w:rsidR="0050685E" w:rsidRDefault="0050685E">
      <w:pPr>
        <w:rPr>
          <w:rFonts w:ascii="Verdana" w:hAnsi="Verdana"/>
          <w:sz w:val="21"/>
          <w:szCs w:val="21"/>
        </w:rPr>
      </w:pPr>
    </w:p>
    <w:p w14:paraId="21F92277" w14:textId="6DABFFB3" w:rsidR="0050685E" w:rsidRDefault="0050685E">
      <w:pPr>
        <w:rPr>
          <w:rFonts w:ascii="Verdana" w:hAnsi="Verdana"/>
          <w:sz w:val="21"/>
          <w:szCs w:val="21"/>
        </w:rPr>
      </w:pPr>
    </w:p>
    <w:p w14:paraId="7A7D7960" w14:textId="3AA641C0" w:rsidR="0050685E" w:rsidRDefault="0050685E">
      <w:pPr>
        <w:rPr>
          <w:rFonts w:ascii="Verdana" w:hAnsi="Verdana"/>
          <w:sz w:val="21"/>
          <w:szCs w:val="21"/>
        </w:rPr>
      </w:pPr>
    </w:p>
    <w:p w14:paraId="17352F8E" w14:textId="6E6E1507" w:rsidR="0050685E" w:rsidRDefault="0050685E">
      <w:pPr>
        <w:rPr>
          <w:rFonts w:ascii="Verdana" w:hAnsi="Verdana"/>
          <w:sz w:val="21"/>
          <w:szCs w:val="21"/>
        </w:rPr>
      </w:pPr>
    </w:p>
    <w:p w14:paraId="1029A176" w14:textId="2823DF58" w:rsidR="0050685E" w:rsidRDefault="0050685E">
      <w:pPr>
        <w:rPr>
          <w:rFonts w:ascii="Verdana" w:hAnsi="Verdana"/>
          <w:sz w:val="21"/>
          <w:szCs w:val="21"/>
        </w:rPr>
      </w:pPr>
    </w:p>
    <w:p w14:paraId="033C04A5" w14:textId="308AE0F8" w:rsidR="0050685E" w:rsidRDefault="0050685E">
      <w:pPr>
        <w:rPr>
          <w:rFonts w:ascii="Verdana" w:hAnsi="Verdana"/>
          <w:sz w:val="21"/>
          <w:szCs w:val="21"/>
        </w:rPr>
      </w:pPr>
    </w:p>
    <w:p w14:paraId="5AE55852" w14:textId="2B7A248C" w:rsidR="0050685E" w:rsidRDefault="0050685E">
      <w:pPr>
        <w:rPr>
          <w:rFonts w:ascii="Verdana" w:hAnsi="Verdana"/>
          <w:sz w:val="21"/>
          <w:szCs w:val="21"/>
        </w:rPr>
      </w:pPr>
    </w:p>
    <w:p w14:paraId="07D8D1C6" w14:textId="23F45446" w:rsidR="0050685E" w:rsidRDefault="0050685E">
      <w:pPr>
        <w:rPr>
          <w:rFonts w:ascii="Verdana" w:hAnsi="Verdana"/>
          <w:sz w:val="21"/>
          <w:szCs w:val="21"/>
        </w:rPr>
      </w:pPr>
    </w:p>
    <w:p w14:paraId="6F51D5DF" w14:textId="3186C10D" w:rsidR="0050685E" w:rsidRDefault="0050685E">
      <w:pPr>
        <w:rPr>
          <w:rFonts w:ascii="Verdana" w:hAnsi="Verdana"/>
          <w:sz w:val="21"/>
          <w:szCs w:val="21"/>
        </w:rPr>
      </w:pPr>
    </w:p>
    <w:p w14:paraId="19A8DF13" w14:textId="7E829D16" w:rsidR="0050685E" w:rsidRDefault="0050685E">
      <w:pPr>
        <w:rPr>
          <w:rFonts w:ascii="Verdana" w:hAnsi="Verdana"/>
          <w:sz w:val="21"/>
          <w:szCs w:val="21"/>
        </w:rPr>
      </w:pPr>
    </w:p>
    <w:p w14:paraId="73D1563E" w14:textId="40E66F1A" w:rsidR="0050685E" w:rsidRDefault="0050685E">
      <w:pPr>
        <w:rPr>
          <w:rFonts w:ascii="Verdana" w:hAnsi="Verdana"/>
          <w:sz w:val="21"/>
          <w:szCs w:val="21"/>
        </w:rPr>
      </w:pPr>
    </w:p>
    <w:p w14:paraId="6341058B" w14:textId="77777777" w:rsidR="0050685E" w:rsidRDefault="0050685E">
      <w:pPr>
        <w:rPr>
          <w:rFonts w:ascii="Verdana" w:hAnsi="Verdana"/>
          <w:sz w:val="21"/>
          <w:szCs w:val="21"/>
        </w:rPr>
      </w:pPr>
    </w:p>
    <w:p w14:paraId="3F894F74" w14:textId="77777777" w:rsidR="001169ED" w:rsidRDefault="001169ED" w:rsidP="00A572A0">
      <w:pPr>
        <w:spacing w:after="0" w:line="320" w:lineRule="atLeast"/>
        <w:jc w:val="both"/>
        <w:rPr>
          <w:rFonts w:ascii="Verdana" w:hAnsi="Verdana"/>
          <w:color w:val="000000"/>
          <w:sz w:val="21"/>
          <w:szCs w:val="21"/>
        </w:rPr>
      </w:pPr>
    </w:p>
    <w:p w14:paraId="348057A5" w14:textId="77777777" w:rsidR="00C6212D" w:rsidRPr="0019419C" w:rsidRDefault="00C6212D" w:rsidP="00C6212D">
      <w:pPr>
        <w:pBdr>
          <w:top w:val="single" w:sz="4" w:space="1" w:color="auto"/>
        </w:pBdr>
        <w:spacing w:after="0" w:line="240" w:lineRule="auto"/>
        <w:ind w:right="567"/>
        <w:rPr>
          <w:sz w:val="14"/>
          <w:szCs w:val="14"/>
          <w:lang w:eastAsia="en-ZA"/>
        </w:rPr>
      </w:pPr>
      <w:r w:rsidRPr="0019419C">
        <w:rPr>
          <w:rFonts w:ascii="Arial" w:hAnsi="Arial"/>
          <w:b/>
          <w:i/>
          <w:color w:val="0F0D35"/>
          <w:sz w:val="14"/>
          <w:szCs w:val="14"/>
        </w:rPr>
        <w:t xml:space="preserve">Disclaimer: </w:t>
      </w:r>
      <w:r w:rsidRPr="0019419C">
        <w:rPr>
          <w:rFonts w:ascii="Arial" w:hAnsi="Arial"/>
          <w:color w:val="000000"/>
          <w:sz w:val="14"/>
          <w:szCs w:val="14"/>
          <w:shd w:val="clear" w:color="auto" w:fill="FFFFFF"/>
          <w:lang w:eastAsia="en-ZA"/>
        </w:rPr>
        <w:t>The Exchange Traded Products (ETPs) contained herein are mainly Collective Investment Schemes in Securities (CIS) and other listed securities which are generally medium to long-term investments that contain elements of risk and can be affected by market values, interest rates, exchange rates, volatility, dividend yields and issuer credit ratings. ETPs are listed on the Johannesburg, or other Stock Exchanges, and trade at ruling prices on such Exchanges.</w:t>
      </w:r>
    </w:p>
    <w:p w14:paraId="3AAF1E99" w14:textId="77777777" w:rsidR="00C6212D" w:rsidRPr="0019419C" w:rsidRDefault="00C6212D" w:rsidP="00C6212D">
      <w:pPr>
        <w:pBdr>
          <w:bottom w:val="single" w:sz="4" w:space="1" w:color="auto"/>
        </w:pBdr>
        <w:shd w:val="clear" w:color="auto" w:fill="FFFFFF"/>
        <w:spacing w:after="0" w:line="240" w:lineRule="auto"/>
        <w:ind w:right="567"/>
        <w:jc w:val="both"/>
        <w:rPr>
          <w:rFonts w:ascii="Arial" w:hAnsi="Arial"/>
          <w:color w:val="000000"/>
          <w:sz w:val="14"/>
          <w:szCs w:val="14"/>
          <w:lang w:eastAsia="en-ZA"/>
        </w:rPr>
      </w:pPr>
      <w:r w:rsidRPr="0019419C">
        <w:rPr>
          <w:rFonts w:ascii="Arial" w:hAnsi="Arial"/>
          <w:color w:val="000000"/>
          <w:sz w:val="14"/>
          <w:szCs w:val="14"/>
          <w:lang w:eastAsia="en-ZA"/>
        </w:rPr>
        <w:t>The price of ETPs can go up as well as down and past performance is not necessarily a guide to the future. The ETP's herein are listed on the Johannesburg Stock Exchange Limited and trading in ETP securities will incur trading and settlement costs. ETF securities are traded at ruling prices and can engage in scrip lending.</w:t>
      </w:r>
    </w:p>
    <w:p w14:paraId="6B359C43" w14:textId="77777777" w:rsidR="00C6212D" w:rsidRPr="0019419C" w:rsidRDefault="00C6212D" w:rsidP="00C6212D">
      <w:pPr>
        <w:pBdr>
          <w:bottom w:val="single" w:sz="4" w:space="1" w:color="auto"/>
        </w:pBdr>
        <w:shd w:val="clear" w:color="auto" w:fill="FFFFFF"/>
        <w:spacing w:after="0" w:line="240" w:lineRule="auto"/>
        <w:ind w:right="567"/>
        <w:jc w:val="both"/>
        <w:rPr>
          <w:rFonts w:ascii="Arial" w:hAnsi="Arial"/>
          <w:color w:val="000000"/>
          <w:sz w:val="14"/>
          <w:szCs w:val="14"/>
          <w:lang w:eastAsia="en-ZA"/>
        </w:rPr>
      </w:pPr>
      <w:r w:rsidRPr="0019419C">
        <w:rPr>
          <w:rFonts w:ascii="Arial" w:hAnsi="Arial"/>
          <w:color w:val="000000"/>
          <w:sz w:val="14"/>
          <w:szCs w:val="14"/>
          <w:lang w:eastAsia="en-ZA"/>
        </w:rPr>
        <w:t>The information and opinions provided herein are of a general nature and do not constitute investment advice. Whilst every care has been taken, no representation, warranty or undertaking, expressed or implied, is given as to the accuracy or completeness thereof.</w:t>
      </w:r>
    </w:p>
    <w:p w14:paraId="02B89787" w14:textId="77777777" w:rsidR="00C6212D" w:rsidRPr="0019419C" w:rsidRDefault="00C6212D" w:rsidP="00C6212D">
      <w:pPr>
        <w:pBdr>
          <w:bottom w:val="single" w:sz="4" w:space="1" w:color="auto"/>
        </w:pBdr>
        <w:shd w:val="clear" w:color="auto" w:fill="FFFFFF"/>
        <w:spacing w:after="0" w:line="240" w:lineRule="auto"/>
        <w:ind w:right="567"/>
        <w:jc w:val="both"/>
        <w:rPr>
          <w:rFonts w:ascii="Arial" w:hAnsi="Arial"/>
          <w:color w:val="000000"/>
          <w:sz w:val="14"/>
          <w:szCs w:val="14"/>
          <w:lang w:eastAsia="en-ZA"/>
        </w:rPr>
      </w:pPr>
      <w:r w:rsidRPr="0019419C">
        <w:rPr>
          <w:rFonts w:ascii="Arial" w:hAnsi="Arial"/>
          <w:color w:val="000000"/>
          <w:sz w:val="14"/>
          <w:szCs w:val="14"/>
          <w:lang w:eastAsia="en-ZA"/>
        </w:rPr>
        <w:t>etfSA.co.za is managed by M F Brown, who is a registered financial services provider (FSP No. 39217). M F Brown has Professional Indemnity Insurance as required by FAIS. The etfSA Investment Services Company (Pty) Ltd (FSP No 40107) provides asset management as well as financial intermediary and advice services. It uses Exchange Traded Products to construct portfolios for use in Retirement Annuity, Tax Free and Discretionary investments. It holds Professional Indemnity insurance and Fidelity Guarantee insurance as required by FAIS.</w:t>
      </w:r>
    </w:p>
    <w:p w14:paraId="7E99B9C8" w14:textId="77777777" w:rsidR="00C6212D" w:rsidRPr="0019419C" w:rsidRDefault="00C6212D" w:rsidP="00C6212D">
      <w:pPr>
        <w:pBdr>
          <w:bottom w:val="single" w:sz="4" w:space="1" w:color="auto"/>
        </w:pBdr>
        <w:shd w:val="clear" w:color="auto" w:fill="FFFFFF"/>
        <w:spacing w:after="0" w:line="240" w:lineRule="auto"/>
        <w:ind w:right="567"/>
        <w:jc w:val="both"/>
        <w:rPr>
          <w:rFonts w:ascii="Arial" w:hAnsi="Arial"/>
          <w:color w:val="000000"/>
          <w:sz w:val="14"/>
          <w:szCs w:val="14"/>
          <w:lang w:eastAsia="en-ZA"/>
        </w:rPr>
      </w:pPr>
      <w:r w:rsidRPr="0019419C">
        <w:rPr>
          <w:rFonts w:ascii="Arial" w:hAnsi="Arial"/>
          <w:color w:val="000000"/>
          <w:sz w:val="14"/>
          <w:szCs w:val="14"/>
          <w:lang w:eastAsia="en-ZA"/>
        </w:rPr>
        <w:t>All opinions and information on this website may be changed at any time without notice. Redistribution, reproduction, the resale or transmission to any third party of the contents of this website, whether by email, newsletter, internet or website, is only possible with the written permission of etfSA. etfSA.co.za, its sponsors, administrators, contributors and product providers disclaim any liability for any loss, damage, or expense that might occur from the use of or reliance on the data and services provided through this website. etfSA.co.za® and etfSA The Home of Exchange Traded Funds® are registered trademarks in the Republic of South Africa.</w:t>
      </w:r>
    </w:p>
    <w:sectPr w:rsidR="00C6212D" w:rsidRPr="0019419C" w:rsidSect="00A572A0">
      <w:footerReference w:type="default" r:id="rId9"/>
      <w:pgSz w:w="11906" w:h="16838" w:code="9"/>
      <w:pgMar w:top="851" w:right="851" w:bottom="567"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76B43" w14:textId="77777777" w:rsidR="0074101D" w:rsidRDefault="0074101D" w:rsidP="001860C2">
      <w:pPr>
        <w:spacing w:after="0" w:line="240" w:lineRule="auto"/>
      </w:pPr>
      <w:r>
        <w:separator/>
      </w:r>
    </w:p>
  </w:endnote>
  <w:endnote w:type="continuationSeparator" w:id="0">
    <w:p w14:paraId="02F2D7FE" w14:textId="77777777" w:rsidR="0074101D" w:rsidRDefault="0074101D" w:rsidP="00186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8959353"/>
      <w:docPartObj>
        <w:docPartGallery w:val="Page Numbers (Bottom of Page)"/>
        <w:docPartUnique/>
      </w:docPartObj>
    </w:sdtPr>
    <w:sdtEndPr>
      <w:rPr>
        <w:rFonts w:ascii="Verdana" w:hAnsi="Verdana"/>
        <w:noProof/>
        <w:sz w:val="18"/>
        <w:szCs w:val="18"/>
      </w:rPr>
    </w:sdtEndPr>
    <w:sdtContent>
      <w:p w14:paraId="72DBEA49" w14:textId="73AF9B02" w:rsidR="0074101D" w:rsidRPr="001860C2" w:rsidRDefault="0074101D" w:rsidP="001860C2">
        <w:pPr>
          <w:pStyle w:val="Footer"/>
          <w:jc w:val="center"/>
          <w:rPr>
            <w:rFonts w:ascii="Verdana" w:hAnsi="Verdana"/>
            <w:sz w:val="18"/>
            <w:szCs w:val="18"/>
          </w:rPr>
        </w:pPr>
        <w:r w:rsidRPr="001860C2">
          <w:rPr>
            <w:rFonts w:ascii="Verdana" w:hAnsi="Verdana"/>
            <w:sz w:val="18"/>
            <w:szCs w:val="18"/>
          </w:rPr>
          <w:fldChar w:fldCharType="begin"/>
        </w:r>
        <w:r w:rsidRPr="001860C2">
          <w:rPr>
            <w:rFonts w:ascii="Verdana" w:hAnsi="Verdana"/>
            <w:sz w:val="18"/>
            <w:szCs w:val="18"/>
          </w:rPr>
          <w:instrText xml:space="preserve"> PAGE   \* MERGEFORMAT </w:instrText>
        </w:r>
        <w:r w:rsidRPr="001860C2">
          <w:rPr>
            <w:rFonts w:ascii="Verdana" w:hAnsi="Verdana"/>
            <w:sz w:val="18"/>
            <w:szCs w:val="18"/>
          </w:rPr>
          <w:fldChar w:fldCharType="separate"/>
        </w:r>
        <w:r>
          <w:rPr>
            <w:rFonts w:ascii="Verdana" w:hAnsi="Verdana"/>
            <w:noProof/>
            <w:sz w:val="18"/>
            <w:szCs w:val="18"/>
          </w:rPr>
          <w:t>3</w:t>
        </w:r>
        <w:r w:rsidRPr="001860C2">
          <w:rPr>
            <w:rFonts w:ascii="Verdana" w:hAnsi="Verdana"/>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063265" w14:textId="77777777" w:rsidR="0074101D" w:rsidRDefault="0074101D" w:rsidP="001860C2">
      <w:pPr>
        <w:spacing w:after="0" w:line="240" w:lineRule="auto"/>
      </w:pPr>
      <w:r>
        <w:separator/>
      </w:r>
    </w:p>
  </w:footnote>
  <w:footnote w:type="continuationSeparator" w:id="0">
    <w:p w14:paraId="444FB782" w14:textId="77777777" w:rsidR="0074101D" w:rsidRDefault="0074101D" w:rsidP="001860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D651D"/>
    <w:multiLevelType w:val="hybridMultilevel"/>
    <w:tmpl w:val="950467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1234321"/>
    <w:multiLevelType w:val="hybridMultilevel"/>
    <w:tmpl w:val="2A1607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F5E1355"/>
    <w:multiLevelType w:val="hybridMultilevel"/>
    <w:tmpl w:val="888E11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29D1321"/>
    <w:multiLevelType w:val="hybridMultilevel"/>
    <w:tmpl w:val="FDD09F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40D369B"/>
    <w:multiLevelType w:val="hybridMultilevel"/>
    <w:tmpl w:val="401834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3D94606"/>
    <w:multiLevelType w:val="hybridMultilevel"/>
    <w:tmpl w:val="1C347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CD962CA"/>
    <w:multiLevelType w:val="hybridMultilevel"/>
    <w:tmpl w:val="855A38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7BC0492"/>
    <w:multiLevelType w:val="hybridMultilevel"/>
    <w:tmpl w:val="0050554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3"/>
  </w:num>
  <w:num w:numId="5">
    <w:abstractNumId w:val="1"/>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637"/>
    <w:rsid w:val="000144B3"/>
    <w:rsid w:val="00034E06"/>
    <w:rsid w:val="00042250"/>
    <w:rsid w:val="000435BE"/>
    <w:rsid w:val="0005247E"/>
    <w:rsid w:val="00063719"/>
    <w:rsid w:val="00064D86"/>
    <w:rsid w:val="00065FC4"/>
    <w:rsid w:val="00072FB5"/>
    <w:rsid w:val="00083E17"/>
    <w:rsid w:val="00086ECE"/>
    <w:rsid w:val="000B189D"/>
    <w:rsid w:val="000C2A04"/>
    <w:rsid w:val="000D0FF5"/>
    <w:rsid w:val="000F1A9D"/>
    <w:rsid w:val="000F2E19"/>
    <w:rsid w:val="000F4D11"/>
    <w:rsid w:val="000F676D"/>
    <w:rsid w:val="001011BA"/>
    <w:rsid w:val="00112914"/>
    <w:rsid w:val="001149F4"/>
    <w:rsid w:val="001169ED"/>
    <w:rsid w:val="0013147F"/>
    <w:rsid w:val="0016524A"/>
    <w:rsid w:val="00175BD4"/>
    <w:rsid w:val="001860C2"/>
    <w:rsid w:val="0019419C"/>
    <w:rsid w:val="001976A7"/>
    <w:rsid w:val="001A440E"/>
    <w:rsid w:val="001A6952"/>
    <w:rsid w:val="001B0CAA"/>
    <w:rsid w:val="001C426E"/>
    <w:rsid w:val="001C48EF"/>
    <w:rsid w:val="001F12A9"/>
    <w:rsid w:val="001F6BD9"/>
    <w:rsid w:val="00211E65"/>
    <w:rsid w:val="00214624"/>
    <w:rsid w:val="00215EC5"/>
    <w:rsid w:val="00240106"/>
    <w:rsid w:val="0024764F"/>
    <w:rsid w:val="002536F5"/>
    <w:rsid w:val="00260037"/>
    <w:rsid w:val="00267A62"/>
    <w:rsid w:val="00270178"/>
    <w:rsid w:val="00271472"/>
    <w:rsid w:val="002821C1"/>
    <w:rsid w:val="00283442"/>
    <w:rsid w:val="00287580"/>
    <w:rsid w:val="002A4EC3"/>
    <w:rsid w:val="002A6914"/>
    <w:rsid w:val="002D4D18"/>
    <w:rsid w:val="002E6A24"/>
    <w:rsid w:val="00321934"/>
    <w:rsid w:val="00337675"/>
    <w:rsid w:val="00340ED3"/>
    <w:rsid w:val="00345103"/>
    <w:rsid w:val="00356055"/>
    <w:rsid w:val="00371A95"/>
    <w:rsid w:val="00380C83"/>
    <w:rsid w:val="00382ADA"/>
    <w:rsid w:val="003835A0"/>
    <w:rsid w:val="00383630"/>
    <w:rsid w:val="003935AB"/>
    <w:rsid w:val="00394359"/>
    <w:rsid w:val="003A0D8D"/>
    <w:rsid w:val="003A29FB"/>
    <w:rsid w:val="003A3D19"/>
    <w:rsid w:val="003A6075"/>
    <w:rsid w:val="003B10C9"/>
    <w:rsid w:val="003B4F95"/>
    <w:rsid w:val="003C36D7"/>
    <w:rsid w:val="003C700A"/>
    <w:rsid w:val="003D13C9"/>
    <w:rsid w:val="003D5B90"/>
    <w:rsid w:val="003E41CF"/>
    <w:rsid w:val="003F7712"/>
    <w:rsid w:val="0040423E"/>
    <w:rsid w:val="00417CC4"/>
    <w:rsid w:val="00434DA5"/>
    <w:rsid w:val="00441724"/>
    <w:rsid w:val="00451766"/>
    <w:rsid w:val="00486A17"/>
    <w:rsid w:val="004A1759"/>
    <w:rsid w:val="004B0713"/>
    <w:rsid w:val="004C60DA"/>
    <w:rsid w:val="004D1524"/>
    <w:rsid w:val="004E2922"/>
    <w:rsid w:val="004F0766"/>
    <w:rsid w:val="0050685E"/>
    <w:rsid w:val="00511FB5"/>
    <w:rsid w:val="005135D4"/>
    <w:rsid w:val="005248F6"/>
    <w:rsid w:val="005355B2"/>
    <w:rsid w:val="00561C75"/>
    <w:rsid w:val="00574800"/>
    <w:rsid w:val="00587E90"/>
    <w:rsid w:val="005923A8"/>
    <w:rsid w:val="005A77A2"/>
    <w:rsid w:val="005D7F9E"/>
    <w:rsid w:val="005E6456"/>
    <w:rsid w:val="005F3B27"/>
    <w:rsid w:val="00606273"/>
    <w:rsid w:val="00607890"/>
    <w:rsid w:val="00610270"/>
    <w:rsid w:val="006124A0"/>
    <w:rsid w:val="0062560E"/>
    <w:rsid w:val="00634A9D"/>
    <w:rsid w:val="00650F13"/>
    <w:rsid w:val="00653EAC"/>
    <w:rsid w:val="006557AA"/>
    <w:rsid w:val="00665208"/>
    <w:rsid w:val="00665C94"/>
    <w:rsid w:val="00667B94"/>
    <w:rsid w:val="00670E82"/>
    <w:rsid w:val="00690162"/>
    <w:rsid w:val="006924BC"/>
    <w:rsid w:val="006A0C56"/>
    <w:rsid w:val="006A24D6"/>
    <w:rsid w:val="006A6635"/>
    <w:rsid w:val="006B620E"/>
    <w:rsid w:val="006D3930"/>
    <w:rsid w:val="006E70F6"/>
    <w:rsid w:val="00705212"/>
    <w:rsid w:val="00727AC5"/>
    <w:rsid w:val="00737776"/>
    <w:rsid w:val="0074101D"/>
    <w:rsid w:val="0075135D"/>
    <w:rsid w:val="007617B4"/>
    <w:rsid w:val="00761DC1"/>
    <w:rsid w:val="00774D53"/>
    <w:rsid w:val="0078694D"/>
    <w:rsid w:val="00792524"/>
    <w:rsid w:val="007B1D8E"/>
    <w:rsid w:val="007B3F08"/>
    <w:rsid w:val="007C2AC1"/>
    <w:rsid w:val="007D1C48"/>
    <w:rsid w:val="007D3765"/>
    <w:rsid w:val="007F2E9B"/>
    <w:rsid w:val="007F4718"/>
    <w:rsid w:val="007F5E1E"/>
    <w:rsid w:val="008033A1"/>
    <w:rsid w:val="00810312"/>
    <w:rsid w:val="0082551A"/>
    <w:rsid w:val="00831695"/>
    <w:rsid w:val="00834896"/>
    <w:rsid w:val="008678CF"/>
    <w:rsid w:val="00870751"/>
    <w:rsid w:val="008723C3"/>
    <w:rsid w:val="00873A85"/>
    <w:rsid w:val="00874BC3"/>
    <w:rsid w:val="008767CE"/>
    <w:rsid w:val="008927A0"/>
    <w:rsid w:val="008A7891"/>
    <w:rsid w:val="008B14A6"/>
    <w:rsid w:val="008B1AB4"/>
    <w:rsid w:val="008B4F73"/>
    <w:rsid w:val="008C19C4"/>
    <w:rsid w:val="008D5DE6"/>
    <w:rsid w:val="008F5B96"/>
    <w:rsid w:val="00900106"/>
    <w:rsid w:val="00900795"/>
    <w:rsid w:val="00902C9D"/>
    <w:rsid w:val="00912273"/>
    <w:rsid w:val="0092766E"/>
    <w:rsid w:val="00933922"/>
    <w:rsid w:val="00935C75"/>
    <w:rsid w:val="00967F07"/>
    <w:rsid w:val="00976701"/>
    <w:rsid w:val="00976971"/>
    <w:rsid w:val="00990E6C"/>
    <w:rsid w:val="009A0517"/>
    <w:rsid w:val="009C3FDD"/>
    <w:rsid w:val="009D06A1"/>
    <w:rsid w:val="009D1D25"/>
    <w:rsid w:val="009D539F"/>
    <w:rsid w:val="009E4AA6"/>
    <w:rsid w:val="009F598B"/>
    <w:rsid w:val="009F66FE"/>
    <w:rsid w:val="009F7261"/>
    <w:rsid w:val="00A00FDB"/>
    <w:rsid w:val="00A018BA"/>
    <w:rsid w:val="00A01E0B"/>
    <w:rsid w:val="00A06583"/>
    <w:rsid w:val="00A30C9E"/>
    <w:rsid w:val="00A32F36"/>
    <w:rsid w:val="00A572A0"/>
    <w:rsid w:val="00A836BC"/>
    <w:rsid w:val="00A933CB"/>
    <w:rsid w:val="00A94957"/>
    <w:rsid w:val="00A95B1E"/>
    <w:rsid w:val="00A96CC9"/>
    <w:rsid w:val="00A97831"/>
    <w:rsid w:val="00AA2591"/>
    <w:rsid w:val="00AB5637"/>
    <w:rsid w:val="00AB659F"/>
    <w:rsid w:val="00AC5A30"/>
    <w:rsid w:val="00AC5FC2"/>
    <w:rsid w:val="00AC615B"/>
    <w:rsid w:val="00AD0CE4"/>
    <w:rsid w:val="00AE2E69"/>
    <w:rsid w:val="00AE3A0B"/>
    <w:rsid w:val="00AE6B7A"/>
    <w:rsid w:val="00B010F5"/>
    <w:rsid w:val="00B0556F"/>
    <w:rsid w:val="00B11DFE"/>
    <w:rsid w:val="00B15601"/>
    <w:rsid w:val="00B228FA"/>
    <w:rsid w:val="00B352AB"/>
    <w:rsid w:val="00B43C70"/>
    <w:rsid w:val="00B5062D"/>
    <w:rsid w:val="00B53321"/>
    <w:rsid w:val="00B539B4"/>
    <w:rsid w:val="00B544F8"/>
    <w:rsid w:val="00B6448D"/>
    <w:rsid w:val="00B65933"/>
    <w:rsid w:val="00B7153C"/>
    <w:rsid w:val="00B80B89"/>
    <w:rsid w:val="00B822A3"/>
    <w:rsid w:val="00B84B3B"/>
    <w:rsid w:val="00BA3DC2"/>
    <w:rsid w:val="00BB3618"/>
    <w:rsid w:val="00BC4EB7"/>
    <w:rsid w:val="00BC6FBB"/>
    <w:rsid w:val="00BD2909"/>
    <w:rsid w:val="00BD4AED"/>
    <w:rsid w:val="00BE106B"/>
    <w:rsid w:val="00BE1AB8"/>
    <w:rsid w:val="00BE387A"/>
    <w:rsid w:val="00BF214D"/>
    <w:rsid w:val="00C16778"/>
    <w:rsid w:val="00C2040D"/>
    <w:rsid w:val="00C262C9"/>
    <w:rsid w:val="00C361AA"/>
    <w:rsid w:val="00C6212D"/>
    <w:rsid w:val="00C648B8"/>
    <w:rsid w:val="00C67C90"/>
    <w:rsid w:val="00C848CE"/>
    <w:rsid w:val="00C9721C"/>
    <w:rsid w:val="00C97248"/>
    <w:rsid w:val="00CA0977"/>
    <w:rsid w:val="00CA5F6B"/>
    <w:rsid w:val="00CE0B76"/>
    <w:rsid w:val="00CE2B2F"/>
    <w:rsid w:val="00CF7569"/>
    <w:rsid w:val="00CF781A"/>
    <w:rsid w:val="00D11DEF"/>
    <w:rsid w:val="00D121D5"/>
    <w:rsid w:val="00D17A57"/>
    <w:rsid w:val="00D20525"/>
    <w:rsid w:val="00D2618D"/>
    <w:rsid w:val="00D271F3"/>
    <w:rsid w:val="00D3426D"/>
    <w:rsid w:val="00D43D4C"/>
    <w:rsid w:val="00D5059A"/>
    <w:rsid w:val="00D5118F"/>
    <w:rsid w:val="00D515DF"/>
    <w:rsid w:val="00D52692"/>
    <w:rsid w:val="00D529C5"/>
    <w:rsid w:val="00D52C3B"/>
    <w:rsid w:val="00D53225"/>
    <w:rsid w:val="00D72BC0"/>
    <w:rsid w:val="00D75B21"/>
    <w:rsid w:val="00D826DB"/>
    <w:rsid w:val="00DB291B"/>
    <w:rsid w:val="00DB6E1D"/>
    <w:rsid w:val="00DB71F9"/>
    <w:rsid w:val="00DF7E2F"/>
    <w:rsid w:val="00E21946"/>
    <w:rsid w:val="00E24F85"/>
    <w:rsid w:val="00E30126"/>
    <w:rsid w:val="00E54244"/>
    <w:rsid w:val="00E61D18"/>
    <w:rsid w:val="00E67F46"/>
    <w:rsid w:val="00E72DBE"/>
    <w:rsid w:val="00E742FD"/>
    <w:rsid w:val="00E761AB"/>
    <w:rsid w:val="00E7626C"/>
    <w:rsid w:val="00E93A18"/>
    <w:rsid w:val="00EA0580"/>
    <w:rsid w:val="00EC0455"/>
    <w:rsid w:val="00EE0926"/>
    <w:rsid w:val="00EE7BDC"/>
    <w:rsid w:val="00EF38EC"/>
    <w:rsid w:val="00F00380"/>
    <w:rsid w:val="00F14ACA"/>
    <w:rsid w:val="00F246CA"/>
    <w:rsid w:val="00F32170"/>
    <w:rsid w:val="00F3655E"/>
    <w:rsid w:val="00F41953"/>
    <w:rsid w:val="00F44D41"/>
    <w:rsid w:val="00F52F55"/>
    <w:rsid w:val="00F565F3"/>
    <w:rsid w:val="00F56643"/>
    <w:rsid w:val="00F70495"/>
    <w:rsid w:val="00F7786F"/>
    <w:rsid w:val="00F822BF"/>
    <w:rsid w:val="00F83240"/>
    <w:rsid w:val="00F9104A"/>
    <w:rsid w:val="00F94FB2"/>
    <w:rsid w:val="00FA0A82"/>
    <w:rsid w:val="00FB4766"/>
    <w:rsid w:val="00FC15C7"/>
    <w:rsid w:val="00FC62D1"/>
    <w:rsid w:val="00FD20B5"/>
    <w:rsid w:val="00FD49C7"/>
    <w:rsid w:val="00FD7DBB"/>
    <w:rsid w:val="00FE4355"/>
    <w:rsid w:val="00FE5ACF"/>
    <w:rsid w:val="00FE6BE9"/>
    <w:rsid w:val="00FE752C"/>
    <w:rsid w:val="00FE771E"/>
    <w:rsid w:val="00FF00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1762"/>
  <w15:chartTrackingRefBased/>
  <w15:docId w15:val="{0B6759B7-E720-4499-8B89-F6C690D2A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AB5637"/>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5637"/>
    <w:rPr>
      <w:rFonts w:ascii="Arial" w:eastAsia="Times New Roman" w:hAnsi="Arial" w:cs="Arial"/>
      <w:b/>
      <w:bCs/>
      <w:kern w:val="32"/>
      <w:sz w:val="32"/>
      <w:szCs w:val="32"/>
    </w:rPr>
  </w:style>
  <w:style w:type="paragraph" w:styleId="ListParagraph">
    <w:name w:val="List Paragraph"/>
    <w:basedOn w:val="Normal"/>
    <w:uiPriority w:val="34"/>
    <w:qFormat/>
    <w:rsid w:val="005355B2"/>
    <w:pPr>
      <w:ind w:left="720"/>
      <w:contextualSpacing/>
    </w:pPr>
  </w:style>
  <w:style w:type="paragraph" w:styleId="BalloonText">
    <w:name w:val="Balloon Text"/>
    <w:basedOn w:val="Normal"/>
    <w:link w:val="BalloonTextChar"/>
    <w:uiPriority w:val="99"/>
    <w:semiHidden/>
    <w:unhideWhenUsed/>
    <w:rsid w:val="00F704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495"/>
    <w:rPr>
      <w:rFonts w:ascii="Segoe UI" w:hAnsi="Segoe UI" w:cs="Segoe UI"/>
      <w:sz w:val="18"/>
      <w:szCs w:val="18"/>
    </w:rPr>
  </w:style>
  <w:style w:type="table" w:styleId="TableGrid">
    <w:name w:val="Table Grid"/>
    <w:basedOn w:val="TableNormal"/>
    <w:uiPriority w:val="39"/>
    <w:rsid w:val="00BF2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B14A6"/>
    <w:rPr>
      <w:color w:val="0000FF"/>
      <w:u w:val="single"/>
    </w:rPr>
  </w:style>
  <w:style w:type="paragraph" w:styleId="Header">
    <w:name w:val="header"/>
    <w:basedOn w:val="Normal"/>
    <w:link w:val="HeaderChar"/>
    <w:uiPriority w:val="99"/>
    <w:unhideWhenUsed/>
    <w:rsid w:val="001860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0C2"/>
  </w:style>
  <w:style w:type="paragraph" w:styleId="Footer">
    <w:name w:val="footer"/>
    <w:basedOn w:val="Normal"/>
    <w:link w:val="FooterChar"/>
    <w:uiPriority w:val="99"/>
    <w:unhideWhenUsed/>
    <w:rsid w:val="001860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60C2"/>
  </w:style>
  <w:style w:type="character" w:styleId="UnresolvedMention">
    <w:name w:val="Unresolved Mention"/>
    <w:basedOn w:val="DefaultParagraphFont"/>
    <w:uiPriority w:val="99"/>
    <w:semiHidden/>
    <w:unhideWhenUsed/>
    <w:rsid w:val="00F0038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29264">
      <w:bodyDiv w:val="1"/>
      <w:marLeft w:val="0"/>
      <w:marRight w:val="0"/>
      <w:marTop w:val="0"/>
      <w:marBottom w:val="0"/>
      <w:divBdr>
        <w:top w:val="none" w:sz="0" w:space="0" w:color="auto"/>
        <w:left w:val="none" w:sz="0" w:space="0" w:color="auto"/>
        <w:bottom w:val="none" w:sz="0" w:space="0" w:color="auto"/>
        <w:right w:val="none" w:sz="0" w:space="0" w:color="auto"/>
      </w:divBdr>
    </w:div>
    <w:div w:id="1002664359">
      <w:bodyDiv w:val="1"/>
      <w:marLeft w:val="0"/>
      <w:marRight w:val="0"/>
      <w:marTop w:val="0"/>
      <w:marBottom w:val="0"/>
      <w:divBdr>
        <w:top w:val="none" w:sz="0" w:space="0" w:color="auto"/>
        <w:left w:val="none" w:sz="0" w:space="0" w:color="auto"/>
        <w:bottom w:val="none" w:sz="0" w:space="0" w:color="auto"/>
        <w:right w:val="none" w:sz="0" w:space="0" w:color="auto"/>
      </w:divBdr>
    </w:div>
    <w:div w:id="189700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ETFSA-FS01\etfSA.co.za\SHERRYL\ETFSA\Website\WEB%20-%20News\2018\market%20cap%202008%20to%20Dec2018.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862707582112983"/>
          <c:y val="0.15700971100775712"/>
          <c:w val="0.86395859396080166"/>
          <c:h val="0.64399796260886266"/>
        </c:manualLayout>
      </c:layout>
      <c:bar3DChart>
        <c:barDir val="col"/>
        <c:grouping val="clustered"/>
        <c:varyColors val="0"/>
        <c:ser>
          <c:idx val="0"/>
          <c:order val="0"/>
          <c:tx>
            <c:strRef>
              <c:f>Sheet1!$B$1</c:f>
              <c:strCache>
                <c:ptCount val="1"/>
              </c:strCache>
            </c:strRef>
          </c:tx>
          <c:spPr>
            <a:solidFill>
              <a:srgbClr val="C00000"/>
            </a:solidFill>
            <a:ln>
              <a:solidFill>
                <a:schemeClr val="tx1">
                  <a:lumMod val="75000"/>
                  <a:lumOff val="25000"/>
                </a:schemeClr>
              </a:solidFill>
            </a:ln>
            <a:effectLst/>
            <a:sp3d>
              <a:contourClr>
                <a:schemeClr val="tx1">
                  <a:lumMod val="75000"/>
                  <a:lumOff val="25000"/>
                </a:schemeClr>
              </a:contourClr>
            </a:sp3d>
          </c:spPr>
          <c:invertIfNegative val="0"/>
          <c:dLbls>
            <c:dLbl>
              <c:idx val="7"/>
              <c:layout>
                <c:manualLayout>
                  <c:x val="1.495327102803729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C3D-486B-99A9-34EAA59D4EFE}"/>
                </c:ext>
              </c:extLst>
            </c:dLbl>
            <c:dLbl>
              <c:idx val="10"/>
              <c:layout>
                <c:manualLayout>
                  <c:x val="9.9688473520249225E-3"/>
                  <c:y val="1.94412741755554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C3D-486B-99A9-34EAA59D4EF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Sheet1!$A$2:$A$12</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Sheet1!$B$2:$B$12</c:f>
              <c:numCache>
                <c:formatCode>General</c:formatCode>
                <c:ptCount val="11"/>
                <c:pt idx="0">
                  <c:v>16443</c:v>
                </c:pt>
                <c:pt idx="1">
                  <c:v>27534</c:v>
                </c:pt>
                <c:pt idx="2">
                  <c:v>33334</c:v>
                </c:pt>
                <c:pt idx="3">
                  <c:v>40059</c:v>
                </c:pt>
                <c:pt idx="4">
                  <c:v>47770</c:v>
                </c:pt>
                <c:pt idx="5">
                  <c:v>62975</c:v>
                </c:pt>
                <c:pt idx="6">
                  <c:v>79340</c:v>
                </c:pt>
                <c:pt idx="7">
                  <c:v>79054</c:v>
                </c:pt>
                <c:pt idx="8">
                  <c:v>74126</c:v>
                </c:pt>
                <c:pt idx="9">
                  <c:v>85027</c:v>
                </c:pt>
                <c:pt idx="10">
                  <c:v>77786</c:v>
                </c:pt>
              </c:numCache>
            </c:numRef>
          </c:val>
          <c:extLst>
            <c:ext xmlns:c16="http://schemas.microsoft.com/office/drawing/2014/chart" uri="{C3380CC4-5D6E-409C-BE32-E72D297353CC}">
              <c16:uniqueId val="{00000002-CC3D-486B-99A9-34EAA59D4EFE}"/>
            </c:ext>
          </c:extLst>
        </c:ser>
        <c:dLbls>
          <c:showLegendKey val="0"/>
          <c:showVal val="0"/>
          <c:showCatName val="0"/>
          <c:showSerName val="0"/>
          <c:showPercent val="0"/>
          <c:showBubbleSize val="0"/>
        </c:dLbls>
        <c:gapWidth val="150"/>
        <c:shape val="box"/>
        <c:axId val="314479968"/>
        <c:axId val="254596752"/>
        <c:axId val="0"/>
      </c:bar3DChart>
      <c:catAx>
        <c:axId val="3144799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crossAx val="254596752"/>
        <c:crosses val="autoZero"/>
        <c:auto val="1"/>
        <c:lblAlgn val="ctr"/>
        <c:lblOffset val="100"/>
        <c:noMultiLvlLbl val="0"/>
      </c:catAx>
      <c:valAx>
        <c:axId val="254596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Verdana" panose="020B0604030504040204" pitchFamily="34" charset="0"/>
                <a:ea typeface="Verdana" panose="020B0604030504040204" pitchFamily="34" charset="0"/>
                <a:cs typeface="Verdana" panose="020B0604030504040204" pitchFamily="34" charset="0"/>
              </a:defRPr>
            </a:pPr>
            <a:endParaRPr lang="en-US"/>
          </a:p>
        </c:txPr>
        <c:crossAx val="314479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Verdana" panose="020B0604030504040204" pitchFamily="34" charset="0"/>
          <a:ea typeface="Verdana" panose="020B0604030504040204" pitchFamily="34" charset="0"/>
          <a:cs typeface="Verdana" panose="020B0604030504040204" pitchFamily="34"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0.20561</cdr:x>
      <cdr:y>0.00923</cdr:y>
    </cdr:from>
    <cdr:to>
      <cdr:x>0.74953</cdr:x>
      <cdr:y>0.19406</cdr:y>
    </cdr:to>
    <cdr:sp macro="" textlink="">
      <cdr:nvSpPr>
        <cdr:cNvPr id="2" name="TextBox 1">
          <a:extLst xmlns:a="http://schemas.openxmlformats.org/drawingml/2006/main">
            <a:ext uri="{FF2B5EF4-FFF2-40B4-BE49-F238E27FC236}">
              <a16:creationId xmlns:a16="http://schemas.microsoft.com/office/drawing/2014/main" id="{71B3CF54-1390-4A8C-BE09-B1C289F383B0}"/>
            </a:ext>
          </a:extLst>
        </cdr:cNvPr>
        <cdr:cNvSpPr txBox="1"/>
      </cdr:nvSpPr>
      <cdr:spPr>
        <a:xfrm xmlns:a="http://schemas.openxmlformats.org/drawingml/2006/main">
          <a:off x="1047763" y="27635"/>
          <a:ext cx="2771748" cy="55339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marL="0" marR="0" lvl="0" indent="0" algn="ctr" defTabSz="914400" eaLnBrk="1" fontAlgn="auto" latinLnBrk="0" hangingPunct="1">
            <a:lnSpc>
              <a:spcPct val="100000"/>
            </a:lnSpc>
            <a:spcBef>
              <a:spcPts val="0"/>
            </a:spcBef>
            <a:spcAft>
              <a:spcPts val="0"/>
            </a:spcAft>
            <a:buClrTx/>
            <a:buSzTx/>
            <a:buFontTx/>
            <a:buNone/>
            <a:tabLst/>
            <a:defRPr/>
          </a:pPr>
          <a:r>
            <a:rPr lang="en-ZA" sz="1200" b="1">
              <a:effectLst/>
              <a:latin typeface="Verdana" panose="020B0604030504040204" pitchFamily="34" charset="0"/>
              <a:ea typeface="Verdana" panose="020B0604030504040204" pitchFamily="34" charset="0"/>
              <a:cs typeface="Verdana" panose="020B0604030504040204" pitchFamily="34" charset="0"/>
            </a:rPr>
            <a:t>SA ETP Industry</a:t>
          </a:r>
          <a:endParaRPr lang="en-ZA" sz="1200" b="1">
            <a:latin typeface="Verdana" panose="020B0604030504040204" pitchFamily="34" charset="0"/>
            <a:ea typeface="Verdana" panose="020B0604030504040204" pitchFamily="34" charset="0"/>
            <a:cs typeface="Verdana" panose="020B0604030504040204" pitchFamily="34" charset="0"/>
          </a:endParaRPr>
        </a:p>
        <a:p xmlns:a="http://schemas.openxmlformats.org/drawingml/2006/main">
          <a:pPr algn="ctr"/>
          <a:r>
            <a:rPr lang="en-ZA" sz="1200" b="1">
              <a:latin typeface="Verdana" panose="020B0604030504040204" pitchFamily="34" charset="0"/>
              <a:ea typeface="Verdana" panose="020B0604030504040204" pitchFamily="34" charset="0"/>
              <a:cs typeface="Verdana" panose="020B0604030504040204" pitchFamily="34" charset="0"/>
            </a:rPr>
            <a:t>Total Market Capitalisation (Rm)</a:t>
          </a:r>
        </a:p>
      </cdr:txBody>
    </cdr:sp>
  </cdr:relSizeAnchor>
  <cdr:relSizeAnchor xmlns:cdr="http://schemas.openxmlformats.org/drawingml/2006/chartDrawing">
    <cdr:from>
      <cdr:x>0.00125</cdr:x>
      <cdr:y>0.10074</cdr:y>
    </cdr:from>
    <cdr:to>
      <cdr:x>0.18069</cdr:x>
      <cdr:y>0.19618</cdr:y>
    </cdr:to>
    <cdr:sp macro="" textlink="">
      <cdr:nvSpPr>
        <cdr:cNvPr id="3" name="TextBox 2">
          <a:extLst xmlns:a="http://schemas.openxmlformats.org/drawingml/2006/main">
            <a:ext uri="{FF2B5EF4-FFF2-40B4-BE49-F238E27FC236}">
              <a16:creationId xmlns:a16="http://schemas.microsoft.com/office/drawing/2014/main" id="{819D019F-0281-4610-B0C9-6181F7018AA9}"/>
            </a:ext>
          </a:extLst>
        </cdr:cNvPr>
        <cdr:cNvSpPr txBox="1"/>
      </cdr:nvSpPr>
      <cdr:spPr>
        <a:xfrm xmlns:a="http://schemas.openxmlformats.org/drawingml/2006/main">
          <a:off x="6350" y="301626"/>
          <a:ext cx="914400" cy="2857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ZA" sz="1100"/>
            <a:t>(R Million)</a:t>
          </a:r>
        </a:p>
      </cdr:txBody>
    </cdr:sp>
  </cdr:relSizeAnchor>
  <cdr:relSizeAnchor xmlns:cdr="http://schemas.openxmlformats.org/drawingml/2006/chartDrawing">
    <cdr:from>
      <cdr:x>0.47661</cdr:x>
      <cdr:y>0.90302</cdr:y>
    </cdr:from>
    <cdr:to>
      <cdr:x>0.65605</cdr:x>
      <cdr:y>0.98786</cdr:y>
    </cdr:to>
    <cdr:sp macro="" textlink="">
      <cdr:nvSpPr>
        <cdr:cNvPr id="4" name="TextBox 1">
          <a:extLst xmlns:a="http://schemas.openxmlformats.org/drawingml/2006/main">
            <a:ext uri="{FF2B5EF4-FFF2-40B4-BE49-F238E27FC236}">
              <a16:creationId xmlns:a16="http://schemas.microsoft.com/office/drawing/2014/main" id="{652FD978-8923-48DA-8F93-C6FA0298E12F}"/>
            </a:ext>
          </a:extLst>
        </cdr:cNvPr>
        <cdr:cNvSpPr txBox="1"/>
      </cdr:nvSpPr>
      <cdr:spPr>
        <a:xfrm xmlns:a="http://schemas.openxmlformats.org/drawingml/2006/main">
          <a:off x="2058007" y="2362492"/>
          <a:ext cx="774822" cy="22195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ZA" sz="1100"/>
            <a:t>(Years)</a:t>
          </a:r>
        </a:p>
      </cdr:txBody>
    </cdr:sp>
  </cdr:relSizeAnchor>
  <cdr:relSizeAnchor xmlns:cdr="http://schemas.openxmlformats.org/drawingml/2006/chartDrawing">
    <cdr:from>
      <cdr:x>0.02243</cdr:x>
      <cdr:y>0.91516</cdr:y>
    </cdr:from>
    <cdr:to>
      <cdr:x>0.20187</cdr:x>
      <cdr:y>1</cdr:y>
    </cdr:to>
    <cdr:sp macro="" textlink="">
      <cdr:nvSpPr>
        <cdr:cNvPr id="5" name="TextBox 1">
          <a:extLst xmlns:a="http://schemas.openxmlformats.org/drawingml/2006/main">
            <a:ext uri="{FF2B5EF4-FFF2-40B4-BE49-F238E27FC236}">
              <a16:creationId xmlns:a16="http://schemas.microsoft.com/office/drawing/2014/main" id="{B1670A36-6D90-4B69-BCAC-58A05B184152}"/>
            </a:ext>
          </a:extLst>
        </cdr:cNvPr>
        <cdr:cNvSpPr txBox="1"/>
      </cdr:nvSpPr>
      <cdr:spPr>
        <a:xfrm xmlns:a="http://schemas.openxmlformats.org/drawingml/2006/main">
          <a:off x="114300" y="2740012"/>
          <a:ext cx="914404" cy="25401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ZA" sz="900" i="1"/>
            <a:t>Source:</a:t>
          </a:r>
          <a:r>
            <a:rPr lang="en-ZA" sz="900" i="1" baseline="0"/>
            <a:t> etfSA.co.za/Profile Data</a:t>
          </a:r>
          <a:endParaRPr lang="en-ZA" sz="900" i="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6</Pages>
  <Words>1782</Words>
  <Characters>10160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Sherryl Fortuin</dc:creator>
  <cp:keywords/>
  <dc:description/>
  <cp:lastModifiedBy>Sherryl Fortuin</cp:lastModifiedBy>
  <cp:revision>17</cp:revision>
  <cp:lastPrinted>2019-01-14T11:41:00Z</cp:lastPrinted>
  <dcterms:created xsi:type="dcterms:W3CDTF">2019-01-14T05:36:00Z</dcterms:created>
  <dcterms:modified xsi:type="dcterms:W3CDTF">2019-01-14T11:51:00Z</dcterms:modified>
</cp:coreProperties>
</file>