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39AC4" w14:textId="77777777" w:rsidR="00621DFE" w:rsidRDefault="00621DFE" w:rsidP="00B32D6E">
      <w:pPr>
        <w:spacing w:after="120" w:line="240" w:lineRule="auto"/>
        <w:rPr>
          <w:rFonts w:ascii="Verdana" w:hAnsi="Verdana"/>
          <w:sz w:val="24"/>
          <w:szCs w:val="24"/>
        </w:rPr>
      </w:pPr>
    </w:p>
    <w:p w14:paraId="733487E8" w14:textId="02C5380A" w:rsidR="00243081" w:rsidRDefault="00D108C2" w:rsidP="00B32D6E">
      <w:pPr>
        <w:spacing w:after="120" w:line="240" w:lineRule="auto"/>
        <w:rPr>
          <w:rFonts w:ascii="Verdana" w:hAnsi="Verdana"/>
          <w:sz w:val="24"/>
          <w:szCs w:val="24"/>
        </w:rPr>
      </w:pPr>
      <w:r>
        <w:rPr>
          <w:rFonts w:ascii="Verdana" w:hAnsi="Verdana"/>
          <w:noProof/>
          <w:lang w:eastAsia="en-ZA"/>
        </w:rPr>
        <w:drawing>
          <wp:inline distT="0" distB="0" distL="0" distR="0" wp14:anchorId="77AE5B01" wp14:editId="77AE5B02">
            <wp:extent cx="3562985" cy="750570"/>
            <wp:effectExtent l="0" t="0" r="0" b="0"/>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8762" cy="751787"/>
                    </a:xfrm>
                    <a:prstGeom prst="rect">
                      <a:avLst/>
                    </a:prstGeom>
                    <a:noFill/>
                    <a:ln>
                      <a:noFill/>
                    </a:ln>
                  </pic:spPr>
                </pic:pic>
              </a:graphicData>
            </a:graphic>
          </wp:inline>
        </w:drawing>
      </w:r>
      <w:bookmarkStart w:id="0" w:name="OLE_LINK1"/>
    </w:p>
    <w:p w14:paraId="213A6CF1" w14:textId="77777777" w:rsidR="00621DFE" w:rsidRDefault="00621DFE" w:rsidP="00B32D6E">
      <w:pPr>
        <w:spacing w:after="120" w:line="240" w:lineRule="auto"/>
        <w:rPr>
          <w:rFonts w:ascii="Verdana" w:hAnsi="Verdana"/>
          <w:sz w:val="24"/>
          <w:szCs w:val="24"/>
        </w:rPr>
      </w:pPr>
    </w:p>
    <w:p w14:paraId="77AE5507" w14:textId="67CDF303" w:rsidR="00D108C2" w:rsidRPr="006D7553" w:rsidRDefault="00AB1695" w:rsidP="00251179">
      <w:pPr>
        <w:pStyle w:val="Heading1"/>
        <w:spacing w:before="0" w:after="0" w:line="240" w:lineRule="atLeast"/>
        <w:rPr>
          <w:rFonts w:ascii="Verdana" w:hAnsi="Verdana"/>
          <w:sz w:val="24"/>
          <w:szCs w:val="24"/>
        </w:rPr>
      </w:pPr>
      <w:r>
        <w:rPr>
          <w:rFonts w:ascii="Verdana" w:hAnsi="Verdana"/>
          <w:sz w:val="24"/>
          <w:szCs w:val="24"/>
        </w:rPr>
        <w:t>DEC</w:t>
      </w:r>
      <w:r w:rsidR="002F06A1">
        <w:rPr>
          <w:rFonts w:ascii="Verdana" w:hAnsi="Verdana"/>
          <w:sz w:val="24"/>
          <w:szCs w:val="24"/>
        </w:rPr>
        <w:t>EM</w:t>
      </w:r>
      <w:r w:rsidR="00217AE8">
        <w:rPr>
          <w:rFonts w:ascii="Verdana" w:hAnsi="Verdana"/>
          <w:sz w:val="24"/>
          <w:szCs w:val="24"/>
        </w:rPr>
        <w:t>BER</w:t>
      </w:r>
      <w:r w:rsidR="00D108C2" w:rsidRPr="006D7553">
        <w:rPr>
          <w:rFonts w:ascii="Verdana" w:hAnsi="Verdana"/>
          <w:sz w:val="24"/>
          <w:szCs w:val="24"/>
        </w:rPr>
        <w:t xml:space="preserve"> 201</w:t>
      </w:r>
      <w:r w:rsidR="006841F4">
        <w:rPr>
          <w:rFonts w:ascii="Verdana" w:hAnsi="Verdana"/>
          <w:sz w:val="24"/>
          <w:szCs w:val="24"/>
        </w:rPr>
        <w:t>8</w:t>
      </w:r>
      <w:r w:rsidR="00D108C2" w:rsidRPr="006D7553">
        <w:rPr>
          <w:rFonts w:ascii="Verdana" w:hAnsi="Verdana"/>
          <w:sz w:val="24"/>
          <w:szCs w:val="24"/>
        </w:rPr>
        <w:t xml:space="preserve"> – etfSA.co.za MONTHLY SOUTH AFRICAN </w:t>
      </w:r>
      <w:r w:rsidR="00D108C2" w:rsidRPr="006D7553">
        <w:rPr>
          <w:rFonts w:ascii="Verdana" w:hAnsi="Verdana"/>
          <w:caps/>
          <w:sz w:val="24"/>
          <w:szCs w:val="24"/>
        </w:rPr>
        <w:t xml:space="preserve">etf, ETN and UNIT TRUST PASSIVE index tracking </w:t>
      </w:r>
      <w:r w:rsidR="00D108C2" w:rsidRPr="006D7553">
        <w:rPr>
          <w:rFonts w:ascii="Verdana" w:hAnsi="Verdana"/>
          <w:color w:val="FF0000"/>
          <w:sz w:val="24"/>
          <w:szCs w:val="24"/>
          <w:u w:val="single"/>
        </w:rPr>
        <w:t>PERFORMANCE SURVEY</w:t>
      </w:r>
    </w:p>
    <w:p w14:paraId="77AE5508" w14:textId="77777777" w:rsidR="00D108C2" w:rsidRPr="006D7553" w:rsidRDefault="00D108C2" w:rsidP="00243081">
      <w:pPr>
        <w:pStyle w:val="Heading1"/>
        <w:spacing w:before="120" w:after="0" w:line="240" w:lineRule="atLeast"/>
        <w:rPr>
          <w:rFonts w:ascii="Verdana" w:hAnsi="Verdana"/>
          <w:sz w:val="22"/>
          <w:szCs w:val="22"/>
        </w:rPr>
      </w:pPr>
      <w:bookmarkStart w:id="1" w:name="OLE_LINK6"/>
      <w:bookmarkStart w:id="2" w:name="OLE_LINK7"/>
      <w:r w:rsidRPr="006D7553">
        <w:rPr>
          <w:rFonts w:ascii="Verdana" w:hAnsi="Verdana"/>
          <w:sz w:val="22"/>
          <w:szCs w:val="22"/>
        </w:rPr>
        <w:t>Mike Brown, Managing Director, etfSA.co.za</w:t>
      </w:r>
    </w:p>
    <w:bookmarkEnd w:id="0"/>
    <w:bookmarkEnd w:id="1"/>
    <w:bookmarkEnd w:id="2"/>
    <w:p w14:paraId="4BEB2142" w14:textId="7AAE983D" w:rsidR="00C375FB" w:rsidRDefault="00C375FB" w:rsidP="007B3B94">
      <w:pPr>
        <w:pStyle w:val="BodyText2"/>
        <w:spacing w:after="0" w:line="240" w:lineRule="auto"/>
        <w:rPr>
          <w:rFonts w:ascii="Verdana" w:hAnsi="Verdana"/>
          <w:sz w:val="16"/>
          <w:szCs w:val="16"/>
        </w:rPr>
      </w:pPr>
    </w:p>
    <w:p w14:paraId="171357DF" w14:textId="77777777" w:rsidR="00293511" w:rsidRPr="007B3B94" w:rsidRDefault="00293511" w:rsidP="007B3B94">
      <w:pPr>
        <w:pStyle w:val="BodyText2"/>
        <w:spacing w:after="0" w:line="240" w:lineRule="auto"/>
        <w:rPr>
          <w:rFonts w:ascii="Verdana" w:hAnsi="Verdana"/>
          <w:sz w:val="16"/>
          <w:szCs w:val="16"/>
        </w:rPr>
      </w:pPr>
    </w:p>
    <w:p w14:paraId="3D7215B6" w14:textId="1C4BA177" w:rsidR="00C16BF5" w:rsidRDefault="00D16230" w:rsidP="00293511">
      <w:pPr>
        <w:pStyle w:val="BodyText2"/>
        <w:spacing w:after="0" w:line="360" w:lineRule="atLeast"/>
        <w:jc w:val="both"/>
        <w:rPr>
          <w:rFonts w:ascii="Verdana" w:hAnsi="Verdana"/>
          <w:sz w:val="21"/>
          <w:szCs w:val="21"/>
        </w:rPr>
      </w:pPr>
      <w:r w:rsidRPr="00621DFE">
        <w:rPr>
          <w:rFonts w:ascii="Verdana" w:hAnsi="Verdana"/>
          <w:sz w:val="21"/>
          <w:szCs w:val="21"/>
        </w:rPr>
        <w:t xml:space="preserve">The Performance Survey for the period ended </w:t>
      </w:r>
      <w:r w:rsidR="00E65B2C" w:rsidRPr="00621DFE">
        <w:rPr>
          <w:rFonts w:ascii="Verdana" w:hAnsi="Verdana"/>
          <w:sz w:val="21"/>
          <w:szCs w:val="21"/>
        </w:rPr>
        <w:t>3</w:t>
      </w:r>
      <w:r w:rsidR="00AB1695">
        <w:rPr>
          <w:rFonts w:ascii="Verdana" w:hAnsi="Verdana"/>
          <w:sz w:val="21"/>
          <w:szCs w:val="21"/>
        </w:rPr>
        <w:t>1</w:t>
      </w:r>
      <w:r w:rsidR="00603CB8" w:rsidRPr="00621DFE">
        <w:rPr>
          <w:rFonts w:ascii="Verdana" w:hAnsi="Verdana"/>
          <w:sz w:val="21"/>
          <w:szCs w:val="21"/>
        </w:rPr>
        <w:t xml:space="preserve"> </w:t>
      </w:r>
      <w:r w:rsidR="00AB1695">
        <w:rPr>
          <w:rFonts w:ascii="Verdana" w:hAnsi="Verdana"/>
          <w:sz w:val="21"/>
          <w:szCs w:val="21"/>
        </w:rPr>
        <w:t>Dec</w:t>
      </w:r>
      <w:r w:rsidR="002F06A1">
        <w:rPr>
          <w:rFonts w:ascii="Verdana" w:hAnsi="Verdana"/>
          <w:sz w:val="21"/>
          <w:szCs w:val="21"/>
        </w:rPr>
        <w:t>em</w:t>
      </w:r>
      <w:r w:rsidR="00603CB8" w:rsidRPr="00621DFE">
        <w:rPr>
          <w:rFonts w:ascii="Verdana" w:hAnsi="Verdana"/>
          <w:sz w:val="21"/>
          <w:szCs w:val="21"/>
        </w:rPr>
        <w:t>ber</w:t>
      </w:r>
      <w:r w:rsidRPr="00621DFE">
        <w:rPr>
          <w:rFonts w:ascii="Verdana" w:hAnsi="Verdana"/>
          <w:sz w:val="21"/>
          <w:szCs w:val="21"/>
        </w:rPr>
        <w:t xml:space="preserve"> 201</w:t>
      </w:r>
      <w:r w:rsidR="006841F4" w:rsidRPr="00621DFE">
        <w:rPr>
          <w:rFonts w:ascii="Verdana" w:hAnsi="Verdana"/>
          <w:sz w:val="21"/>
          <w:szCs w:val="21"/>
        </w:rPr>
        <w:t>8</w:t>
      </w:r>
      <w:r w:rsidRPr="00621DFE">
        <w:rPr>
          <w:rFonts w:ascii="Verdana" w:hAnsi="Verdana"/>
          <w:sz w:val="21"/>
          <w:szCs w:val="21"/>
        </w:rPr>
        <w:t xml:space="preserve">, is attached.  The Survey measures total investment returns for all </w:t>
      </w:r>
      <w:r w:rsidR="007243E2" w:rsidRPr="00621DFE">
        <w:rPr>
          <w:rFonts w:ascii="Verdana" w:hAnsi="Verdana"/>
          <w:sz w:val="21"/>
          <w:szCs w:val="21"/>
        </w:rPr>
        <w:t>9</w:t>
      </w:r>
      <w:r w:rsidR="00D5229E">
        <w:rPr>
          <w:rFonts w:ascii="Verdana" w:hAnsi="Verdana"/>
          <w:sz w:val="21"/>
          <w:szCs w:val="21"/>
        </w:rPr>
        <w:t>3</w:t>
      </w:r>
      <w:r w:rsidRPr="00621DFE">
        <w:rPr>
          <w:rFonts w:ascii="Verdana" w:hAnsi="Verdana"/>
          <w:sz w:val="21"/>
          <w:szCs w:val="21"/>
        </w:rPr>
        <w:t xml:space="preserve"> JSE listed ETFs/ETNs, and </w:t>
      </w:r>
      <w:r w:rsidR="00C04341" w:rsidRPr="00621DFE">
        <w:rPr>
          <w:rFonts w:ascii="Verdana" w:hAnsi="Verdana"/>
          <w:sz w:val="21"/>
          <w:szCs w:val="21"/>
        </w:rPr>
        <w:t>3</w:t>
      </w:r>
      <w:r w:rsidR="00DE46F2" w:rsidRPr="00621DFE">
        <w:rPr>
          <w:rFonts w:ascii="Verdana" w:hAnsi="Verdana"/>
          <w:sz w:val="21"/>
          <w:szCs w:val="21"/>
        </w:rPr>
        <w:t>9</w:t>
      </w:r>
      <w:r w:rsidRPr="00621DFE">
        <w:rPr>
          <w:rFonts w:ascii="Verdana" w:hAnsi="Verdana"/>
          <w:sz w:val="21"/>
          <w:szCs w:val="21"/>
        </w:rPr>
        <w:t xml:space="preserve"> index tracking unit trusts for periods of </w:t>
      </w:r>
      <w:r w:rsidR="00196A64" w:rsidRPr="00621DFE">
        <w:rPr>
          <w:rFonts w:ascii="Verdana" w:hAnsi="Verdana"/>
          <w:sz w:val="21"/>
          <w:szCs w:val="21"/>
        </w:rPr>
        <w:t>one</w:t>
      </w:r>
      <w:r w:rsidRPr="00621DFE">
        <w:rPr>
          <w:rFonts w:ascii="Verdana" w:hAnsi="Verdana"/>
          <w:sz w:val="21"/>
          <w:szCs w:val="21"/>
        </w:rPr>
        <w:t xml:space="preserve"> month to </w:t>
      </w:r>
      <w:r w:rsidR="00196A64" w:rsidRPr="00621DFE">
        <w:rPr>
          <w:rFonts w:ascii="Verdana" w:hAnsi="Verdana"/>
          <w:sz w:val="21"/>
          <w:szCs w:val="21"/>
        </w:rPr>
        <w:t>ten</w:t>
      </w:r>
      <w:r w:rsidRPr="00621DFE">
        <w:rPr>
          <w:rFonts w:ascii="Verdana" w:hAnsi="Verdana"/>
          <w:sz w:val="21"/>
          <w:szCs w:val="21"/>
        </w:rPr>
        <w:t xml:space="preserve"> years. </w:t>
      </w:r>
      <w:r w:rsidR="006E1F7E" w:rsidRPr="00621DFE">
        <w:rPr>
          <w:rFonts w:ascii="Verdana" w:hAnsi="Verdana"/>
          <w:sz w:val="21"/>
          <w:szCs w:val="21"/>
        </w:rPr>
        <w:t xml:space="preserve"> The summary table of the best performing passive index t</w:t>
      </w:r>
      <w:r w:rsidR="0092173D" w:rsidRPr="00621DFE">
        <w:rPr>
          <w:rFonts w:ascii="Verdana" w:hAnsi="Verdana"/>
          <w:sz w:val="21"/>
          <w:szCs w:val="21"/>
        </w:rPr>
        <w:t xml:space="preserve">racking products is shown </w:t>
      </w:r>
      <w:r w:rsidR="00F41C15" w:rsidRPr="00621DFE">
        <w:rPr>
          <w:rFonts w:ascii="Verdana" w:hAnsi="Verdana"/>
          <w:sz w:val="21"/>
          <w:szCs w:val="21"/>
        </w:rPr>
        <w:t xml:space="preserve">on page </w:t>
      </w:r>
      <w:r w:rsidR="00F6626D" w:rsidRPr="00621DFE">
        <w:rPr>
          <w:rFonts w:ascii="Verdana" w:hAnsi="Verdana"/>
          <w:sz w:val="21"/>
          <w:szCs w:val="21"/>
        </w:rPr>
        <w:t>1</w:t>
      </w:r>
      <w:r w:rsidR="0092173D" w:rsidRPr="00621DFE">
        <w:rPr>
          <w:rFonts w:ascii="Verdana" w:hAnsi="Verdana"/>
          <w:sz w:val="21"/>
          <w:szCs w:val="21"/>
        </w:rPr>
        <w:t xml:space="preserve">.  The total return performance of each </w:t>
      </w:r>
      <w:r w:rsidR="00F6626D" w:rsidRPr="00621DFE">
        <w:rPr>
          <w:rFonts w:ascii="Verdana" w:hAnsi="Verdana"/>
          <w:sz w:val="21"/>
          <w:szCs w:val="21"/>
        </w:rPr>
        <w:t xml:space="preserve">Domestic </w:t>
      </w:r>
      <w:r w:rsidR="0092173D" w:rsidRPr="00621DFE">
        <w:rPr>
          <w:rFonts w:ascii="Verdana" w:hAnsi="Verdana"/>
          <w:sz w:val="21"/>
          <w:szCs w:val="21"/>
        </w:rPr>
        <w:t xml:space="preserve">Exchange Traded Fund is shown </w:t>
      </w:r>
      <w:r w:rsidR="00F6626D" w:rsidRPr="00621DFE">
        <w:rPr>
          <w:rFonts w:ascii="Verdana" w:hAnsi="Verdana"/>
          <w:sz w:val="21"/>
          <w:szCs w:val="21"/>
        </w:rPr>
        <w:t>o</w:t>
      </w:r>
      <w:r w:rsidR="0092173D" w:rsidRPr="00621DFE">
        <w:rPr>
          <w:rFonts w:ascii="Verdana" w:hAnsi="Verdana"/>
          <w:sz w:val="21"/>
          <w:szCs w:val="21"/>
        </w:rPr>
        <w:t xml:space="preserve">n pages </w:t>
      </w:r>
      <w:r w:rsidR="00F6626D" w:rsidRPr="00621DFE">
        <w:rPr>
          <w:rFonts w:ascii="Verdana" w:hAnsi="Verdana"/>
          <w:sz w:val="21"/>
          <w:szCs w:val="21"/>
        </w:rPr>
        <w:t>2</w:t>
      </w:r>
      <w:r w:rsidR="0092173D" w:rsidRPr="00621DFE">
        <w:rPr>
          <w:rFonts w:ascii="Verdana" w:hAnsi="Verdana"/>
          <w:sz w:val="21"/>
          <w:szCs w:val="21"/>
        </w:rPr>
        <w:t>-</w:t>
      </w:r>
      <w:r w:rsidR="00F6626D" w:rsidRPr="00621DFE">
        <w:rPr>
          <w:rFonts w:ascii="Verdana" w:hAnsi="Verdana"/>
          <w:sz w:val="21"/>
          <w:szCs w:val="21"/>
        </w:rPr>
        <w:t>4</w:t>
      </w:r>
      <w:r w:rsidR="0092173D" w:rsidRPr="00621DFE">
        <w:rPr>
          <w:rFonts w:ascii="Verdana" w:hAnsi="Verdana"/>
          <w:sz w:val="21"/>
          <w:szCs w:val="21"/>
        </w:rPr>
        <w:t xml:space="preserve">; </w:t>
      </w:r>
      <w:r w:rsidR="00F6626D" w:rsidRPr="00621DFE">
        <w:rPr>
          <w:rFonts w:ascii="Verdana" w:hAnsi="Verdana"/>
          <w:sz w:val="21"/>
          <w:szCs w:val="21"/>
        </w:rPr>
        <w:t xml:space="preserve">Foreign </w:t>
      </w:r>
      <w:r w:rsidR="0092173D" w:rsidRPr="00621DFE">
        <w:rPr>
          <w:rFonts w:ascii="Verdana" w:hAnsi="Verdana"/>
          <w:sz w:val="21"/>
          <w:szCs w:val="21"/>
        </w:rPr>
        <w:t xml:space="preserve">Exchange Traded </w:t>
      </w:r>
      <w:r w:rsidR="00F6626D" w:rsidRPr="00621DFE">
        <w:rPr>
          <w:rFonts w:ascii="Verdana" w:hAnsi="Verdana"/>
          <w:sz w:val="21"/>
          <w:szCs w:val="21"/>
        </w:rPr>
        <w:t>Funds</w:t>
      </w:r>
      <w:r w:rsidR="0092173D" w:rsidRPr="00621DFE">
        <w:rPr>
          <w:rFonts w:ascii="Verdana" w:hAnsi="Verdana"/>
          <w:sz w:val="21"/>
          <w:szCs w:val="21"/>
        </w:rPr>
        <w:t xml:space="preserve"> </w:t>
      </w:r>
      <w:r w:rsidR="00F6626D" w:rsidRPr="00621DFE">
        <w:rPr>
          <w:rFonts w:ascii="Verdana" w:hAnsi="Verdana"/>
          <w:sz w:val="21"/>
          <w:szCs w:val="21"/>
        </w:rPr>
        <w:t>o</w:t>
      </w:r>
      <w:r w:rsidR="0092173D" w:rsidRPr="00621DFE">
        <w:rPr>
          <w:rFonts w:ascii="Verdana" w:hAnsi="Verdana"/>
          <w:sz w:val="21"/>
          <w:szCs w:val="21"/>
        </w:rPr>
        <w:t xml:space="preserve">n pages </w:t>
      </w:r>
      <w:r w:rsidR="00F6626D" w:rsidRPr="00621DFE">
        <w:rPr>
          <w:rFonts w:ascii="Verdana" w:hAnsi="Verdana"/>
          <w:sz w:val="21"/>
          <w:szCs w:val="21"/>
        </w:rPr>
        <w:t>5</w:t>
      </w:r>
      <w:r w:rsidR="0092173D" w:rsidRPr="00621DFE">
        <w:rPr>
          <w:rFonts w:ascii="Verdana" w:hAnsi="Verdana"/>
          <w:sz w:val="21"/>
          <w:szCs w:val="21"/>
        </w:rPr>
        <w:t>-</w:t>
      </w:r>
      <w:r w:rsidR="00C04341" w:rsidRPr="00621DFE">
        <w:rPr>
          <w:rFonts w:ascii="Verdana" w:hAnsi="Verdana"/>
          <w:sz w:val="21"/>
          <w:szCs w:val="21"/>
        </w:rPr>
        <w:t>9</w:t>
      </w:r>
      <w:r w:rsidR="0092173D" w:rsidRPr="00621DFE">
        <w:rPr>
          <w:rFonts w:ascii="Verdana" w:hAnsi="Verdana"/>
          <w:sz w:val="21"/>
          <w:szCs w:val="21"/>
        </w:rPr>
        <w:t xml:space="preserve">; </w:t>
      </w:r>
      <w:r w:rsidR="00F6626D" w:rsidRPr="00621DFE">
        <w:rPr>
          <w:rFonts w:ascii="Verdana" w:hAnsi="Verdana"/>
          <w:sz w:val="21"/>
          <w:szCs w:val="21"/>
        </w:rPr>
        <w:t>Foreign ETNs on page 6; Commodit</w:t>
      </w:r>
      <w:r w:rsidR="00A71B17" w:rsidRPr="00621DFE">
        <w:rPr>
          <w:rFonts w:ascii="Verdana" w:hAnsi="Verdana"/>
          <w:sz w:val="21"/>
          <w:szCs w:val="21"/>
        </w:rPr>
        <w:t xml:space="preserve">y ETFs &amp; ETNs on page 7; </w:t>
      </w:r>
      <w:r w:rsidR="009C685F" w:rsidRPr="00621DFE">
        <w:rPr>
          <w:rFonts w:ascii="Verdana" w:hAnsi="Verdana"/>
          <w:sz w:val="21"/>
          <w:szCs w:val="21"/>
        </w:rPr>
        <w:t>C</w:t>
      </w:r>
      <w:r w:rsidR="00A71B17" w:rsidRPr="00621DFE">
        <w:rPr>
          <w:rFonts w:ascii="Verdana" w:hAnsi="Verdana"/>
          <w:sz w:val="21"/>
          <w:szCs w:val="21"/>
        </w:rPr>
        <w:t xml:space="preserve">urrencies on page 8; </w:t>
      </w:r>
      <w:r w:rsidR="0092173D" w:rsidRPr="00621DFE">
        <w:rPr>
          <w:rFonts w:ascii="Verdana" w:hAnsi="Verdana"/>
          <w:sz w:val="21"/>
          <w:szCs w:val="21"/>
        </w:rPr>
        <w:t xml:space="preserve">and Index Tracking Unit Trusts </w:t>
      </w:r>
      <w:r w:rsidR="00E503CB" w:rsidRPr="00621DFE">
        <w:rPr>
          <w:rFonts w:ascii="Verdana" w:hAnsi="Verdana"/>
          <w:sz w:val="21"/>
          <w:szCs w:val="21"/>
        </w:rPr>
        <w:t xml:space="preserve">on </w:t>
      </w:r>
      <w:r w:rsidR="00A71B17" w:rsidRPr="00621DFE">
        <w:rPr>
          <w:rFonts w:ascii="Verdana" w:hAnsi="Verdana"/>
          <w:sz w:val="21"/>
          <w:szCs w:val="21"/>
        </w:rPr>
        <w:t>p</w:t>
      </w:r>
      <w:r w:rsidR="0092173D" w:rsidRPr="00621DFE">
        <w:rPr>
          <w:rFonts w:ascii="Verdana" w:hAnsi="Verdana"/>
          <w:sz w:val="21"/>
          <w:szCs w:val="21"/>
        </w:rPr>
        <w:t xml:space="preserve">ages </w:t>
      </w:r>
      <w:r w:rsidR="00EA2912" w:rsidRPr="00621DFE">
        <w:rPr>
          <w:rFonts w:ascii="Verdana" w:hAnsi="Verdana"/>
          <w:sz w:val="21"/>
          <w:szCs w:val="21"/>
        </w:rPr>
        <w:t>9</w:t>
      </w:r>
      <w:r w:rsidR="00A71B17" w:rsidRPr="00621DFE">
        <w:rPr>
          <w:rFonts w:ascii="Verdana" w:hAnsi="Verdana"/>
          <w:sz w:val="21"/>
          <w:szCs w:val="21"/>
        </w:rPr>
        <w:t>-1</w:t>
      </w:r>
      <w:r w:rsidR="00C04341" w:rsidRPr="00621DFE">
        <w:rPr>
          <w:rFonts w:ascii="Verdana" w:hAnsi="Verdana"/>
          <w:sz w:val="21"/>
          <w:szCs w:val="21"/>
        </w:rPr>
        <w:t>1</w:t>
      </w:r>
      <w:r w:rsidR="0092173D" w:rsidRPr="00621DFE">
        <w:rPr>
          <w:rFonts w:ascii="Verdana" w:hAnsi="Verdana"/>
          <w:sz w:val="21"/>
          <w:szCs w:val="21"/>
        </w:rPr>
        <w:t>.</w:t>
      </w:r>
    </w:p>
    <w:p w14:paraId="58BBE8B9" w14:textId="0847BAB5" w:rsidR="00E42A5C" w:rsidRDefault="00E42A5C" w:rsidP="00293511">
      <w:pPr>
        <w:pStyle w:val="BodyText2"/>
        <w:spacing w:after="0" w:line="360" w:lineRule="atLeast"/>
        <w:jc w:val="both"/>
        <w:rPr>
          <w:rFonts w:ascii="Verdana" w:hAnsi="Verdana"/>
          <w:sz w:val="21"/>
          <w:szCs w:val="21"/>
        </w:rPr>
      </w:pPr>
    </w:p>
    <w:p w14:paraId="42D2563F" w14:textId="2FA7BF44" w:rsidR="00E42A5C" w:rsidRDefault="00E42A5C" w:rsidP="00293511">
      <w:pPr>
        <w:pStyle w:val="BodyText2"/>
        <w:spacing w:after="0" w:line="360" w:lineRule="atLeast"/>
        <w:jc w:val="both"/>
        <w:rPr>
          <w:rFonts w:ascii="Verdana" w:hAnsi="Verdana"/>
          <w:sz w:val="21"/>
          <w:szCs w:val="21"/>
        </w:rPr>
      </w:pPr>
      <w:r>
        <w:rPr>
          <w:rFonts w:ascii="Verdana" w:hAnsi="Verdana"/>
          <w:sz w:val="21"/>
          <w:szCs w:val="21"/>
        </w:rPr>
        <w:t xml:space="preserve">The past year was a difficult period for local financial markets.  Allowing for reinvestment of dividends, the major </w:t>
      </w:r>
      <w:r w:rsidR="00174925">
        <w:rPr>
          <w:rFonts w:ascii="Verdana" w:hAnsi="Verdana"/>
          <w:sz w:val="21"/>
          <w:szCs w:val="21"/>
        </w:rPr>
        <w:t xml:space="preserve">local </w:t>
      </w:r>
      <w:r>
        <w:rPr>
          <w:rFonts w:ascii="Verdana" w:hAnsi="Verdana"/>
          <w:sz w:val="21"/>
          <w:szCs w:val="21"/>
        </w:rPr>
        <w:t>indices produced the following returns</w:t>
      </w:r>
      <w:r w:rsidR="00174925">
        <w:rPr>
          <w:rFonts w:ascii="Verdana" w:hAnsi="Verdana"/>
          <w:sz w:val="21"/>
          <w:szCs w:val="21"/>
        </w:rPr>
        <w:t xml:space="preserve"> in 2018</w:t>
      </w:r>
      <w:r>
        <w:rPr>
          <w:rFonts w:ascii="Verdana" w:hAnsi="Verdana"/>
          <w:sz w:val="21"/>
          <w:szCs w:val="21"/>
        </w:rPr>
        <w:t xml:space="preserve">. </w:t>
      </w:r>
    </w:p>
    <w:p w14:paraId="08D98DDB" w14:textId="1D23C7C7" w:rsidR="00E42A5C" w:rsidRDefault="00E42A5C" w:rsidP="00293511">
      <w:pPr>
        <w:pStyle w:val="BodyText2"/>
        <w:spacing w:after="0" w:line="360" w:lineRule="atLeast"/>
        <w:jc w:val="both"/>
        <w:rPr>
          <w:rFonts w:ascii="Verdana" w:hAnsi="Verdana"/>
          <w:sz w:val="21"/>
          <w:szCs w:val="21"/>
        </w:rPr>
      </w:pPr>
    </w:p>
    <w:tbl>
      <w:tblPr>
        <w:tblStyle w:val="TableGrid"/>
        <w:tblW w:w="0" w:type="auto"/>
        <w:tblLook w:val="04A0" w:firstRow="1" w:lastRow="0" w:firstColumn="1" w:lastColumn="0" w:noHBand="0" w:noVBand="1"/>
      </w:tblPr>
      <w:tblGrid>
        <w:gridCol w:w="3681"/>
        <w:gridCol w:w="1417"/>
        <w:gridCol w:w="284"/>
        <w:gridCol w:w="5096"/>
      </w:tblGrid>
      <w:tr w:rsidR="00293511" w14:paraId="50F30B0D" w14:textId="77777777" w:rsidTr="00293511">
        <w:tc>
          <w:tcPr>
            <w:tcW w:w="5098" w:type="dxa"/>
            <w:gridSpan w:val="2"/>
            <w:shd w:val="clear" w:color="auto" w:fill="C00000"/>
            <w:vAlign w:val="center"/>
          </w:tcPr>
          <w:p w14:paraId="0D125DDD" w14:textId="77777777" w:rsidR="00293511" w:rsidRDefault="00293511" w:rsidP="00293511">
            <w:pPr>
              <w:pStyle w:val="BodyText2"/>
              <w:spacing w:before="40" w:after="40" w:line="360" w:lineRule="atLeast"/>
              <w:jc w:val="center"/>
              <w:rPr>
                <w:rFonts w:ascii="Verdana" w:hAnsi="Verdana"/>
                <w:b/>
                <w:color w:val="FFFFFF" w:themeColor="background1"/>
                <w:sz w:val="18"/>
                <w:szCs w:val="18"/>
              </w:rPr>
            </w:pPr>
            <w:r w:rsidRPr="00E42A5C">
              <w:rPr>
                <w:rFonts w:ascii="Verdana" w:hAnsi="Verdana"/>
                <w:b/>
                <w:color w:val="FFFFFF" w:themeColor="background1"/>
                <w:sz w:val="18"/>
                <w:szCs w:val="18"/>
              </w:rPr>
              <w:t>Total Return</w:t>
            </w:r>
            <w:r>
              <w:rPr>
                <w:rFonts w:ascii="Verdana" w:hAnsi="Verdana"/>
                <w:b/>
                <w:color w:val="FFFFFF" w:themeColor="background1"/>
                <w:sz w:val="18"/>
                <w:szCs w:val="18"/>
              </w:rPr>
              <w:t xml:space="preserve"> Investment Performance</w:t>
            </w:r>
          </w:p>
          <w:p w14:paraId="76CD9921" w14:textId="3C0F9D0C" w:rsidR="00293511" w:rsidRPr="00E42A5C" w:rsidRDefault="00293511" w:rsidP="00293511">
            <w:pPr>
              <w:pStyle w:val="BodyText2"/>
              <w:spacing w:before="40" w:after="40" w:line="360" w:lineRule="atLeast"/>
              <w:jc w:val="center"/>
              <w:rPr>
                <w:rFonts w:ascii="Verdana" w:hAnsi="Verdana"/>
                <w:b/>
                <w:color w:val="FFFFFF" w:themeColor="background1"/>
                <w:sz w:val="18"/>
                <w:szCs w:val="18"/>
              </w:rPr>
            </w:pPr>
            <w:r>
              <w:rPr>
                <w:rFonts w:ascii="Verdana" w:hAnsi="Verdana"/>
                <w:b/>
                <w:color w:val="FFFFFF" w:themeColor="background1"/>
                <w:sz w:val="18"/>
                <w:szCs w:val="18"/>
              </w:rPr>
              <w:t>(Dec 2017 – Dec 2018)</w:t>
            </w:r>
          </w:p>
        </w:tc>
        <w:tc>
          <w:tcPr>
            <w:tcW w:w="284" w:type="dxa"/>
            <w:vMerge w:val="restart"/>
            <w:tcBorders>
              <w:top w:val="nil"/>
              <w:bottom w:val="nil"/>
              <w:right w:val="nil"/>
            </w:tcBorders>
          </w:tcPr>
          <w:p w14:paraId="1123D180" w14:textId="77777777" w:rsidR="00293511" w:rsidRDefault="00293511" w:rsidP="00293511">
            <w:pPr>
              <w:pStyle w:val="BodyText2"/>
              <w:spacing w:after="0" w:line="360" w:lineRule="atLeast"/>
              <w:jc w:val="both"/>
              <w:rPr>
                <w:rFonts w:ascii="Verdana" w:hAnsi="Verdana"/>
                <w:sz w:val="21"/>
                <w:szCs w:val="21"/>
              </w:rPr>
            </w:pPr>
          </w:p>
        </w:tc>
        <w:tc>
          <w:tcPr>
            <w:tcW w:w="5096" w:type="dxa"/>
            <w:vMerge w:val="restart"/>
            <w:tcBorders>
              <w:top w:val="nil"/>
              <w:left w:val="nil"/>
              <w:bottom w:val="nil"/>
              <w:right w:val="nil"/>
            </w:tcBorders>
          </w:tcPr>
          <w:p w14:paraId="48787A27" w14:textId="1B1DA620" w:rsidR="00293511" w:rsidRDefault="00293511" w:rsidP="00293511">
            <w:pPr>
              <w:pStyle w:val="BodyText2"/>
              <w:spacing w:after="0" w:line="360" w:lineRule="atLeast"/>
              <w:jc w:val="both"/>
              <w:rPr>
                <w:rFonts w:ascii="Verdana" w:hAnsi="Verdana"/>
                <w:sz w:val="21"/>
                <w:szCs w:val="21"/>
              </w:rPr>
            </w:pPr>
            <w:r>
              <w:rPr>
                <w:rFonts w:ascii="Verdana" w:hAnsi="Verdana"/>
                <w:sz w:val="21"/>
                <w:szCs w:val="21"/>
              </w:rPr>
              <w:t>With only resource and bond securities producing positive returns in 2018, the majority of ETFs with South African underlying investments, performed poorly last year, con</w:t>
            </w:r>
            <w:r w:rsidR="00174925">
              <w:rPr>
                <w:rFonts w:ascii="Verdana" w:hAnsi="Verdana"/>
                <w:sz w:val="21"/>
                <w:szCs w:val="21"/>
              </w:rPr>
              <w:t xml:space="preserve">solidating </w:t>
            </w:r>
            <w:r>
              <w:rPr>
                <w:rFonts w:ascii="Verdana" w:hAnsi="Verdana"/>
                <w:sz w:val="21"/>
                <w:szCs w:val="21"/>
              </w:rPr>
              <w:t>the falling trend in SA equity markets for the past 3 years.  The classic countercyclical asset classes, such as listed property, rand hedge listed instruments and smart beta products</w:t>
            </w:r>
            <w:r w:rsidR="00174925">
              <w:rPr>
                <w:rFonts w:ascii="Verdana" w:hAnsi="Verdana"/>
                <w:sz w:val="21"/>
                <w:szCs w:val="21"/>
              </w:rPr>
              <w:t>,</w:t>
            </w:r>
            <w:r>
              <w:rPr>
                <w:rFonts w:ascii="Verdana" w:hAnsi="Verdana"/>
                <w:sz w:val="21"/>
                <w:szCs w:val="21"/>
              </w:rPr>
              <w:t xml:space="preserve"> failed to provide hedges against generally poor equity markets, both locally and globally.  </w:t>
            </w:r>
          </w:p>
        </w:tc>
      </w:tr>
      <w:tr w:rsidR="00293511" w14:paraId="1DA67705" w14:textId="77777777" w:rsidTr="00293511">
        <w:tc>
          <w:tcPr>
            <w:tcW w:w="3681" w:type="dxa"/>
          </w:tcPr>
          <w:p w14:paraId="16FBC63F" w14:textId="5B7308AF" w:rsidR="00293511" w:rsidRPr="00E42A5C" w:rsidRDefault="00293511" w:rsidP="00293511">
            <w:pPr>
              <w:pStyle w:val="BodyText2"/>
              <w:spacing w:before="40" w:after="40" w:line="360" w:lineRule="atLeast"/>
              <w:jc w:val="both"/>
              <w:rPr>
                <w:rFonts w:ascii="Verdana" w:hAnsi="Verdana"/>
                <w:sz w:val="18"/>
                <w:szCs w:val="18"/>
              </w:rPr>
            </w:pPr>
            <w:r>
              <w:rPr>
                <w:rFonts w:ascii="Verdana" w:hAnsi="Verdana"/>
                <w:sz w:val="18"/>
                <w:szCs w:val="18"/>
              </w:rPr>
              <w:t>FTSE/JSE All Share Index</w:t>
            </w:r>
          </w:p>
        </w:tc>
        <w:tc>
          <w:tcPr>
            <w:tcW w:w="1417" w:type="dxa"/>
          </w:tcPr>
          <w:p w14:paraId="53F10E2A" w14:textId="7CB1F2DC" w:rsidR="00293511" w:rsidRPr="00E42A5C" w:rsidRDefault="00293511" w:rsidP="00293511">
            <w:pPr>
              <w:pStyle w:val="BodyText2"/>
              <w:spacing w:before="40" w:after="40" w:line="360" w:lineRule="atLeast"/>
              <w:jc w:val="center"/>
              <w:rPr>
                <w:rFonts w:ascii="Verdana" w:hAnsi="Verdana"/>
                <w:sz w:val="18"/>
                <w:szCs w:val="18"/>
              </w:rPr>
            </w:pPr>
            <w:r>
              <w:rPr>
                <w:rFonts w:ascii="Verdana" w:hAnsi="Verdana"/>
                <w:sz w:val="18"/>
                <w:szCs w:val="18"/>
              </w:rPr>
              <w:t>(8,53%)</w:t>
            </w:r>
          </w:p>
        </w:tc>
        <w:tc>
          <w:tcPr>
            <w:tcW w:w="284" w:type="dxa"/>
            <w:vMerge/>
            <w:tcBorders>
              <w:bottom w:val="nil"/>
              <w:right w:val="nil"/>
            </w:tcBorders>
          </w:tcPr>
          <w:p w14:paraId="02FC2A6B" w14:textId="77777777" w:rsidR="00293511" w:rsidRDefault="00293511" w:rsidP="00621DFE">
            <w:pPr>
              <w:pStyle w:val="BodyText2"/>
              <w:spacing w:after="0" w:line="320" w:lineRule="atLeast"/>
              <w:jc w:val="both"/>
              <w:rPr>
                <w:rFonts w:ascii="Verdana" w:hAnsi="Verdana"/>
                <w:sz w:val="21"/>
                <w:szCs w:val="21"/>
              </w:rPr>
            </w:pPr>
          </w:p>
        </w:tc>
        <w:tc>
          <w:tcPr>
            <w:tcW w:w="5096" w:type="dxa"/>
            <w:vMerge/>
            <w:tcBorders>
              <w:left w:val="nil"/>
              <w:bottom w:val="nil"/>
              <w:right w:val="nil"/>
            </w:tcBorders>
          </w:tcPr>
          <w:p w14:paraId="61B952B3" w14:textId="4E39303B" w:rsidR="00293511" w:rsidRDefault="00293511" w:rsidP="00621DFE">
            <w:pPr>
              <w:pStyle w:val="BodyText2"/>
              <w:spacing w:after="0" w:line="320" w:lineRule="atLeast"/>
              <w:jc w:val="both"/>
              <w:rPr>
                <w:rFonts w:ascii="Verdana" w:hAnsi="Verdana"/>
                <w:sz w:val="21"/>
                <w:szCs w:val="21"/>
              </w:rPr>
            </w:pPr>
          </w:p>
        </w:tc>
      </w:tr>
      <w:tr w:rsidR="00293511" w14:paraId="77105AAD" w14:textId="77777777" w:rsidTr="00293511">
        <w:tc>
          <w:tcPr>
            <w:tcW w:w="3681" w:type="dxa"/>
          </w:tcPr>
          <w:p w14:paraId="1630B411" w14:textId="5E9B7547" w:rsidR="00293511" w:rsidRPr="00E42A5C" w:rsidRDefault="00293511" w:rsidP="00293511">
            <w:pPr>
              <w:pStyle w:val="BodyText2"/>
              <w:spacing w:before="40" w:after="40" w:line="360" w:lineRule="atLeast"/>
              <w:jc w:val="both"/>
              <w:rPr>
                <w:rFonts w:ascii="Verdana" w:hAnsi="Verdana"/>
                <w:sz w:val="18"/>
                <w:szCs w:val="18"/>
              </w:rPr>
            </w:pPr>
            <w:r>
              <w:rPr>
                <w:rFonts w:ascii="Verdana" w:hAnsi="Verdana"/>
                <w:sz w:val="18"/>
                <w:szCs w:val="18"/>
              </w:rPr>
              <w:t>FTSE/JSE Top 40 Index</w:t>
            </w:r>
          </w:p>
        </w:tc>
        <w:tc>
          <w:tcPr>
            <w:tcW w:w="1417" w:type="dxa"/>
          </w:tcPr>
          <w:p w14:paraId="65789AF5" w14:textId="0AC3AFC8" w:rsidR="00293511" w:rsidRPr="00E42A5C" w:rsidRDefault="00293511" w:rsidP="00293511">
            <w:pPr>
              <w:pStyle w:val="BodyText2"/>
              <w:spacing w:before="40" w:after="40" w:line="360" w:lineRule="atLeast"/>
              <w:jc w:val="center"/>
              <w:rPr>
                <w:rFonts w:ascii="Verdana" w:hAnsi="Verdana"/>
                <w:sz w:val="18"/>
                <w:szCs w:val="18"/>
              </w:rPr>
            </w:pPr>
            <w:r>
              <w:rPr>
                <w:rFonts w:ascii="Verdana" w:hAnsi="Verdana"/>
                <w:sz w:val="18"/>
                <w:szCs w:val="18"/>
              </w:rPr>
              <w:t>(8,31%)</w:t>
            </w:r>
          </w:p>
        </w:tc>
        <w:tc>
          <w:tcPr>
            <w:tcW w:w="284" w:type="dxa"/>
            <w:vMerge/>
            <w:tcBorders>
              <w:bottom w:val="nil"/>
              <w:right w:val="nil"/>
            </w:tcBorders>
          </w:tcPr>
          <w:p w14:paraId="54BF6958" w14:textId="77777777" w:rsidR="00293511" w:rsidRDefault="00293511" w:rsidP="00621DFE">
            <w:pPr>
              <w:pStyle w:val="BodyText2"/>
              <w:spacing w:after="0" w:line="320" w:lineRule="atLeast"/>
              <w:jc w:val="both"/>
              <w:rPr>
                <w:rFonts w:ascii="Verdana" w:hAnsi="Verdana"/>
                <w:sz w:val="21"/>
                <w:szCs w:val="21"/>
              </w:rPr>
            </w:pPr>
          </w:p>
        </w:tc>
        <w:tc>
          <w:tcPr>
            <w:tcW w:w="5096" w:type="dxa"/>
            <w:vMerge/>
            <w:tcBorders>
              <w:left w:val="nil"/>
              <w:bottom w:val="nil"/>
              <w:right w:val="nil"/>
            </w:tcBorders>
          </w:tcPr>
          <w:p w14:paraId="5EDD9E57" w14:textId="661F2AF2" w:rsidR="00293511" w:rsidRDefault="00293511" w:rsidP="00621DFE">
            <w:pPr>
              <w:pStyle w:val="BodyText2"/>
              <w:spacing w:after="0" w:line="320" w:lineRule="atLeast"/>
              <w:jc w:val="both"/>
              <w:rPr>
                <w:rFonts w:ascii="Verdana" w:hAnsi="Verdana"/>
                <w:sz w:val="21"/>
                <w:szCs w:val="21"/>
              </w:rPr>
            </w:pPr>
          </w:p>
        </w:tc>
      </w:tr>
      <w:tr w:rsidR="00293511" w14:paraId="6DEEA1C9" w14:textId="77777777" w:rsidTr="00293511">
        <w:tc>
          <w:tcPr>
            <w:tcW w:w="3681" w:type="dxa"/>
          </w:tcPr>
          <w:p w14:paraId="49738E57" w14:textId="7EC7C871" w:rsidR="00293511" w:rsidRPr="00E42A5C" w:rsidRDefault="00293511" w:rsidP="00293511">
            <w:pPr>
              <w:pStyle w:val="BodyText2"/>
              <w:spacing w:before="40" w:after="40" w:line="360" w:lineRule="atLeast"/>
              <w:jc w:val="both"/>
              <w:rPr>
                <w:rFonts w:ascii="Verdana" w:hAnsi="Verdana"/>
                <w:sz w:val="18"/>
                <w:szCs w:val="18"/>
              </w:rPr>
            </w:pPr>
            <w:r>
              <w:rPr>
                <w:rFonts w:ascii="Verdana" w:hAnsi="Verdana"/>
                <w:sz w:val="18"/>
                <w:szCs w:val="18"/>
              </w:rPr>
              <w:t>FTSE/JSE Industrial 25 Index</w:t>
            </w:r>
          </w:p>
        </w:tc>
        <w:tc>
          <w:tcPr>
            <w:tcW w:w="1417" w:type="dxa"/>
          </w:tcPr>
          <w:p w14:paraId="7128843B" w14:textId="2B42A80B" w:rsidR="00293511" w:rsidRPr="00E42A5C" w:rsidRDefault="00293511" w:rsidP="00293511">
            <w:pPr>
              <w:pStyle w:val="BodyText2"/>
              <w:spacing w:before="40" w:after="40" w:line="360" w:lineRule="atLeast"/>
              <w:jc w:val="center"/>
              <w:rPr>
                <w:rFonts w:ascii="Verdana" w:hAnsi="Verdana"/>
                <w:sz w:val="18"/>
                <w:szCs w:val="18"/>
              </w:rPr>
            </w:pPr>
            <w:r>
              <w:rPr>
                <w:rFonts w:ascii="Verdana" w:hAnsi="Verdana"/>
                <w:sz w:val="18"/>
                <w:szCs w:val="18"/>
              </w:rPr>
              <w:t>(17,87%)</w:t>
            </w:r>
          </w:p>
        </w:tc>
        <w:tc>
          <w:tcPr>
            <w:tcW w:w="284" w:type="dxa"/>
            <w:vMerge/>
            <w:tcBorders>
              <w:bottom w:val="nil"/>
              <w:right w:val="nil"/>
            </w:tcBorders>
          </w:tcPr>
          <w:p w14:paraId="79C71936" w14:textId="77777777" w:rsidR="00293511" w:rsidRDefault="00293511" w:rsidP="00621DFE">
            <w:pPr>
              <w:pStyle w:val="BodyText2"/>
              <w:spacing w:after="0" w:line="320" w:lineRule="atLeast"/>
              <w:jc w:val="both"/>
              <w:rPr>
                <w:rFonts w:ascii="Verdana" w:hAnsi="Verdana"/>
                <w:sz w:val="21"/>
                <w:szCs w:val="21"/>
              </w:rPr>
            </w:pPr>
          </w:p>
        </w:tc>
        <w:tc>
          <w:tcPr>
            <w:tcW w:w="5096" w:type="dxa"/>
            <w:vMerge/>
            <w:tcBorders>
              <w:left w:val="nil"/>
              <w:bottom w:val="nil"/>
              <w:right w:val="nil"/>
            </w:tcBorders>
          </w:tcPr>
          <w:p w14:paraId="3A65C977" w14:textId="4E17954A" w:rsidR="00293511" w:rsidRDefault="00293511" w:rsidP="00621DFE">
            <w:pPr>
              <w:pStyle w:val="BodyText2"/>
              <w:spacing w:after="0" w:line="320" w:lineRule="atLeast"/>
              <w:jc w:val="both"/>
              <w:rPr>
                <w:rFonts w:ascii="Verdana" w:hAnsi="Verdana"/>
                <w:sz w:val="21"/>
                <w:szCs w:val="21"/>
              </w:rPr>
            </w:pPr>
          </w:p>
        </w:tc>
      </w:tr>
      <w:tr w:rsidR="00293511" w14:paraId="312AFD16" w14:textId="77777777" w:rsidTr="00293511">
        <w:tc>
          <w:tcPr>
            <w:tcW w:w="3681" w:type="dxa"/>
          </w:tcPr>
          <w:p w14:paraId="76C187C3" w14:textId="2C51A0E9" w:rsidR="00293511" w:rsidRPr="00E42A5C" w:rsidRDefault="00293511" w:rsidP="00293511">
            <w:pPr>
              <w:pStyle w:val="BodyText2"/>
              <w:spacing w:before="40" w:after="40" w:line="360" w:lineRule="atLeast"/>
              <w:jc w:val="both"/>
              <w:rPr>
                <w:rFonts w:ascii="Verdana" w:hAnsi="Verdana"/>
                <w:sz w:val="18"/>
                <w:szCs w:val="18"/>
              </w:rPr>
            </w:pPr>
            <w:r>
              <w:rPr>
                <w:rFonts w:ascii="Verdana" w:hAnsi="Verdana"/>
                <w:sz w:val="18"/>
                <w:szCs w:val="18"/>
              </w:rPr>
              <w:t>FTSE/JSE FINI 15 Index</w:t>
            </w:r>
          </w:p>
        </w:tc>
        <w:tc>
          <w:tcPr>
            <w:tcW w:w="1417" w:type="dxa"/>
          </w:tcPr>
          <w:p w14:paraId="79824BD5" w14:textId="5206392F" w:rsidR="00293511" w:rsidRPr="00E42A5C" w:rsidRDefault="00293511" w:rsidP="00293511">
            <w:pPr>
              <w:pStyle w:val="BodyText2"/>
              <w:spacing w:before="40" w:after="40" w:line="360" w:lineRule="atLeast"/>
              <w:jc w:val="center"/>
              <w:rPr>
                <w:rFonts w:ascii="Verdana" w:hAnsi="Verdana"/>
                <w:sz w:val="18"/>
                <w:szCs w:val="18"/>
              </w:rPr>
            </w:pPr>
            <w:r>
              <w:rPr>
                <w:rFonts w:ascii="Verdana" w:hAnsi="Verdana"/>
                <w:sz w:val="18"/>
                <w:szCs w:val="18"/>
              </w:rPr>
              <w:t>(8,76%)</w:t>
            </w:r>
          </w:p>
        </w:tc>
        <w:tc>
          <w:tcPr>
            <w:tcW w:w="284" w:type="dxa"/>
            <w:vMerge/>
            <w:tcBorders>
              <w:bottom w:val="nil"/>
              <w:right w:val="nil"/>
            </w:tcBorders>
          </w:tcPr>
          <w:p w14:paraId="5B685F29" w14:textId="77777777" w:rsidR="00293511" w:rsidRDefault="00293511" w:rsidP="00621DFE">
            <w:pPr>
              <w:pStyle w:val="BodyText2"/>
              <w:spacing w:after="0" w:line="320" w:lineRule="atLeast"/>
              <w:jc w:val="both"/>
              <w:rPr>
                <w:rFonts w:ascii="Verdana" w:hAnsi="Verdana"/>
                <w:sz w:val="21"/>
                <w:szCs w:val="21"/>
              </w:rPr>
            </w:pPr>
          </w:p>
        </w:tc>
        <w:tc>
          <w:tcPr>
            <w:tcW w:w="5096" w:type="dxa"/>
            <w:vMerge/>
            <w:tcBorders>
              <w:left w:val="nil"/>
              <w:bottom w:val="nil"/>
              <w:right w:val="nil"/>
            </w:tcBorders>
          </w:tcPr>
          <w:p w14:paraId="16A41E4C" w14:textId="2F5E9AE0" w:rsidR="00293511" w:rsidRDefault="00293511" w:rsidP="00621DFE">
            <w:pPr>
              <w:pStyle w:val="BodyText2"/>
              <w:spacing w:after="0" w:line="320" w:lineRule="atLeast"/>
              <w:jc w:val="both"/>
              <w:rPr>
                <w:rFonts w:ascii="Verdana" w:hAnsi="Verdana"/>
                <w:sz w:val="21"/>
                <w:szCs w:val="21"/>
              </w:rPr>
            </w:pPr>
          </w:p>
        </w:tc>
      </w:tr>
      <w:tr w:rsidR="00293511" w14:paraId="4E00C7A9" w14:textId="77777777" w:rsidTr="00293511">
        <w:tc>
          <w:tcPr>
            <w:tcW w:w="3681" w:type="dxa"/>
          </w:tcPr>
          <w:p w14:paraId="593C06AA" w14:textId="18D30A50" w:rsidR="00293511" w:rsidRPr="00E42A5C" w:rsidRDefault="00293511" w:rsidP="00293511">
            <w:pPr>
              <w:pStyle w:val="BodyText2"/>
              <w:spacing w:before="40" w:after="40" w:line="360" w:lineRule="atLeast"/>
              <w:jc w:val="both"/>
              <w:rPr>
                <w:rFonts w:ascii="Verdana" w:hAnsi="Verdana"/>
                <w:sz w:val="18"/>
                <w:szCs w:val="18"/>
              </w:rPr>
            </w:pPr>
            <w:r>
              <w:rPr>
                <w:rFonts w:ascii="Verdana" w:hAnsi="Verdana"/>
                <w:sz w:val="18"/>
                <w:szCs w:val="18"/>
              </w:rPr>
              <w:t>FTSE/JSE Resources 10 Index</w:t>
            </w:r>
          </w:p>
        </w:tc>
        <w:tc>
          <w:tcPr>
            <w:tcW w:w="1417" w:type="dxa"/>
          </w:tcPr>
          <w:p w14:paraId="6ED88125" w14:textId="4C19C5DA" w:rsidR="00293511" w:rsidRPr="00E42A5C" w:rsidRDefault="00293511" w:rsidP="00293511">
            <w:pPr>
              <w:pStyle w:val="BodyText2"/>
              <w:spacing w:before="40" w:after="40" w:line="360" w:lineRule="atLeast"/>
              <w:jc w:val="center"/>
              <w:rPr>
                <w:rFonts w:ascii="Verdana" w:hAnsi="Verdana"/>
                <w:sz w:val="18"/>
                <w:szCs w:val="18"/>
              </w:rPr>
            </w:pPr>
            <w:r>
              <w:rPr>
                <w:rFonts w:ascii="Verdana" w:hAnsi="Verdana"/>
                <w:sz w:val="18"/>
                <w:szCs w:val="18"/>
              </w:rPr>
              <w:t>17,77%</w:t>
            </w:r>
          </w:p>
        </w:tc>
        <w:tc>
          <w:tcPr>
            <w:tcW w:w="284" w:type="dxa"/>
            <w:vMerge/>
            <w:tcBorders>
              <w:bottom w:val="nil"/>
              <w:right w:val="nil"/>
            </w:tcBorders>
          </w:tcPr>
          <w:p w14:paraId="799DA20C" w14:textId="77777777" w:rsidR="00293511" w:rsidRDefault="00293511" w:rsidP="00621DFE">
            <w:pPr>
              <w:pStyle w:val="BodyText2"/>
              <w:spacing w:after="0" w:line="320" w:lineRule="atLeast"/>
              <w:jc w:val="both"/>
              <w:rPr>
                <w:rFonts w:ascii="Verdana" w:hAnsi="Verdana"/>
                <w:sz w:val="21"/>
                <w:szCs w:val="21"/>
              </w:rPr>
            </w:pPr>
          </w:p>
        </w:tc>
        <w:tc>
          <w:tcPr>
            <w:tcW w:w="5096" w:type="dxa"/>
            <w:vMerge/>
            <w:tcBorders>
              <w:left w:val="nil"/>
              <w:bottom w:val="nil"/>
              <w:right w:val="nil"/>
            </w:tcBorders>
          </w:tcPr>
          <w:p w14:paraId="02DF5D09" w14:textId="0228FDCF" w:rsidR="00293511" w:rsidRDefault="00293511" w:rsidP="00621DFE">
            <w:pPr>
              <w:pStyle w:val="BodyText2"/>
              <w:spacing w:after="0" w:line="320" w:lineRule="atLeast"/>
              <w:jc w:val="both"/>
              <w:rPr>
                <w:rFonts w:ascii="Verdana" w:hAnsi="Verdana"/>
                <w:sz w:val="21"/>
                <w:szCs w:val="21"/>
              </w:rPr>
            </w:pPr>
          </w:p>
        </w:tc>
      </w:tr>
      <w:tr w:rsidR="00293511" w14:paraId="04B57BC6" w14:textId="77777777" w:rsidTr="00293511">
        <w:tc>
          <w:tcPr>
            <w:tcW w:w="3681" w:type="dxa"/>
          </w:tcPr>
          <w:p w14:paraId="0EF86A61" w14:textId="0D1DE3C6" w:rsidR="00293511" w:rsidRPr="00E42A5C" w:rsidRDefault="00293511" w:rsidP="00293511">
            <w:pPr>
              <w:pStyle w:val="BodyText2"/>
              <w:spacing w:before="40" w:after="40" w:line="360" w:lineRule="atLeast"/>
              <w:jc w:val="both"/>
              <w:rPr>
                <w:rFonts w:ascii="Verdana" w:hAnsi="Verdana"/>
                <w:sz w:val="18"/>
                <w:szCs w:val="18"/>
              </w:rPr>
            </w:pPr>
            <w:r>
              <w:rPr>
                <w:rFonts w:ascii="Verdana" w:hAnsi="Verdana"/>
                <w:sz w:val="18"/>
                <w:szCs w:val="18"/>
              </w:rPr>
              <w:t>FTSE/JSE SA Property Index</w:t>
            </w:r>
          </w:p>
        </w:tc>
        <w:tc>
          <w:tcPr>
            <w:tcW w:w="1417" w:type="dxa"/>
          </w:tcPr>
          <w:p w14:paraId="6B15B665" w14:textId="66752142" w:rsidR="00293511" w:rsidRPr="00E42A5C" w:rsidRDefault="00293511" w:rsidP="00293511">
            <w:pPr>
              <w:pStyle w:val="BodyText2"/>
              <w:spacing w:before="40" w:after="40" w:line="360" w:lineRule="atLeast"/>
              <w:jc w:val="center"/>
              <w:rPr>
                <w:rFonts w:ascii="Verdana" w:hAnsi="Verdana"/>
                <w:sz w:val="18"/>
                <w:szCs w:val="18"/>
              </w:rPr>
            </w:pPr>
            <w:r>
              <w:rPr>
                <w:rFonts w:ascii="Verdana" w:hAnsi="Verdana"/>
                <w:sz w:val="18"/>
                <w:szCs w:val="18"/>
              </w:rPr>
              <w:t>(25,26%)</w:t>
            </w:r>
          </w:p>
        </w:tc>
        <w:tc>
          <w:tcPr>
            <w:tcW w:w="284" w:type="dxa"/>
            <w:vMerge/>
            <w:tcBorders>
              <w:bottom w:val="nil"/>
              <w:right w:val="nil"/>
            </w:tcBorders>
          </w:tcPr>
          <w:p w14:paraId="52BEF0CE" w14:textId="77777777" w:rsidR="00293511" w:rsidRDefault="00293511" w:rsidP="00621DFE">
            <w:pPr>
              <w:pStyle w:val="BodyText2"/>
              <w:spacing w:after="0" w:line="320" w:lineRule="atLeast"/>
              <w:jc w:val="both"/>
              <w:rPr>
                <w:rFonts w:ascii="Verdana" w:hAnsi="Verdana"/>
                <w:sz w:val="21"/>
                <w:szCs w:val="21"/>
              </w:rPr>
            </w:pPr>
          </w:p>
        </w:tc>
        <w:tc>
          <w:tcPr>
            <w:tcW w:w="5096" w:type="dxa"/>
            <w:vMerge/>
            <w:tcBorders>
              <w:left w:val="nil"/>
              <w:bottom w:val="nil"/>
              <w:right w:val="nil"/>
            </w:tcBorders>
          </w:tcPr>
          <w:p w14:paraId="3B033282" w14:textId="04693265" w:rsidR="00293511" w:rsidRDefault="00293511" w:rsidP="00621DFE">
            <w:pPr>
              <w:pStyle w:val="BodyText2"/>
              <w:spacing w:after="0" w:line="320" w:lineRule="atLeast"/>
              <w:jc w:val="both"/>
              <w:rPr>
                <w:rFonts w:ascii="Verdana" w:hAnsi="Verdana"/>
                <w:sz w:val="21"/>
                <w:szCs w:val="21"/>
              </w:rPr>
            </w:pPr>
          </w:p>
        </w:tc>
      </w:tr>
      <w:tr w:rsidR="00293511" w14:paraId="5D9BDE57" w14:textId="77777777" w:rsidTr="00293511">
        <w:tc>
          <w:tcPr>
            <w:tcW w:w="3681" w:type="dxa"/>
          </w:tcPr>
          <w:p w14:paraId="415A068A" w14:textId="24C7F9A7" w:rsidR="00293511" w:rsidRPr="00E42A5C" w:rsidRDefault="00174925" w:rsidP="00293511">
            <w:pPr>
              <w:pStyle w:val="BodyText2"/>
              <w:spacing w:before="40" w:after="40" w:line="360" w:lineRule="atLeast"/>
              <w:jc w:val="both"/>
              <w:rPr>
                <w:rFonts w:ascii="Verdana" w:hAnsi="Verdana"/>
                <w:sz w:val="18"/>
                <w:szCs w:val="18"/>
              </w:rPr>
            </w:pPr>
            <w:r>
              <w:rPr>
                <w:rFonts w:ascii="Verdana" w:hAnsi="Verdana"/>
                <w:sz w:val="18"/>
                <w:szCs w:val="18"/>
              </w:rPr>
              <w:t xml:space="preserve">SA </w:t>
            </w:r>
            <w:r w:rsidR="00293511">
              <w:rPr>
                <w:rFonts w:ascii="Verdana" w:hAnsi="Verdana"/>
                <w:sz w:val="18"/>
                <w:szCs w:val="18"/>
              </w:rPr>
              <w:t>All Bond Index</w:t>
            </w:r>
          </w:p>
        </w:tc>
        <w:tc>
          <w:tcPr>
            <w:tcW w:w="1417" w:type="dxa"/>
          </w:tcPr>
          <w:p w14:paraId="35B9AB09" w14:textId="5BA48AD6" w:rsidR="00293511" w:rsidRPr="00E42A5C" w:rsidRDefault="00293511" w:rsidP="00293511">
            <w:pPr>
              <w:pStyle w:val="BodyText2"/>
              <w:spacing w:before="40" w:after="40" w:line="360" w:lineRule="atLeast"/>
              <w:jc w:val="center"/>
              <w:rPr>
                <w:rFonts w:ascii="Verdana" w:hAnsi="Verdana"/>
                <w:sz w:val="18"/>
                <w:szCs w:val="18"/>
              </w:rPr>
            </w:pPr>
            <w:r>
              <w:rPr>
                <w:rFonts w:ascii="Verdana" w:hAnsi="Verdana"/>
                <w:sz w:val="18"/>
                <w:szCs w:val="18"/>
              </w:rPr>
              <w:t>7,74%</w:t>
            </w:r>
          </w:p>
        </w:tc>
        <w:tc>
          <w:tcPr>
            <w:tcW w:w="284" w:type="dxa"/>
            <w:vMerge/>
            <w:tcBorders>
              <w:bottom w:val="nil"/>
              <w:right w:val="nil"/>
            </w:tcBorders>
          </w:tcPr>
          <w:p w14:paraId="69051E53" w14:textId="77777777" w:rsidR="00293511" w:rsidRDefault="00293511" w:rsidP="00621DFE">
            <w:pPr>
              <w:pStyle w:val="BodyText2"/>
              <w:spacing w:after="0" w:line="320" w:lineRule="atLeast"/>
              <w:jc w:val="both"/>
              <w:rPr>
                <w:rFonts w:ascii="Verdana" w:hAnsi="Verdana"/>
                <w:sz w:val="21"/>
                <w:szCs w:val="21"/>
              </w:rPr>
            </w:pPr>
          </w:p>
        </w:tc>
        <w:tc>
          <w:tcPr>
            <w:tcW w:w="5096" w:type="dxa"/>
            <w:vMerge/>
            <w:tcBorders>
              <w:left w:val="nil"/>
              <w:bottom w:val="nil"/>
              <w:right w:val="nil"/>
            </w:tcBorders>
          </w:tcPr>
          <w:p w14:paraId="2EE33603" w14:textId="34CE4A4C" w:rsidR="00293511" w:rsidRDefault="00293511" w:rsidP="00621DFE">
            <w:pPr>
              <w:pStyle w:val="BodyText2"/>
              <w:spacing w:after="0" w:line="320" w:lineRule="atLeast"/>
              <w:jc w:val="both"/>
              <w:rPr>
                <w:rFonts w:ascii="Verdana" w:hAnsi="Verdana"/>
                <w:sz w:val="21"/>
                <w:szCs w:val="21"/>
              </w:rPr>
            </w:pPr>
          </w:p>
        </w:tc>
      </w:tr>
    </w:tbl>
    <w:p w14:paraId="00B3E022" w14:textId="17525CBA" w:rsidR="00E42A5C" w:rsidRDefault="00E42A5C" w:rsidP="00621DFE">
      <w:pPr>
        <w:pStyle w:val="BodyText2"/>
        <w:spacing w:after="0" w:line="320" w:lineRule="atLeast"/>
        <w:jc w:val="both"/>
        <w:rPr>
          <w:rFonts w:ascii="Verdana" w:hAnsi="Verdana"/>
          <w:sz w:val="21"/>
          <w:szCs w:val="21"/>
        </w:rPr>
      </w:pPr>
    </w:p>
    <w:p w14:paraId="4DBBFF7F" w14:textId="5E5AA613" w:rsidR="00293511" w:rsidRDefault="00174925" w:rsidP="00293511">
      <w:pPr>
        <w:pStyle w:val="BodyText2"/>
        <w:spacing w:after="0" w:line="360" w:lineRule="atLeast"/>
        <w:jc w:val="both"/>
        <w:rPr>
          <w:rFonts w:ascii="Verdana" w:hAnsi="Verdana"/>
          <w:sz w:val="21"/>
          <w:szCs w:val="21"/>
        </w:rPr>
      </w:pPr>
      <w:r>
        <w:rPr>
          <w:rFonts w:ascii="Verdana" w:hAnsi="Verdana"/>
          <w:sz w:val="21"/>
          <w:szCs w:val="21"/>
        </w:rPr>
        <w:t xml:space="preserve">Some </w:t>
      </w:r>
      <w:r w:rsidR="00293511">
        <w:rPr>
          <w:rFonts w:ascii="Verdana" w:hAnsi="Verdana"/>
          <w:sz w:val="21"/>
          <w:szCs w:val="21"/>
        </w:rPr>
        <w:t>asset types</w:t>
      </w:r>
      <w:r>
        <w:rPr>
          <w:rFonts w:ascii="Verdana" w:hAnsi="Verdana"/>
          <w:sz w:val="21"/>
          <w:szCs w:val="21"/>
        </w:rPr>
        <w:t>,</w:t>
      </w:r>
      <w:r w:rsidR="00293511">
        <w:rPr>
          <w:rFonts w:ascii="Verdana" w:hAnsi="Verdana"/>
          <w:sz w:val="21"/>
          <w:szCs w:val="21"/>
        </w:rPr>
        <w:t xml:space="preserve"> such as commodities, particularly the ra</w:t>
      </w:r>
      <w:r>
        <w:rPr>
          <w:rFonts w:ascii="Verdana" w:hAnsi="Verdana"/>
          <w:sz w:val="21"/>
          <w:szCs w:val="21"/>
        </w:rPr>
        <w:t>re</w:t>
      </w:r>
      <w:r w:rsidR="00293511">
        <w:rPr>
          <w:rFonts w:ascii="Verdana" w:hAnsi="Verdana"/>
          <w:sz w:val="21"/>
          <w:szCs w:val="21"/>
        </w:rPr>
        <w:t xml:space="preserve"> commodities, like platinum and rhodium, together with resource listed ETFs, come to the rescue and have topped the investment performance tables, for </w:t>
      </w:r>
      <w:r>
        <w:rPr>
          <w:rFonts w:ascii="Verdana" w:hAnsi="Verdana"/>
          <w:sz w:val="21"/>
          <w:szCs w:val="21"/>
        </w:rPr>
        <w:t>periods of up</w:t>
      </w:r>
      <w:r w:rsidR="00293511">
        <w:rPr>
          <w:rFonts w:ascii="Verdana" w:hAnsi="Verdana"/>
          <w:sz w:val="21"/>
          <w:szCs w:val="21"/>
        </w:rPr>
        <w:t xml:space="preserve"> to 3 years.  The high yields provided by the PrefTrax ETF also rewarded investors as the capital values of the underlying preference shares in this index </w:t>
      </w:r>
      <w:r>
        <w:rPr>
          <w:rFonts w:ascii="Verdana" w:hAnsi="Verdana"/>
          <w:sz w:val="21"/>
          <w:szCs w:val="21"/>
        </w:rPr>
        <w:t>held steady</w:t>
      </w:r>
      <w:r w:rsidR="00293511">
        <w:rPr>
          <w:rFonts w:ascii="Verdana" w:hAnsi="Verdana"/>
          <w:sz w:val="21"/>
          <w:szCs w:val="21"/>
        </w:rPr>
        <w:t xml:space="preserve">.  </w:t>
      </w:r>
    </w:p>
    <w:p w14:paraId="0E82B424" w14:textId="77777777" w:rsidR="00E42A5C" w:rsidRDefault="00E42A5C" w:rsidP="00293511">
      <w:pPr>
        <w:pStyle w:val="BodyText2"/>
        <w:spacing w:after="0" w:line="360" w:lineRule="atLeast"/>
        <w:jc w:val="both"/>
        <w:rPr>
          <w:rFonts w:ascii="Verdana" w:hAnsi="Verdana"/>
          <w:sz w:val="21"/>
          <w:szCs w:val="21"/>
        </w:rPr>
      </w:pPr>
    </w:p>
    <w:p w14:paraId="7BCE3445" w14:textId="30B83B6B" w:rsidR="00E42A5C" w:rsidRDefault="00E42A5C">
      <w:pPr>
        <w:spacing w:after="160" w:line="259" w:lineRule="auto"/>
        <w:rPr>
          <w:rFonts w:ascii="Verdana" w:eastAsia="Times New Roman" w:hAnsi="Verdana" w:cs="Arial"/>
          <w:sz w:val="21"/>
          <w:szCs w:val="21"/>
        </w:rPr>
      </w:pPr>
      <w:r>
        <w:rPr>
          <w:rFonts w:ascii="Verdana" w:hAnsi="Verdana"/>
          <w:sz w:val="21"/>
          <w:szCs w:val="21"/>
        </w:rPr>
        <w:br w:type="page"/>
      </w:r>
    </w:p>
    <w:p w14:paraId="26CC578E" w14:textId="77777777" w:rsidR="00E42A5C" w:rsidRPr="00621DFE" w:rsidRDefault="00E42A5C" w:rsidP="00621DFE">
      <w:pPr>
        <w:pStyle w:val="BodyText2"/>
        <w:spacing w:after="0" w:line="320" w:lineRule="atLeast"/>
        <w:jc w:val="both"/>
        <w:rPr>
          <w:rFonts w:ascii="Verdana" w:hAnsi="Verdana"/>
          <w:sz w:val="21"/>
          <w:szCs w:val="21"/>
        </w:rPr>
      </w:pPr>
    </w:p>
    <w:p w14:paraId="36256AD1" w14:textId="547FB329" w:rsidR="003C4A8C" w:rsidRDefault="003C4A8C" w:rsidP="003C4A8C">
      <w:pPr>
        <w:pStyle w:val="BodyText2"/>
        <w:spacing w:after="0" w:line="280" w:lineRule="atLeast"/>
        <w:jc w:val="both"/>
        <w:rPr>
          <w:rFonts w:ascii="Verdana" w:hAnsi="Verdana"/>
          <w:sz w:val="18"/>
          <w:szCs w:val="18"/>
        </w:rPr>
      </w:pPr>
    </w:p>
    <w:p w14:paraId="3F306EBD" w14:textId="0C700E77" w:rsidR="004563FA" w:rsidRPr="00B32D6E" w:rsidRDefault="004563FA" w:rsidP="00B32D6E">
      <w:pPr>
        <w:pStyle w:val="BodyText2"/>
        <w:spacing w:after="0" w:line="240" w:lineRule="auto"/>
        <w:jc w:val="center"/>
        <w:rPr>
          <w:rFonts w:ascii="Verdana" w:hAnsi="Verdana"/>
          <w:sz w:val="16"/>
          <w:szCs w:val="16"/>
        </w:rPr>
      </w:pPr>
    </w:p>
    <w:p w14:paraId="722564FA" w14:textId="77777777" w:rsidR="0061409B" w:rsidRPr="00ED3E5B" w:rsidRDefault="0061409B" w:rsidP="00911FC2">
      <w:pPr>
        <w:spacing w:after="0" w:line="240" w:lineRule="auto"/>
        <w:rPr>
          <w:rFonts w:ascii="Verdana" w:hAnsi="Verdana"/>
          <w:b/>
          <w:sz w:val="19"/>
          <w:szCs w:val="19"/>
        </w:rPr>
      </w:pPr>
      <w:r w:rsidRPr="00ED3E5B">
        <w:rPr>
          <w:rFonts w:ascii="Verdana" w:hAnsi="Verdana"/>
          <w:b/>
          <w:sz w:val="19"/>
          <w:szCs w:val="19"/>
        </w:rPr>
        <w:t>Summary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851"/>
        <w:gridCol w:w="1134"/>
        <w:gridCol w:w="1211"/>
        <w:gridCol w:w="1907"/>
        <w:gridCol w:w="851"/>
        <w:gridCol w:w="1127"/>
      </w:tblGrid>
      <w:tr w:rsidR="0061409B" w:rsidRPr="00804DEE" w14:paraId="5CA4B5DC" w14:textId="77777777" w:rsidTr="008F0BEC">
        <w:tc>
          <w:tcPr>
            <w:tcW w:w="10370" w:type="dxa"/>
            <w:gridSpan w:val="7"/>
            <w:shd w:val="clear" w:color="auto" w:fill="CB2229"/>
            <w:vAlign w:val="center"/>
          </w:tcPr>
          <w:p w14:paraId="1F9FB6CB" w14:textId="77777777" w:rsidR="0061409B" w:rsidRPr="005B7B53" w:rsidRDefault="0061409B" w:rsidP="00D14DD2">
            <w:pPr>
              <w:pStyle w:val="BodyText2"/>
              <w:spacing w:before="40" w:after="40" w:line="280" w:lineRule="atLeast"/>
              <w:jc w:val="center"/>
              <w:rPr>
                <w:rFonts w:ascii="Verdana" w:hAnsi="Verdana"/>
                <w:b/>
                <w:color w:val="FFFFFF"/>
                <w:sz w:val="17"/>
                <w:szCs w:val="17"/>
              </w:rPr>
            </w:pPr>
            <w:bookmarkStart w:id="3" w:name="_Hlk355605138"/>
            <w:r w:rsidRPr="005B7B53">
              <w:rPr>
                <w:rFonts w:ascii="Verdana" w:hAnsi="Verdana"/>
                <w:b/>
                <w:color w:val="FFFFFF"/>
                <w:sz w:val="17"/>
                <w:szCs w:val="17"/>
              </w:rPr>
              <w:t>etfSA.co.za Monthly Performance Survey</w:t>
            </w:r>
          </w:p>
          <w:p w14:paraId="4D3459D8" w14:textId="7F7112F3" w:rsidR="0061409B" w:rsidRPr="005B7B53" w:rsidRDefault="0061409B" w:rsidP="00D14DD2">
            <w:pPr>
              <w:pStyle w:val="BodyText2"/>
              <w:spacing w:before="40" w:after="40" w:line="280" w:lineRule="atLeast"/>
              <w:jc w:val="center"/>
              <w:rPr>
                <w:rFonts w:ascii="Verdana" w:hAnsi="Verdana"/>
                <w:b/>
                <w:color w:val="FFFFFF"/>
                <w:sz w:val="17"/>
                <w:szCs w:val="17"/>
              </w:rPr>
            </w:pPr>
            <w:r w:rsidRPr="005B7B53">
              <w:rPr>
                <w:rFonts w:ascii="Verdana" w:hAnsi="Verdana"/>
                <w:b/>
                <w:color w:val="FFFFFF"/>
                <w:sz w:val="17"/>
                <w:szCs w:val="17"/>
              </w:rPr>
              <w:t>Best Performing Index Tracker Funds –</w:t>
            </w:r>
            <w:r w:rsidR="00E65B2C">
              <w:rPr>
                <w:rFonts w:ascii="Verdana" w:hAnsi="Verdana"/>
                <w:b/>
                <w:color w:val="FFFFFF"/>
                <w:sz w:val="17"/>
                <w:szCs w:val="17"/>
              </w:rPr>
              <w:t>3</w:t>
            </w:r>
            <w:r w:rsidR="0022723F">
              <w:rPr>
                <w:rFonts w:ascii="Verdana" w:hAnsi="Verdana"/>
                <w:b/>
                <w:color w:val="FFFFFF"/>
                <w:sz w:val="17"/>
                <w:szCs w:val="17"/>
              </w:rPr>
              <w:t>1</w:t>
            </w:r>
            <w:r w:rsidR="00603CB8">
              <w:rPr>
                <w:rFonts w:ascii="Verdana" w:hAnsi="Verdana"/>
                <w:b/>
                <w:color w:val="FFFFFF"/>
                <w:sz w:val="17"/>
                <w:szCs w:val="17"/>
              </w:rPr>
              <w:t xml:space="preserve"> </w:t>
            </w:r>
            <w:r w:rsidR="0022723F">
              <w:rPr>
                <w:rFonts w:ascii="Verdana" w:hAnsi="Verdana"/>
                <w:b/>
                <w:color w:val="FFFFFF"/>
                <w:sz w:val="17"/>
                <w:szCs w:val="17"/>
              </w:rPr>
              <w:t>Dec</w:t>
            </w:r>
            <w:r w:rsidR="002F06A1">
              <w:rPr>
                <w:rFonts w:ascii="Verdana" w:hAnsi="Verdana"/>
                <w:b/>
                <w:color w:val="FFFFFF"/>
                <w:sz w:val="17"/>
                <w:szCs w:val="17"/>
              </w:rPr>
              <w:t>em</w:t>
            </w:r>
            <w:r w:rsidR="00603CB8">
              <w:rPr>
                <w:rFonts w:ascii="Verdana" w:hAnsi="Verdana"/>
                <w:b/>
                <w:color w:val="FFFFFF"/>
                <w:sz w:val="17"/>
                <w:szCs w:val="17"/>
              </w:rPr>
              <w:t>ber</w:t>
            </w:r>
            <w:r w:rsidRPr="005B7B53">
              <w:rPr>
                <w:rFonts w:ascii="Verdana" w:hAnsi="Verdana"/>
                <w:b/>
                <w:color w:val="FFFFFF"/>
                <w:sz w:val="17"/>
                <w:szCs w:val="17"/>
              </w:rPr>
              <w:t xml:space="preserve"> 201</w:t>
            </w:r>
            <w:r w:rsidR="006841F4">
              <w:rPr>
                <w:rFonts w:ascii="Verdana" w:hAnsi="Verdana"/>
                <w:b/>
                <w:color w:val="FFFFFF"/>
                <w:sz w:val="17"/>
                <w:szCs w:val="17"/>
              </w:rPr>
              <w:t>8</w:t>
            </w:r>
          </w:p>
          <w:p w14:paraId="6C6793F9" w14:textId="557DEB70" w:rsidR="0061409B" w:rsidRPr="00000A2B" w:rsidRDefault="0061409B" w:rsidP="00D14DD2">
            <w:pPr>
              <w:pStyle w:val="BodyText2"/>
              <w:spacing w:before="40" w:after="40" w:line="280" w:lineRule="atLeast"/>
              <w:jc w:val="center"/>
              <w:rPr>
                <w:rFonts w:ascii="Verdana" w:hAnsi="Verdana"/>
                <w:b/>
                <w:color w:val="FFFFFF"/>
                <w:sz w:val="18"/>
                <w:szCs w:val="18"/>
              </w:rPr>
            </w:pPr>
            <w:r w:rsidRPr="005B7B53">
              <w:rPr>
                <w:rFonts w:ascii="Verdana" w:hAnsi="Verdana"/>
                <w:b/>
                <w:color w:val="FFFFFF"/>
                <w:sz w:val="17"/>
                <w:szCs w:val="17"/>
              </w:rPr>
              <w:t>(Total Return %</w:t>
            </w:r>
            <w:r>
              <w:rPr>
                <w:rFonts w:ascii="Verdana" w:hAnsi="Verdana"/>
                <w:b/>
                <w:color w:val="FFFFFF"/>
                <w:sz w:val="17"/>
                <w:szCs w:val="17"/>
              </w:rPr>
              <w:t xml:space="preserve"> Performance</w:t>
            </w:r>
            <w:r w:rsidR="00FD45E3">
              <w:rPr>
                <w:rFonts w:ascii="Verdana" w:hAnsi="Verdana"/>
                <w:b/>
                <w:color w:val="FFFFFF"/>
                <w:sz w:val="17"/>
                <w:szCs w:val="17"/>
              </w:rPr>
              <w:t>*</w:t>
            </w:r>
            <w:r w:rsidRPr="005B7B53">
              <w:rPr>
                <w:rFonts w:ascii="Verdana" w:hAnsi="Verdana"/>
                <w:b/>
                <w:color w:val="FFFFFF"/>
                <w:sz w:val="17"/>
                <w:szCs w:val="17"/>
              </w:rPr>
              <w:t>)</w:t>
            </w:r>
          </w:p>
        </w:tc>
      </w:tr>
      <w:tr w:rsidR="000516BD" w:rsidRPr="00804DEE" w14:paraId="7FB3FF7B" w14:textId="77777777" w:rsidTr="000516BD">
        <w:tc>
          <w:tcPr>
            <w:tcW w:w="3289" w:type="dxa"/>
            <w:shd w:val="clear" w:color="auto" w:fill="4C4C4C"/>
            <w:vAlign w:val="center"/>
          </w:tcPr>
          <w:p w14:paraId="35E1A33F" w14:textId="77777777" w:rsidR="000516BD" w:rsidRPr="005B7B53" w:rsidRDefault="000516BD" w:rsidP="00D14DD2">
            <w:pPr>
              <w:pStyle w:val="BodyText2"/>
              <w:spacing w:before="4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2C407810" w14:textId="77777777" w:rsidR="000516BD" w:rsidRPr="005B7B53" w:rsidRDefault="000516BD" w:rsidP="00D14DD2">
            <w:pPr>
              <w:pStyle w:val="BodyText2"/>
              <w:spacing w:before="4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34" w:type="dxa"/>
            <w:tcBorders>
              <w:right w:val="single" w:sz="18" w:space="0" w:color="auto"/>
            </w:tcBorders>
            <w:shd w:val="clear" w:color="auto" w:fill="4C4C4C"/>
            <w:vAlign w:val="center"/>
          </w:tcPr>
          <w:p w14:paraId="404ABEED" w14:textId="77777777" w:rsidR="000516BD" w:rsidRPr="005B7B53" w:rsidRDefault="000516BD" w:rsidP="00D14DD2">
            <w:pPr>
              <w:pStyle w:val="BodyText2"/>
              <w:spacing w:before="40" w:after="40" w:line="280" w:lineRule="atLeast"/>
              <w:jc w:val="center"/>
              <w:rPr>
                <w:rFonts w:ascii="Verdana" w:hAnsi="Verdana"/>
                <w:b/>
                <w:color w:val="FFFFFF"/>
                <w:sz w:val="17"/>
                <w:szCs w:val="17"/>
              </w:rPr>
            </w:pPr>
            <w:r>
              <w:rPr>
                <w:rFonts w:ascii="Verdana" w:hAnsi="Verdana"/>
                <w:b/>
                <w:color w:val="FFFFFF"/>
                <w:sz w:val="17"/>
                <w:szCs w:val="17"/>
              </w:rPr>
              <w:t>10</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c>
          <w:tcPr>
            <w:tcW w:w="3118" w:type="dxa"/>
            <w:gridSpan w:val="2"/>
            <w:tcBorders>
              <w:left w:val="single" w:sz="18" w:space="0" w:color="auto"/>
            </w:tcBorders>
            <w:shd w:val="clear" w:color="auto" w:fill="4C4C4C"/>
            <w:vAlign w:val="center"/>
          </w:tcPr>
          <w:p w14:paraId="13A2AA14" w14:textId="77777777" w:rsidR="000516BD" w:rsidRPr="005B7B53" w:rsidRDefault="000516BD" w:rsidP="00D14DD2">
            <w:pPr>
              <w:pStyle w:val="BodyText2"/>
              <w:spacing w:before="4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626386F2" w14:textId="77777777" w:rsidR="000516BD" w:rsidRPr="005B7B53" w:rsidRDefault="000516BD" w:rsidP="00D14DD2">
            <w:pPr>
              <w:pStyle w:val="BodyText2"/>
              <w:spacing w:before="4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27" w:type="dxa"/>
            <w:shd w:val="clear" w:color="auto" w:fill="4C4C4C"/>
          </w:tcPr>
          <w:p w14:paraId="1F3CEF45" w14:textId="77777777" w:rsidR="000516BD" w:rsidRPr="005B7B53" w:rsidRDefault="000516BD" w:rsidP="00D14DD2">
            <w:pPr>
              <w:pStyle w:val="BodyText2"/>
              <w:spacing w:before="40" w:after="40" w:line="280" w:lineRule="atLeast"/>
              <w:jc w:val="center"/>
              <w:rPr>
                <w:rFonts w:ascii="Verdana" w:hAnsi="Verdana"/>
                <w:b/>
                <w:color w:val="FFFFFF"/>
                <w:sz w:val="17"/>
                <w:szCs w:val="17"/>
              </w:rPr>
            </w:pPr>
            <w:r>
              <w:rPr>
                <w:rFonts w:ascii="Verdana" w:hAnsi="Verdana"/>
                <w:b/>
                <w:color w:val="FFFFFF"/>
                <w:sz w:val="17"/>
                <w:szCs w:val="17"/>
              </w:rPr>
              <w:t>5</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r>
      <w:tr w:rsidR="00DC6D1C" w:rsidRPr="00804DEE" w14:paraId="72E0C38F" w14:textId="77777777" w:rsidTr="000516BD">
        <w:tc>
          <w:tcPr>
            <w:tcW w:w="3289" w:type="dxa"/>
            <w:shd w:val="clear" w:color="auto" w:fill="auto"/>
            <w:vAlign w:val="center"/>
          </w:tcPr>
          <w:p w14:paraId="375D1496" w14:textId="35F26E7A" w:rsidR="00DC6D1C" w:rsidRPr="005B7B53" w:rsidRDefault="00DC6D1C" w:rsidP="00D14DD2">
            <w:pPr>
              <w:pStyle w:val="BodyText2"/>
              <w:spacing w:before="40" w:after="40" w:line="280" w:lineRule="atLeast"/>
              <w:rPr>
                <w:rFonts w:ascii="Verdana" w:hAnsi="Verdana"/>
                <w:sz w:val="17"/>
                <w:szCs w:val="17"/>
              </w:rPr>
            </w:pPr>
            <w:r>
              <w:rPr>
                <w:rFonts w:ascii="Verdana" w:hAnsi="Verdana"/>
                <w:sz w:val="17"/>
                <w:szCs w:val="17"/>
              </w:rPr>
              <w:t>Sygnia/Itrix MSCI USA</w:t>
            </w:r>
          </w:p>
        </w:tc>
        <w:tc>
          <w:tcPr>
            <w:tcW w:w="851" w:type="dxa"/>
            <w:shd w:val="clear" w:color="auto" w:fill="auto"/>
            <w:vAlign w:val="center"/>
          </w:tcPr>
          <w:p w14:paraId="08EB7E8F" w14:textId="3084FFBC" w:rsidR="00DC6D1C" w:rsidRPr="005B7B53" w:rsidRDefault="00DC6D1C" w:rsidP="00D14DD2">
            <w:pPr>
              <w:pStyle w:val="BodyText2"/>
              <w:spacing w:before="40" w:after="40" w:line="28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4D62F30A" w14:textId="1D0AD437" w:rsidR="00DC6D1C" w:rsidRPr="005B7B53" w:rsidRDefault="00CF4534" w:rsidP="00D14DD2">
            <w:pPr>
              <w:pStyle w:val="BodyText2"/>
              <w:spacing w:before="40" w:after="40" w:line="280" w:lineRule="atLeast"/>
              <w:jc w:val="center"/>
              <w:rPr>
                <w:rFonts w:ascii="Verdana" w:hAnsi="Verdana"/>
                <w:sz w:val="17"/>
                <w:szCs w:val="17"/>
              </w:rPr>
            </w:pPr>
            <w:r>
              <w:rPr>
                <w:rFonts w:ascii="Verdana" w:hAnsi="Verdana"/>
                <w:sz w:val="17"/>
                <w:szCs w:val="17"/>
              </w:rPr>
              <w:t>16,83%</w:t>
            </w:r>
          </w:p>
        </w:tc>
        <w:tc>
          <w:tcPr>
            <w:tcW w:w="3118" w:type="dxa"/>
            <w:gridSpan w:val="2"/>
            <w:tcBorders>
              <w:left w:val="single" w:sz="18" w:space="0" w:color="auto"/>
            </w:tcBorders>
            <w:vAlign w:val="center"/>
          </w:tcPr>
          <w:p w14:paraId="2D4CD783" w14:textId="5C3F21A6" w:rsidR="00DC6D1C" w:rsidRPr="005B7B53" w:rsidRDefault="00DC6D1C" w:rsidP="00D14DD2">
            <w:pPr>
              <w:pStyle w:val="BodyText2"/>
              <w:spacing w:before="40" w:after="40" w:line="280" w:lineRule="atLeast"/>
              <w:rPr>
                <w:rFonts w:ascii="Verdana" w:hAnsi="Verdana"/>
                <w:sz w:val="17"/>
                <w:szCs w:val="17"/>
              </w:rPr>
            </w:pPr>
            <w:r>
              <w:rPr>
                <w:rFonts w:ascii="Verdana" w:hAnsi="Verdana"/>
                <w:sz w:val="17"/>
                <w:szCs w:val="17"/>
              </w:rPr>
              <w:t>Standard Bank Palladium Linker</w:t>
            </w:r>
          </w:p>
        </w:tc>
        <w:tc>
          <w:tcPr>
            <w:tcW w:w="851" w:type="dxa"/>
            <w:vAlign w:val="center"/>
          </w:tcPr>
          <w:p w14:paraId="77F47828" w14:textId="7CFAD0B1" w:rsidR="00DC6D1C" w:rsidRPr="005B7B53" w:rsidRDefault="00DC6D1C" w:rsidP="00D14DD2">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27" w:type="dxa"/>
            <w:vAlign w:val="center"/>
          </w:tcPr>
          <w:p w14:paraId="78B27FE1" w14:textId="15FAF12F" w:rsidR="00DC6D1C" w:rsidRPr="005B7B53" w:rsidRDefault="00CF4534" w:rsidP="00D14DD2">
            <w:pPr>
              <w:pStyle w:val="BodyText2"/>
              <w:spacing w:before="40" w:after="40" w:line="280" w:lineRule="atLeast"/>
              <w:jc w:val="center"/>
              <w:rPr>
                <w:rFonts w:ascii="Verdana" w:hAnsi="Verdana"/>
                <w:sz w:val="17"/>
                <w:szCs w:val="17"/>
              </w:rPr>
            </w:pPr>
            <w:r>
              <w:rPr>
                <w:rFonts w:ascii="Verdana" w:hAnsi="Verdana"/>
                <w:sz w:val="17"/>
                <w:szCs w:val="17"/>
              </w:rPr>
              <w:t>18,68%</w:t>
            </w:r>
          </w:p>
        </w:tc>
      </w:tr>
      <w:tr w:rsidR="00DC6D1C" w:rsidRPr="00804DEE" w14:paraId="47E52A25" w14:textId="77777777" w:rsidTr="000516BD">
        <w:tc>
          <w:tcPr>
            <w:tcW w:w="3289" w:type="dxa"/>
            <w:shd w:val="clear" w:color="auto" w:fill="auto"/>
            <w:vAlign w:val="center"/>
          </w:tcPr>
          <w:p w14:paraId="33BB49A6" w14:textId="795398B9" w:rsidR="00DC6D1C" w:rsidRPr="005B7B53" w:rsidRDefault="00DC6D1C" w:rsidP="00D14DD2">
            <w:pPr>
              <w:pStyle w:val="BodyText2"/>
              <w:spacing w:before="40" w:after="40" w:line="280" w:lineRule="atLeast"/>
              <w:rPr>
                <w:rFonts w:ascii="Verdana" w:hAnsi="Verdana"/>
                <w:sz w:val="17"/>
                <w:szCs w:val="17"/>
              </w:rPr>
            </w:pPr>
            <w:r w:rsidRPr="005B7B53">
              <w:rPr>
                <w:rFonts w:ascii="Verdana" w:hAnsi="Verdana"/>
                <w:sz w:val="17"/>
                <w:szCs w:val="17"/>
              </w:rPr>
              <w:t>Satrix INDI 25</w:t>
            </w:r>
          </w:p>
        </w:tc>
        <w:tc>
          <w:tcPr>
            <w:tcW w:w="851" w:type="dxa"/>
            <w:shd w:val="clear" w:color="auto" w:fill="auto"/>
            <w:vAlign w:val="center"/>
          </w:tcPr>
          <w:p w14:paraId="33053328" w14:textId="1716F1B6" w:rsidR="00DC6D1C" w:rsidRPr="005B7B53" w:rsidRDefault="00DC6D1C" w:rsidP="00D14DD2">
            <w:pPr>
              <w:pStyle w:val="BodyText2"/>
              <w:spacing w:before="40" w:after="40" w:line="28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698854CE" w14:textId="27438BB8" w:rsidR="00DC6D1C" w:rsidRPr="005B7B53" w:rsidRDefault="00CF4534" w:rsidP="00D14DD2">
            <w:pPr>
              <w:pStyle w:val="BodyText2"/>
              <w:spacing w:before="40" w:after="40" w:line="280" w:lineRule="atLeast"/>
              <w:jc w:val="center"/>
              <w:rPr>
                <w:rFonts w:ascii="Verdana" w:hAnsi="Verdana"/>
                <w:sz w:val="17"/>
                <w:szCs w:val="17"/>
              </w:rPr>
            </w:pPr>
            <w:r>
              <w:rPr>
                <w:rFonts w:ascii="Verdana" w:hAnsi="Verdana"/>
                <w:sz w:val="17"/>
                <w:szCs w:val="17"/>
              </w:rPr>
              <w:t>16,26%</w:t>
            </w:r>
          </w:p>
        </w:tc>
        <w:tc>
          <w:tcPr>
            <w:tcW w:w="3118" w:type="dxa"/>
            <w:gridSpan w:val="2"/>
            <w:tcBorders>
              <w:left w:val="single" w:sz="18" w:space="0" w:color="auto"/>
            </w:tcBorders>
            <w:vAlign w:val="center"/>
          </w:tcPr>
          <w:p w14:paraId="26693EE2" w14:textId="27FC7A34" w:rsidR="00DC6D1C" w:rsidRPr="005B7B53" w:rsidRDefault="00DC6D1C" w:rsidP="00D14DD2">
            <w:pPr>
              <w:pStyle w:val="BodyText2"/>
              <w:spacing w:before="40" w:after="40" w:line="280" w:lineRule="atLeast"/>
              <w:rPr>
                <w:rFonts w:ascii="Verdana" w:hAnsi="Verdana"/>
                <w:sz w:val="17"/>
                <w:szCs w:val="17"/>
              </w:rPr>
            </w:pPr>
            <w:r>
              <w:rPr>
                <w:rFonts w:ascii="Verdana" w:hAnsi="Verdana"/>
                <w:sz w:val="17"/>
                <w:szCs w:val="17"/>
              </w:rPr>
              <w:t>Sygnia/Itrix</w:t>
            </w:r>
            <w:r w:rsidRPr="005B7B53">
              <w:rPr>
                <w:rFonts w:ascii="Verdana" w:hAnsi="Verdana"/>
                <w:sz w:val="17"/>
                <w:szCs w:val="17"/>
              </w:rPr>
              <w:t xml:space="preserve"> MSCI USA</w:t>
            </w:r>
          </w:p>
        </w:tc>
        <w:tc>
          <w:tcPr>
            <w:tcW w:w="851" w:type="dxa"/>
            <w:vAlign w:val="center"/>
          </w:tcPr>
          <w:p w14:paraId="2E9E23DE" w14:textId="1BE8E606" w:rsidR="00DC6D1C" w:rsidRPr="005B7B53" w:rsidRDefault="00DC6D1C" w:rsidP="00D14DD2">
            <w:pPr>
              <w:pStyle w:val="BodyText2"/>
              <w:spacing w:before="40" w:after="40" w:line="280" w:lineRule="atLeast"/>
              <w:jc w:val="center"/>
              <w:rPr>
                <w:rFonts w:ascii="Verdana" w:hAnsi="Verdana"/>
                <w:sz w:val="17"/>
                <w:szCs w:val="17"/>
              </w:rPr>
            </w:pPr>
            <w:r w:rsidRPr="005B7B53">
              <w:rPr>
                <w:rFonts w:ascii="Verdana" w:hAnsi="Verdana"/>
                <w:sz w:val="17"/>
                <w:szCs w:val="17"/>
              </w:rPr>
              <w:t>ETF</w:t>
            </w:r>
          </w:p>
        </w:tc>
        <w:tc>
          <w:tcPr>
            <w:tcW w:w="1127" w:type="dxa"/>
            <w:vAlign w:val="center"/>
          </w:tcPr>
          <w:p w14:paraId="03D2C53B" w14:textId="3E602628" w:rsidR="00DC6D1C" w:rsidRPr="005B7B53" w:rsidRDefault="00CF4534" w:rsidP="00D14DD2">
            <w:pPr>
              <w:pStyle w:val="BodyText2"/>
              <w:spacing w:before="40" w:after="40" w:line="280" w:lineRule="atLeast"/>
              <w:jc w:val="center"/>
              <w:rPr>
                <w:rFonts w:ascii="Verdana" w:hAnsi="Verdana"/>
                <w:sz w:val="17"/>
                <w:szCs w:val="17"/>
              </w:rPr>
            </w:pPr>
            <w:r>
              <w:rPr>
                <w:rFonts w:ascii="Verdana" w:hAnsi="Verdana"/>
                <w:sz w:val="17"/>
                <w:szCs w:val="17"/>
              </w:rPr>
              <w:t>14,32%</w:t>
            </w:r>
          </w:p>
        </w:tc>
      </w:tr>
      <w:tr w:rsidR="00DC6D1C" w:rsidRPr="00804DEE" w14:paraId="74A1778B" w14:textId="77777777" w:rsidTr="000516BD">
        <w:tc>
          <w:tcPr>
            <w:tcW w:w="3289" w:type="dxa"/>
            <w:shd w:val="clear" w:color="auto" w:fill="auto"/>
            <w:vAlign w:val="center"/>
          </w:tcPr>
          <w:p w14:paraId="3D8EB2BF" w14:textId="558C6A6D" w:rsidR="00DC6D1C" w:rsidRPr="005B7B53" w:rsidRDefault="00DC6D1C" w:rsidP="00D14DD2">
            <w:pPr>
              <w:pStyle w:val="BodyText2"/>
              <w:spacing w:before="40" w:after="40" w:line="280" w:lineRule="atLeast"/>
              <w:rPr>
                <w:rFonts w:ascii="Verdana" w:hAnsi="Verdana"/>
                <w:sz w:val="17"/>
                <w:szCs w:val="17"/>
              </w:rPr>
            </w:pPr>
            <w:r>
              <w:rPr>
                <w:rFonts w:ascii="Verdana" w:hAnsi="Verdana"/>
                <w:sz w:val="17"/>
                <w:szCs w:val="17"/>
              </w:rPr>
              <w:t>Satrix FINI 15</w:t>
            </w:r>
          </w:p>
        </w:tc>
        <w:tc>
          <w:tcPr>
            <w:tcW w:w="851" w:type="dxa"/>
            <w:shd w:val="clear" w:color="auto" w:fill="auto"/>
            <w:vAlign w:val="center"/>
          </w:tcPr>
          <w:p w14:paraId="266C130B" w14:textId="688764FF" w:rsidR="00DC6D1C" w:rsidRPr="005B7B53" w:rsidRDefault="00DC6D1C"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1B2355AE" w14:textId="6D4007F4" w:rsidR="00DC6D1C" w:rsidRPr="005B7B53" w:rsidRDefault="00CF4534" w:rsidP="00D14DD2">
            <w:pPr>
              <w:pStyle w:val="BodyText2"/>
              <w:spacing w:before="40" w:after="40" w:line="280" w:lineRule="atLeast"/>
              <w:jc w:val="center"/>
              <w:rPr>
                <w:rFonts w:ascii="Verdana" w:hAnsi="Verdana"/>
                <w:sz w:val="17"/>
                <w:szCs w:val="17"/>
              </w:rPr>
            </w:pPr>
            <w:r>
              <w:rPr>
                <w:rFonts w:ascii="Verdana" w:hAnsi="Verdana"/>
                <w:sz w:val="17"/>
                <w:szCs w:val="17"/>
              </w:rPr>
              <w:t>14,64%</w:t>
            </w:r>
          </w:p>
        </w:tc>
        <w:tc>
          <w:tcPr>
            <w:tcW w:w="3118" w:type="dxa"/>
            <w:gridSpan w:val="2"/>
            <w:tcBorders>
              <w:left w:val="single" w:sz="18" w:space="0" w:color="auto"/>
            </w:tcBorders>
            <w:vAlign w:val="center"/>
          </w:tcPr>
          <w:p w14:paraId="0A398FF0" w14:textId="6B633656" w:rsidR="00DC6D1C" w:rsidRPr="005B7B53" w:rsidRDefault="00DC6D1C" w:rsidP="00D14DD2">
            <w:pPr>
              <w:pStyle w:val="BodyText2"/>
              <w:spacing w:before="40" w:after="40" w:line="280" w:lineRule="atLeast"/>
              <w:rPr>
                <w:rFonts w:ascii="Verdana" w:hAnsi="Verdana"/>
                <w:sz w:val="17"/>
                <w:szCs w:val="17"/>
              </w:rPr>
            </w:pPr>
            <w:r>
              <w:rPr>
                <w:rFonts w:ascii="Verdana" w:hAnsi="Verdana"/>
                <w:sz w:val="17"/>
                <w:szCs w:val="17"/>
              </w:rPr>
              <w:t>Sygnia/Itrix MSCI World</w:t>
            </w:r>
          </w:p>
        </w:tc>
        <w:tc>
          <w:tcPr>
            <w:tcW w:w="851" w:type="dxa"/>
            <w:vAlign w:val="center"/>
          </w:tcPr>
          <w:p w14:paraId="5D53AF58" w14:textId="58285ED4" w:rsidR="00DC6D1C" w:rsidRPr="005B7B53" w:rsidRDefault="00DC6D1C"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6E7AB5E8" w14:textId="1EF37947" w:rsidR="00DC6D1C" w:rsidRPr="005B7B53" w:rsidRDefault="00CF4534" w:rsidP="00D14DD2">
            <w:pPr>
              <w:pStyle w:val="BodyText2"/>
              <w:spacing w:before="40" w:after="40" w:line="280" w:lineRule="atLeast"/>
              <w:jc w:val="center"/>
              <w:rPr>
                <w:rFonts w:ascii="Verdana" w:hAnsi="Verdana"/>
                <w:sz w:val="17"/>
                <w:szCs w:val="17"/>
              </w:rPr>
            </w:pPr>
            <w:r>
              <w:rPr>
                <w:rFonts w:ascii="Verdana" w:hAnsi="Verdana"/>
                <w:sz w:val="17"/>
                <w:szCs w:val="17"/>
              </w:rPr>
              <w:t>11,10%</w:t>
            </w:r>
          </w:p>
        </w:tc>
      </w:tr>
      <w:tr w:rsidR="00DC6D1C" w:rsidRPr="00804DEE" w14:paraId="5ADA2D48" w14:textId="77777777" w:rsidTr="000516BD">
        <w:tc>
          <w:tcPr>
            <w:tcW w:w="3289" w:type="dxa"/>
            <w:shd w:val="clear" w:color="auto" w:fill="auto"/>
            <w:vAlign w:val="center"/>
          </w:tcPr>
          <w:p w14:paraId="71740FD8" w14:textId="39A0D296" w:rsidR="00DC6D1C" w:rsidRPr="005B7B53" w:rsidRDefault="00DC6D1C" w:rsidP="00D14DD2">
            <w:pPr>
              <w:pStyle w:val="BodyText2"/>
              <w:spacing w:before="40" w:after="40" w:line="280" w:lineRule="atLeast"/>
              <w:rPr>
                <w:rFonts w:ascii="Verdana" w:hAnsi="Verdana"/>
                <w:sz w:val="17"/>
                <w:szCs w:val="17"/>
              </w:rPr>
            </w:pPr>
            <w:r>
              <w:rPr>
                <w:rFonts w:ascii="Verdana" w:hAnsi="Verdana"/>
                <w:sz w:val="17"/>
                <w:szCs w:val="17"/>
              </w:rPr>
              <w:t>Sygnia/Itrix MSCI World</w:t>
            </w:r>
          </w:p>
        </w:tc>
        <w:tc>
          <w:tcPr>
            <w:tcW w:w="851" w:type="dxa"/>
            <w:shd w:val="clear" w:color="auto" w:fill="auto"/>
            <w:vAlign w:val="center"/>
          </w:tcPr>
          <w:p w14:paraId="0C90D785" w14:textId="5D4019DA" w:rsidR="00DC6D1C" w:rsidRPr="005B7B53" w:rsidRDefault="00DC6D1C"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bottom w:val="single" w:sz="4" w:space="0" w:color="auto"/>
              <w:right w:val="single" w:sz="18" w:space="0" w:color="auto"/>
            </w:tcBorders>
            <w:shd w:val="clear" w:color="auto" w:fill="auto"/>
            <w:vAlign w:val="center"/>
          </w:tcPr>
          <w:p w14:paraId="2BA8BB25" w14:textId="2BB822A3" w:rsidR="00DC6D1C" w:rsidRPr="005B7B53" w:rsidRDefault="00CF4534" w:rsidP="00D14DD2">
            <w:pPr>
              <w:pStyle w:val="BodyText2"/>
              <w:spacing w:before="40" w:after="40" w:line="280" w:lineRule="atLeast"/>
              <w:jc w:val="center"/>
              <w:rPr>
                <w:rFonts w:ascii="Verdana" w:hAnsi="Verdana"/>
                <w:sz w:val="17"/>
                <w:szCs w:val="17"/>
              </w:rPr>
            </w:pPr>
            <w:r>
              <w:rPr>
                <w:rFonts w:ascii="Verdana" w:hAnsi="Verdana"/>
                <w:sz w:val="17"/>
                <w:szCs w:val="17"/>
              </w:rPr>
              <w:t>13,90%</w:t>
            </w:r>
          </w:p>
        </w:tc>
        <w:tc>
          <w:tcPr>
            <w:tcW w:w="3118" w:type="dxa"/>
            <w:gridSpan w:val="2"/>
            <w:tcBorders>
              <w:left w:val="single" w:sz="18" w:space="0" w:color="auto"/>
            </w:tcBorders>
            <w:vAlign w:val="center"/>
          </w:tcPr>
          <w:p w14:paraId="091A8DAB" w14:textId="727D12B6" w:rsidR="00DC6D1C" w:rsidRPr="005B7B53" w:rsidRDefault="00DC6D1C" w:rsidP="00D14DD2">
            <w:pPr>
              <w:pStyle w:val="BodyText2"/>
              <w:spacing w:before="40" w:after="40" w:line="280" w:lineRule="atLeast"/>
              <w:rPr>
                <w:rFonts w:ascii="Verdana" w:hAnsi="Verdana"/>
                <w:sz w:val="17"/>
                <w:szCs w:val="17"/>
              </w:rPr>
            </w:pPr>
            <w:r>
              <w:rPr>
                <w:rFonts w:ascii="Verdana" w:hAnsi="Verdana"/>
                <w:sz w:val="17"/>
                <w:szCs w:val="17"/>
              </w:rPr>
              <w:t>DB MSCI China</w:t>
            </w:r>
          </w:p>
        </w:tc>
        <w:tc>
          <w:tcPr>
            <w:tcW w:w="851" w:type="dxa"/>
            <w:vAlign w:val="center"/>
          </w:tcPr>
          <w:p w14:paraId="5AB99F1B" w14:textId="1A3A1B5F" w:rsidR="00DC6D1C" w:rsidRPr="005B7B53" w:rsidRDefault="00DC6D1C" w:rsidP="00D14DD2">
            <w:pPr>
              <w:pStyle w:val="BodyText2"/>
              <w:spacing w:before="40" w:after="40" w:line="280" w:lineRule="atLeast"/>
              <w:jc w:val="center"/>
              <w:rPr>
                <w:rFonts w:ascii="Verdana" w:hAnsi="Verdana"/>
                <w:sz w:val="17"/>
                <w:szCs w:val="17"/>
              </w:rPr>
            </w:pPr>
            <w:r w:rsidRPr="005B7B53">
              <w:rPr>
                <w:rFonts w:ascii="Verdana" w:hAnsi="Verdana"/>
                <w:sz w:val="17"/>
                <w:szCs w:val="17"/>
              </w:rPr>
              <w:t>ET</w:t>
            </w:r>
            <w:r>
              <w:rPr>
                <w:rFonts w:ascii="Verdana" w:hAnsi="Verdana"/>
                <w:sz w:val="17"/>
                <w:szCs w:val="17"/>
              </w:rPr>
              <w:t>N</w:t>
            </w:r>
          </w:p>
        </w:tc>
        <w:tc>
          <w:tcPr>
            <w:tcW w:w="1127" w:type="dxa"/>
            <w:vAlign w:val="center"/>
          </w:tcPr>
          <w:p w14:paraId="1E19B24E" w14:textId="13796E68" w:rsidR="00DC6D1C" w:rsidRPr="005B7B53" w:rsidRDefault="00CF4534" w:rsidP="00D14DD2">
            <w:pPr>
              <w:pStyle w:val="BodyText2"/>
              <w:spacing w:before="40" w:after="40" w:line="280" w:lineRule="atLeast"/>
              <w:jc w:val="center"/>
              <w:rPr>
                <w:rFonts w:ascii="Verdana" w:hAnsi="Verdana"/>
                <w:sz w:val="17"/>
                <w:szCs w:val="17"/>
              </w:rPr>
            </w:pPr>
            <w:r>
              <w:rPr>
                <w:rFonts w:ascii="Verdana" w:hAnsi="Verdana"/>
                <w:sz w:val="17"/>
                <w:szCs w:val="17"/>
              </w:rPr>
              <w:t>11,04%</w:t>
            </w:r>
          </w:p>
        </w:tc>
      </w:tr>
      <w:tr w:rsidR="007859C9" w:rsidRPr="00804DEE" w14:paraId="023D40CE" w14:textId="77777777" w:rsidTr="000516BD">
        <w:tc>
          <w:tcPr>
            <w:tcW w:w="3289" w:type="dxa"/>
            <w:shd w:val="clear" w:color="auto" w:fill="auto"/>
            <w:vAlign w:val="center"/>
          </w:tcPr>
          <w:p w14:paraId="7F07FFEA" w14:textId="4FB6B969" w:rsidR="007859C9" w:rsidRPr="005B7B53" w:rsidRDefault="007859C9" w:rsidP="00D14DD2">
            <w:pPr>
              <w:pStyle w:val="BodyText2"/>
              <w:spacing w:before="40" w:after="40" w:line="280" w:lineRule="atLeast"/>
              <w:rPr>
                <w:rFonts w:ascii="Verdana" w:hAnsi="Verdana"/>
                <w:sz w:val="17"/>
                <w:szCs w:val="17"/>
              </w:rPr>
            </w:pPr>
          </w:p>
        </w:tc>
        <w:tc>
          <w:tcPr>
            <w:tcW w:w="851" w:type="dxa"/>
            <w:shd w:val="clear" w:color="auto" w:fill="auto"/>
            <w:vAlign w:val="center"/>
          </w:tcPr>
          <w:p w14:paraId="70F1AF43" w14:textId="27F3D172" w:rsidR="007859C9" w:rsidRPr="005B7B53" w:rsidRDefault="007859C9" w:rsidP="00D14DD2">
            <w:pPr>
              <w:pStyle w:val="BodyText2"/>
              <w:spacing w:before="40" w:after="40" w:line="280" w:lineRule="atLeast"/>
              <w:jc w:val="center"/>
              <w:rPr>
                <w:rFonts w:ascii="Verdana" w:hAnsi="Verdana"/>
                <w:sz w:val="17"/>
                <w:szCs w:val="17"/>
              </w:rPr>
            </w:pPr>
          </w:p>
        </w:tc>
        <w:tc>
          <w:tcPr>
            <w:tcW w:w="1134" w:type="dxa"/>
            <w:tcBorders>
              <w:right w:val="single" w:sz="18" w:space="0" w:color="auto"/>
            </w:tcBorders>
            <w:shd w:val="clear" w:color="auto" w:fill="4C4C4C"/>
          </w:tcPr>
          <w:p w14:paraId="02DD95E7" w14:textId="7E47599A" w:rsidR="007859C9" w:rsidRPr="005B7B53" w:rsidRDefault="007859C9" w:rsidP="00D14DD2">
            <w:pPr>
              <w:pStyle w:val="BodyText2"/>
              <w:spacing w:before="40" w:after="40" w:line="280" w:lineRule="atLeast"/>
              <w:jc w:val="center"/>
              <w:rPr>
                <w:rFonts w:ascii="Verdana" w:hAnsi="Verdana"/>
                <w:b/>
                <w:color w:val="FFFFFF"/>
                <w:sz w:val="17"/>
                <w:szCs w:val="17"/>
              </w:rPr>
            </w:pPr>
            <w:r>
              <w:rPr>
                <w:rFonts w:ascii="Verdana" w:hAnsi="Verdana"/>
                <w:b/>
                <w:color w:val="FFFFFF"/>
                <w:sz w:val="17"/>
                <w:szCs w:val="17"/>
              </w:rPr>
              <w:t xml:space="preserve">3 Years </w:t>
            </w:r>
            <w:r w:rsidRPr="005B7B53">
              <w:rPr>
                <w:rFonts w:ascii="Verdana" w:hAnsi="Verdana"/>
                <w:b/>
                <w:color w:val="FFFFFF"/>
                <w:sz w:val="17"/>
                <w:szCs w:val="17"/>
              </w:rPr>
              <w:t>(p</w:t>
            </w:r>
            <w:r>
              <w:rPr>
                <w:rFonts w:ascii="Verdana" w:hAnsi="Verdana"/>
                <w:b/>
                <w:color w:val="FFFFFF"/>
                <w:sz w:val="17"/>
                <w:szCs w:val="17"/>
              </w:rPr>
              <w:t>.a.</w:t>
            </w:r>
            <w:r w:rsidRPr="005B7B53">
              <w:rPr>
                <w:rFonts w:ascii="Verdana" w:hAnsi="Verdana"/>
                <w:b/>
                <w:color w:val="FFFFFF"/>
                <w:sz w:val="17"/>
                <w:szCs w:val="17"/>
              </w:rPr>
              <w:t>)</w:t>
            </w:r>
          </w:p>
        </w:tc>
        <w:tc>
          <w:tcPr>
            <w:tcW w:w="3118" w:type="dxa"/>
            <w:gridSpan w:val="2"/>
            <w:tcBorders>
              <w:left w:val="single" w:sz="18" w:space="0" w:color="auto"/>
            </w:tcBorders>
            <w:shd w:val="clear" w:color="auto" w:fill="auto"/>
            <w:vAlign w:val="center"/>
          </w:tcPr>
          <w:p w14:paraId="04CE8D0A" w14:textId="2F7128B0" w:rsidR="007859C9" w:rsidRPr="005B7B53" w:rsidRDefault="007859C9" w:rsidP="00D14DD2">
            <w:pPr>
              <w:pStyle w:val="BodyText2"/>
              <w:spacing w:before="40" w:after="40" w:line="280" w:lineRule="atLeast"/>
              <w:rPr>
                <w:rFonts w:ascii="Verdana" w:hAnsi="Verdana"/>
                <w:sz w:val="17"/>
                <w:szCs w:val="17"/>
              </w:rPr>
            </w:pPr>
          </w:p>
        </w:tc>
        <w:tc>
          <w:tcPr>
            <w:tcW w:w="851" w:type="dxa"/>
            <w:shd w:val="clear" w:color="auto" w:fill="auto"/>
            <w:vAlign w:val="center"/>
          </w:tcPr>
          <w:p w14:paraId="03057385" w14:textId="4DEA454B" w:rsidR="007859C9" w:rsidRPr="005B7B53" w:rsidRDefault="007859C9" w:rsidP="00D14DD2">
            <w:pPr>
              <w:pStyle w:val="BodyText2"/>
              <w:spacing w:before="40" w:after="40" w:line="280" w:lineRule="atLeast"/>
              <w:jc w:val="center"/>
              <w:rPr>
                <w:rFonts w:ascii="Verdana" w:hAnsi="Verdana"/>
                <w:sz w:val="17"/>
                <w:szCs w:val="17"/>
              </w:rPr>
            </w:pPr>
          </w:p>
        </w:tc>
        <w:tc>
          <w:tcPr>
            <w:tcW w:w="1127" w:type="dxa"/>
            <w:shd w:val="clear" w:color="auto" w:fill="4C4C4C"/>
            <w:vAlign w:val="center"/>
          </w:tcPr>
          <w:p w14:paraId="032D7710" w14:textId="77777777" w:rsidR="007859C9" w:rsidRPr="005B7B53" w:rsidRDefault="007859C9" w:rsidP="00D14DD2">
            <w:pPr>
              <w:pStyle w:val="BodyText2"/>
              <w:spacing w:before="40" w:after="40" w:line="280" w:lineRule="atLeast"/>
              <w:jc w:val="center"/>
              <w:rPr>
                <w:rFonts w:ascii="Verdana" w:hAnsi="Verdana"/>
                <w:b/>
                <w:color w:val="FFFFFF"/>
                <w:sz w:val="17"/>
                <w:szCs w:val="17"/>
              </w:rPr>
            </w:pPr>
            <w:r w:rsidRPr="005B7B53">
              <w:rPr>
                <w:rFonts w:ascii="Verdana" w:hAnsi="Verdana"/>
                <w:b/>
                <w:color w:val="FFFFFF"/>
                <w:sz w:val="17"/>
                <w:szCs w:val="17"/>
              </w:rPr>
              <w:t>2 Years (p</w:t>
            </w:r>
            <w:r>
              <w:rPr>
                <w:rFonts w:ascii="Verdana" w:hAnsi="Verdana"/>
                <w:b/>
                <w:color w:val="FFFFFF"/>
                <w:sz w:val="17"/>
                <w:szCs w:val="17"/>
              </w:rPr>
              <w:t>.a.</w:t>
            </w:r>
            <w:r w:rsidRPr="005B7B53">
              <w:rPr>
                <w:rFonts w:ascii="Verdana" w:hAnsi="Verdana"/>
                <w:b/>
                <w:color w:val="FFFFFF"/>
                <w:sz w:val="17"/>
                <w:szCs w:val="17"/>
              </w:rPr>
              <w:t>)</w:t>
            </w:r>
          </w:p>
        </w:tc>
      </w:tr>
      <w:tr w:rsidR="007859C9" w:rsidRPr="00804DEE" w14:paraId="7EEFA953" w14:textId="77777777" w:rsidTr="000516BD">
        <w:tc>
          <w:tcPr>
            <w:tcW w:w="3289" w:type="dxa"/>
            <w:shd w:val="clear" w:color="auto" w:fill="auto"/>
            <w:vAlign w:val="center"/>
          </w:tcPr>
          <w:p w14:paraId="02EBC933" w14:textId="26D411B0" w:rsidR="007859C9" w:rsidRPr="005B7B53" w:rsidRDefault="007859C9" w:rsidP="00D14DD2">
            <w:pPr>
              <w:pStyle w:val="BodyText2"/>
              <w:spacing w:before="40" w:after="40" w:line="280" w:lineRule="atLeast"/>
              <w:rPr>
                <w:rFonts w:ascii="Verdana" w:hAnsi="Verdana"/>
                <w:sz w:val="17"/>
                <w:szCs w:val="17"/>
              </w:rPr>
            </w:pPr>
            <w:r>
              <w:rPr>
                <w:rFonts w:ascii="Verdana" w:hAnsi="Verdana"/>
                <w:sz w:val="17"/>
                <w:szCs w:val="17"/>
              </w:rPr>
              <w:t>Standard Bank Africa Palladium</w:t>
            </w:r>
          </w:p>
        </w:tc>
        <w:tc>
          <w:tcPr>
            <w:tcW w:w="851" w:type="dxa"/>
            <w:shd w:val="clear" w:color="auto" w:fill="auto"/>
            <w:vAlign w:val="center"/>
          </w:tcPr>
          <w:p w14:paraId="2A924E7A" w14:textId="30B752D9"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49D95F1D" w14:textId="61043817"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28,03%</w:t>
            </w:r>
          </w:p>
        </w:tc>
        <w:tc>
          <w:tcPr>
            <w:tcW w:w="3118" w:type="dxa"/>
            <w:gridSpan w:val="2"/>
            <w:tcBorders>
              <w:left w:val="single" w:sz="18" w:space="0" w:color="auto"/>
            </w:tcBorders>
            <w:vAlign w:val="center"/>
          </w:tcPr>
          <w:p w14:paraId="57722014" w14:textId="2E1AFA1A" w:rsidR="007859C9" w:rsidRPr="005B7B53" w:rsidRDefault="007859C9" w:rsidP="00D14DD2">
            <w:pPr>
              <w:pStyle w:val="BodyText2"/>
              <w:spacing w:before="40" w:after="40" w:line="280" w:lineRule="atLeast"/>
              <w:rPr>
                <w:rFonts w:ascii="Verdana" w:hAnsi="Verdana"/>
                <w:sz w:val="17"/>
                <w:szCs w:val="17"/>
              </w:rPr>
            </w:pPr>
            <w:r>
              <w:rPr>
                <w:rFonts w:ascii="Verdana" w:hAnsi="Verdana"/>
                <w:sz w:val="17"/>
                <w:szCs w:val="17"/>
              </w:rPr>
              <w:t>Standard Bank Africa Rhodium</w:t>
            </w:r>
          </w:p>
        </w:tc>
        <w:tc>
          <w:tcPr>
            <w:tcW w:w="851" w:type="dxa"/>
            <w:vAlign w:val="center"/>
          </w:tcPr>
          <w:p w14:paraId="50457F19" w14:textId="3A52FDD9"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1529C823" w14:textId="1A0850F3"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82,13%</w:t>
            </w:r>
          </w:p>
        </w:tc>
      </w:tr>
      <w:tr w:rsidR="007859C9" w:rsidRPr="00804DEE" w14:paraId="3376B89B" w14:textId="77777777" w:rsidTr="000516BD">
        <w:tc>
          <w:tcPr>
            <w:tcW w:w="3289" w:type="dxa"/>
            <w:shd w:val="clear" w:color="auto" w:fill="auto"/>
            <w:vAlign w:val="center"/>
          </w:tcPr>
          <w:p w14:paraId="4B3FC159" w14:textId="3271E512" w:rsidR="007859C9" w:rsidRPr="005B7B53" w:rsidRDefault="007859C9" w:rsidP="00D14DD2">
            <w:pPr>
              <w:pStyle w:val="BodyText2"/>
              <w:spacing w:before="40" w:after="40" w:line="280" w:lineRule="atLeast"/>
              <w:rPr>
                <w:rFonts w:ascii="Verdana" w:hAnsi="Verdana"/>
                <w:sz w:val="17"/>
                <w:szCs w:val="17"/>
              </w:rPr>
            </w:pPr>
            <w:r>
              <w:rPr>
                <w:rFonts w:ascii="Verdana" w:hAnsi="Verdana"/>
                <w:sz w:val="17"/>
                <w:szCs w:val="17"/>
              </w:rPr>
              <w:t>Standard Bank Palladium Linker</w:t>
            </w:r>
          </w:p>
        </w:tc>
        <w:tc>
          <w:tcPr>
            <w:tcW w:w="851" w:type="dxa"/>
            <w:shd w:val="clear" w:color="auto" w:fill="auto"/>
            <w:vAlign w:val="center"/>
          </w:tcPr>
          <w:p w14:paraId="67E95842" w14:textId="566DB031"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34" w:type="dxa"/>
            <w:tcBorders>
              <w:right w:val="single" w:sz="18" w:space="0" w:color="auto"/>
            </w:tcBorders>
            <w:shd w:val="clear" w:color="auto" w:fill="auto"/>
            <w:vAlign w:val="center"/>
          </w:tcPr>
          <w:p w14:paraId="7DEBCF83" w14:textId="2281A5AB"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27,86%</w:t>
            </w:r>
          </w:p>
        </w:tc>
        <w:tc>
          <w:tcPr>
            <w:tcW w:w="3118" w:type="dxa"/>
            <w:gridSpan w:val="2"/>
            <w:tcBorders>
              <w:left w:val="single" w:sz="18" w:space="0" w:color="auto"/>
            </w:tcBorders>
            <w:vAlign w:val="center"/>
          </w:tcPr>
          <w:p w14:paraId="35687B8B" w14:textId="7AB4509F" w:rsidR="007859C9" w:rsidRPr="005B7B53" w:rsidRDefault="007859C9" w:rsidP="00D14DD2">
            <w:pPr>
              <w:pStyle w:val="BodyText2"/>
              <w:spacing w:before="40" w:after="40" w:line="280" w:lineRule="atLeast"/>
              <w:rPr>
                <w:rFonts w:ascii="Verdana" w:hAnsi="Verdana"/>
                <w:sz w:val="17"/>
                <w:szCs w:val="17"/>
              </w:rPr>
            </w:pPr>
            <w:r>
              <w:rPr>
                <w:rFonts w:ascii="Verdana" w:hAnsi="Verdana"/>
                <w:sz w:val="17"/>
                <w:szCs w:val="17"/>
              </w:rPr>
              <w:t>NewGold Palladium</w:t>
            </w:r>
          </w:p>
        </w:tc>
        <w:tc>
          <w:tcPr>
            <w:tcW w:w="851" w:type="dxa"/>
            <w:vAlign w:val="center"/>
          </w:tcPr>
          <w:p w14:paraId="0458661B" w14:textId="7285D3A0"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4E51CEC8" w14:textId="7A0C1BB1"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40,22%</w:t>
            </w:r>
          </w:p>
        </w:tc>
      </w:tr>
      <w:tr w:rsidR="007859C9" w:rsidRPr="00804DEE" w14:paraId="5501E2D4" w14:textId="77777777" w:rsidTr="000516BD">
        <w:tc>
          <w:tcPr>
            <w:tcW w:w="3289" w:type="dxa"/>
            <w:shd w:val="clear" w:color="auto" w:fill="auto"/>
            <w:vAlign w:val="center"/>
          </w:tcPr>
          <w:p w14:paraId="6C94E600" w14:textId="490D1AAC" w:rsidR="007859C9" w:rsidRPr="005B7B53" w:rsidRDefault="007859C9" w:rsidP="00D14DD2">
            <w:pPr>
              <w:pStyle w:val="BodyText2"/>
              <w:spacing w:before="40" w:after="40" w:line="280" w:lineRule="atLeast"/>
              <w:rPr>
                <w:rFonts w:ascii="Verdana" w:hAnsi="Verdana"/>
                <w:sz w:val="17"/>
                <w:szCs w:val="17"/>
              </w:rPr>
            </w:pPr>
            <w:r>
              <w:rPr>
                <w:rFonts w:ascii="Verdana" w:hAnsi="Verdana"/>
                <w:sz w:val="17"/>
                <w:szCs w:val="17"/>
              </w:rPr>
              <w:t>NewGold Palladium</w:t>
            </w:r>
          </w:p>
        </w:tc>
        <w:tc>
          <w:tcPr>
            <w:tcW w:w="851" w:type="dxa"/>
            <w:shd w:val="clear" w:color="auto" w:fill="auto"/>
            <w:vAlign w:val="center"/>
          </w:tcPr>
          <w:p w14:paraId="27488A15" w14:textId="16C50E48"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24E619AD" w14:textId="511F5E3C"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27,79%</w:t>
            </w:r>
          </w:p>
        </w:tc>
        <w:tc>
          <w:tcPr>
            <w:tcW w:w="3118" w:type="dxa"/>
            <w:gridSpan w:val="2"/>
            <w:tcBorders>
              <w:left w:val="single" w:sz="18" w:space="0" w:color="auto"/>
            </w:tcBorders>
            <w:vAlign w:val="center"/>
          </w:tcPr>
          <w:p w14:paraId="39276777" w14:textId="50A3EE94" w:rsidR="007859C9" w:rsidRPr="005B7B53" w:rsidRDefault="007859C9" w:rsidP="00D14DD2">
            <w:pPr>
              <w:pStyle w:val="BodyText2"/>
              <w:spacing w:before="40" w:after="40" w:line="280" w:lineRule="atLeast"/>
              <w:rPr>
                <w:rFonts w:ascii="Verdana" w:hAnsi="Verdana"/>
                <w:sz w:val="17"/>
                <w:szCs w:val="17"/>
              </w:rPr>
            </w:pPr>
            <w:r>
              <w:rPr>
                <w:rFonts w:ascii="Verdana" w:hAnsi="Verdana"/>
                <w:sz w:val="17"/>
                <w:szCs w:val="17"/>
              </w:rPr>
              <w:t>Standard Bank Africa Palladium</w:t>
            </w:r>
          </w:p>
        </w:tc>
        <w:tc>
          <w:tcPr>
            <w:tcW w:w="851" w:type="dxa"/>
            <w:vAlign w:val="center"/>
          </w:tcPr>
          <w:p w14:paraId="37B90DDB" w14:textId="3C048A6B"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51556B4A" w14:textId="7D1CF787"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39,67%</w:t>
            </w:r>
          </w:p>
        </w:tc>
      </w:tr>
      <w:tr w:rsidR="007859C9" w:rsidRPr="00804DEE" w14:paraId="4E4C6638" w14:textId="77777777" w:rsidTr="000516BD">
        <w:tc>
          <w:tcPr>
            <w:tcW w:w="3289" w:type="dxa"/>
            <w:shd w:val="clear" w:color="auto" w:fill="auto"/>
            <w:vAlign w:val="center"/>
          </w:tcPr>
          <w:p w14:paraId="4467BCE7" w14:textId="29BB4F24" w:rsidR="007859C9" w:rsidRPr="005B7B53" w:rsidRDefault="007859C9" w:rsidP="00D14DD2">
            <w:pPr>
              <w:pStyle w:val="BodyText2"/>
              <w:spacing w:before="40" w:after="40" w:line="280" w:lineRule="atLeast"/>
              <w:rPr>
                <w:rFonts w:ascii="Verdana" w:hAnsi="Verdana"/>
                <w:sz w:val="17"/>
                <w:szCs w:val="17"/>
              </w:rPr>
            </w:pPr>
            <w:r>
              <w:rPr>
                <w:rFonts w:ascii="Verdana" w:hAnsi="Verdana"/>
                <w:sz w:val="17"/>
                <w:szCs w:val="17"/>
              </w:rPr>
              <w:t>NewFunds S&amp;P GIVI RESI</w:t>
            </w:r>
          </w:p>
        </w:tc>
        <w:tc>
          <w:tcPr>
            <w:tcW w:w="851" w:type="dxa"/>
            <w:shd w:val="clear" w:color="auto" w:fill="auto"/>
            <w:vAlign w:val="center"/>
          </w:tcPr>
          <w:p w14:paraId="5AC6B43F" w14:textId="11D7F076"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13FDB5EC" w14:textId="09A58800"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20,56%</w:t>
            </w:r>
          </w:p>
        </w:tc>
        <w:tc>
          <w:tcPr>
            <w:tcW w:w="3118" w:type="dxa"/>
            <w:gridSpan w:val="2"/>
            <w:tcBorders>
              <w:left w:val="single" w:sz="18" w:space="0" w:color="auto"/>
            </w:tcBorders>
            <w:vAlign w:val="center"/>
          </w:tcPr>
          <w:p w14:paraId="2B2FC46B" w14:textId="42E8A684" w:rsidR="007859C9" w:rsidRPr="005B7B53" w:rsidRDefault="007859C9" w:rsidP="00D14DD2">
            <w:pPr>
              <w:pStyle w:val="BodyText2"/>
              <w:spacing w:before="40" w:after="40" w:line="280" w:lineRule="atLeast"/>
              <w:rPr>
                <w:rFonts w:ascii="Verdana" w:hAnsi="Verdana"/>
                <w:sz w:val="17"/>
                <w:szCs w:val="17"/>
              </w:rPr>
            </w:pPr>
            <w:r>
              <w:rPr>
                <w:rFonts w:ascii="Verdana" w:hAnsi="Verdana"/>
                <w:sz w:val="17"/>
                <w:szCs w:val="17"/>
              </w:rPr>
              <w:t>Standard Bank Palladium Linker</w:t>
            </w:r>
          </w:p>
        </w:tc>
        <w:tc>
          <w:tcPr>
            <w:tcW w:w="851" w:type="dxa"/>
            <w:vAlign w:val="center"/>
          </w:tcPr>
          <w:p w14:paraId="628F08B2" w14:textId="7248E227"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27" w:type="dxa"/>
            <w:vAlign w:val="center"/>
          </w:tcPr>
          <w:p w14:paraId="244D8DFA" w14:textId="5D7208EE" w:rsidR="007859C9" w:rsidRPr="005B7B53" w:rsidRDefault="007859C9" w:rsidP="00D14DD2">
            <w:pPr>
              <w:pStyle w:val="BodyText2"/>
              <w:spacing w:before="40" w:after="40" w:line="280" w:lineRule="atLeast"/>
              <w:jc w:val="center"/>
              <w:rPr>
                <w:rFonts w:ascii="Verdana" w:hAnsi="Verdana"/>
                <w:sz w:val="17"/>
                <w:szCs w:val="17"/>
              </w:rPr>
            </w:pPr>
            <w:r>
              <w:rPr>
                <w:rFonts w:ascii="Verdana" w:hAnsi="Verdana"/>
                <w:sz w:val="17"/>
                <w:szCs w:val="17"/>
              </w:rPr>
              <w:t>39,66%</w:t>
            </w:r>
          </w:p>
        </w:tc>
      </w:tr>
      <w:tr w:rsidR="00C166A1" w:rsidRPr="006E3070" w14:paraId="044F63A3"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3FA473C" w14:textId="610ED00E" w:rsidR="00C166A1" w:rsidRPr="005B7B53" w:rsidRDefault="00C166A1" w:rsidP="00D14DD2">
            <w:pPr>
              <w:pStyle w:val="BodyText2"/>
              <w:spacing w:before="40" w:after="40" w:line="280" w:lineRule="atLeast"/>
              <w:rPr>
                <w:rFonts w:ascii="Verdana" w:hAnsi="Verdana"/>
                <w:sz w:val="17"/>
                <w:szCs w:val="17"/>
              </w:rPr>
            </w:pPr>
            <w:bookmarkStart w:id="4" w:name="_GoBack" w:colFirst="0" w:colLast="5"/>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8BC149" w14:textId="652BEC22" w:rsidR="00C166A1" w:rsidRPr="005B7B53" w:rsidRDefault="00C166A1" w:rsidP="00D14DD2">
            <w:pPr>
              <w:pStyle w:val="BodyText2"/>
              <w:spacing w:before="40" w:after="40" w:line="280" w:lineRule="atLeast"/>
              <w:jc w:val="center"/>
              <w:rPr>
                <w:rFonts w:ascii="Verdana" w:hAnsi="Verdana"/>
                <w:sz w:val="17"/>
                <w:szCs w:val="17"/>
              </w:rPr>
            </w:pPr>
          </w:p>
        </w:tc>
        <w:tc>
          <w:tcPr>
            <w:tcW w:w="1134" w:type="dxa"/>
            <w:tcBorders>
              <w:top w:val="single" w:sz="4" w:space="0" w:color="auto"/>
              <w:left w:val="single" w:sz="4" w:space="0" w:color="auto"/>
              <w:bottom w:val="single" w:sz="4" w:space="0" w:color="auto"/>
              <w:right w:val="single" w:sz="18" w:space="0" w:color="auto"/>
            </w:tcBorders>
            <w:shd w:val="clear" w:color="auto" w:fill="4C4C4C"/>
            <w:vAlign w:val="center"/>
          </w:tcPr>
          <w:p w14:paraId="7382C3FD" w14:textId="1531CEDC" w:rsidR="00C166A1" w:rsidRPr="005B7B53" w:rsidRDefault="00C166A1" w:rsidP="00D14DD2">
            <w:pPr>
              <w:pStyle w:val="BodyText2"/>
              <w:spacing w:before="40" w:after="40" w:line="280" w:lineRule="atLeast"/>
              <w:jc w:val="center"/>
              <w:rPr>
                <w:rFonts w:ascii="Verdana" w:hAnsi="Verdana"/>
                <w:b/>
                <w:color w:val="FFFFFF"/>
                <w:sz w:val="17"/>
                <w:szCs w:val="17"/>
              </w:rPr>
            </w:pPr>
            <w:r>
              <w:rPr>
                <w:rFonts w:ascii="Verdana" w:hAnsi="Verdana"/>
                <w:b/>
                <w:color w:val="FFFFFF"/>
                <w:sz w:val="17"/>
                <w:szCs w:val="17"/>
              </w:rPr>
              <w:t>1 Year</w:t>
            </w:r>
          </w:p>
        </w:tc>
        <w:tc>
          <w:tcPr>
            <w:tcW w:w="3118"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443BE3DD" w14:textId="76BAAD6C" w:rsidR="00C166A1" w:rsidRPr="005B7B53" w:rsidRDefault="00C166A1" w:rsidP="00D14DD2">
            <w:pPr>
              <w:pStyle w:val="BodyText2"/>
              <w:spacing w:before="40" w:after="4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A18082" w14:textId="0A8DA334" w:rsidR="00C166A1" w:rsidRPr="005B7B53" w:rsidRDefault="00C166A1" w:rsidP="00D14DD2">
            <w:pPr>
              <w:pStyle w:val="BodyText2"/>
              <w:spacing w:before="40" w:after="40" w:line="280" w:lineRule="atLeast"/>
              <w:jc w:val="center"/>
              <w:rPr>
                <w:rFonts w:ascii="Verdana" w:hAnsi="Verdana"/>
                <w:sz w:val="17"/>
                <w:szCs w:val="17"/>
              </w:rPr>
            </w:pPr>
          </w:p>
        </w:tc>
        <w:tc>
          <w:tcPr>
            <w:tcW w:w="1127" w:type="dxa"/>
            <w:tcBorders>
              <w:top w:val="single" w:sz="4" w:space="0" w:color="auto"/>
              <w:left w:val="single" w:sz="4" w:space="0" w:color="auto"/>
              <w:bottom w:val="single" w:sz="4" w:space="0" w:color="auto"/>
              <w:right w:val="single" w:sz="4" w:space="0" w:color="auto"/>
            </w:tcBorders>
            <w:shd w:val="clear" w:color="auto" w:fill="4C4C4C"/>
          </w:tcPr>
          <w:p w14:paraId="76CBD24A" w14:textId="77777777" w:rsidR="00C166A1" w:rsidRPr="005B7B53" w:rsidRDefault="00C166A1" w:rsidP="00D14DD2">
            <w:pPr>
              <w:pStyle w:val="BodyText2"/>
              <w:spacing w:before="40" w:after="40" w:line="280" w:lineRule="atLeast"/>
              <w:jc w:val="center"/>
              <w:rPr>
                <w:rFonts w:ascii="Verdana" w:hAnsi="Verdana"/>
                <w:b/>
                <w:color w:val="FFFFFF"/>
                <w:sz w:val="17"/>
                <w:szCs w:val="17"/>
              </w:rPr>
            </w:pPr>
            <w:r>
              <w:rPr>
                <w:rFonts w:ascii="Verdana" w:hAnsi="Verdana"/>
                <w:b/>
                <w:color w:val="FFFFFF"/>
                <w:sz w:val="17"/>
                <w:szCs w:val="17"/>
              </w:rPr>
              <w:t>6</w:t>
            </w:r>
            <w:r w:rsidRPr="005B7B53">
              <w:rPr>
                <w:rFonts w:ascii="Verdana" w:hAnsi="Verdana"/>
                <w:b/>
                <w:color w:val="FFFFFF"/>
                <w:sz w:val="17"/>
                <w:szCs w:val="17"/>
              </w:rPr>
              <w:t xml:space="preserve"> Months</w:t>
            </w:r>
          </w:p>
        </w:tc>
      </w:tr>
      <w:bookmarkEnd w:id="4"/>
      <w:tr w:rsidR="00C166A1" w14:paraId="0FED9550"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4AE1657" w14:textId="43A5D1F0"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Standard Bank Africa Rhodium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9BF54D" w14:textId="559250AF"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B1E61D0" w14:textId="1FBFA294"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64,57%</w:t>
            </w:r>
          </w:p>
        </w:tc>
        <w:tc>
          <w:tcPr>
            <w:tcW w:w="3118" w:type="dxa"/>
            <w:gridSpan w:val="2"/>
            <w:tcBorders>
              <w:top w:val="single" w:sz="4" w:space="0" w:color="auto"/>
              <w:left w:val="single" w:sz="18" w:space="0" w:color="auto"/>
              <w:bottom w:val="single" w:sz="4" w:space="0" w:color="auto"/>
              <w:right w:val="single" w:sz="4" w:space="0" w:color="auto"/>
            </w:tcBorders>
            <w:vAlign w:val="center"/>
          </w:tcPr>
          <w:p w14:paraId="5D4EB88F" w14:textId="79165132"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NewGold Palladium</w:t>
            </w:r>
          </w:p>
        </w:tc>
        <w:tc>
          <w:tcPr>
            <w:tcW w:w="851" w:type="dxa"/>
            <w:tcBorders>
              <w:top w:val="single" w:sz="4" w:space="0" w:color="auto"/>
              <w:left w:val="single" w:sz="4" w:space="0" w:color="auto"/>
              <w:bottom w:val="single" w:sz="4" w:space="0" w:color="auto"/>
              <w:right w:val="single" w:sz="4" w:space="0" w:color="auto"/>
            </w:tcBorders>
            <w:vAlign w:val="center"/>
          </w:tcPr>
          <w:p w14:paraId="300B2B8E" w14:textId="6835F4F4"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27" w:type="dxa"/>
            <w:tcBorders>
              <w:top w:val="single" w:sz="4" w:space="0" w:color="auto"/>
              <w:left w:val="single" w:sz="4" w:space="0" w:color="auto"/>
              <w:bottom w:val="single" w:sz="4" w:space="0" w:color="auto"/>
              <w:right w:val="single" w:sz="4" w:space="0" w:color="auto"/>
            </w:tcBorders>
            <w:vAlign w:val="center"/>
          </w:tcPr>
          <w:p w14:paraId="3792A5C0" w14:textId="799CE250"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38,60%</w:t>
            </w:r>
          </w:p>
        </w:tc>
      </w:tr>
      <w:tr w:rsidR="00C166A1" w:rsidRPr="00804DEE" w14:paraId="70CDB443"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885DA62" w14:textId="5A8F0E74"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NewGold Palladium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179D8C" w14:textId="3D2A6DB4"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4F03C353" w14:textId="382D60F8"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39,22%</w:t>
            </w:r>
          </w:p>
        </w:tc>
        <w:tc>
          <w:tcPr>
            <w:tcW w:w="3118" w:type="dxa"/>
            <w:gridSpan w:val="2"/>
            <w:tcBorders>
              <w:top w:val="single" w:sz="4" w:space="0" w:color="auto"/>
              <w:left w:val="single" w:sz="18" w:space="0" w:color="auto"/>
              <w:right w:val="single" w:sz="4" w:space="0" w:color="auto"/>
            </w:tcBorders>
            <w:vAlign w:val="center"/>
          </w:tcPr>
          <w:p w14:paraId="01462BE8" w14:textId="036F5B07"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Standard Bank Africa Palladium</w:t>
            </w:r>
          </w:p>
        </w:tc>
        <w:tc>
          <w:tcPr>
            <w:tcW w:w="851" w:type="dxa"/>
            <w:tcBorders>
              <w:top w:val="single" w:sz="4" w:space="0" w:color="auto"/>
              <w:left w:val="single" w:sz="4" w:space="0" w:color="auto"/>
              <w:right w:val="single" w:sz="4" w:space="0" w:color="auto"/>
            </w:tcBorders>
            <w:vAlign w:val="center"/>
          </w:tcPr>
          <w:p w14:paraId="7C0F20B8" w14:textId="6203C8CC"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27" w:type="dxa"/>
            <w:tcBorders>
              <w:top w:val="single" w:sz="4" w:space="0" w:color="auto"/>
              <w:left w:val="single" w:sz="4" w:space="0" w:color="auto"/>
              <w:right w:val="single" w:sz="4" w:space="0" w:color="auto"/>
            </w:tcBorders>
            <w:vAlign w:val="center"/>
          </w:tcPr>
          <w:p w14:paraId="6B6730F2" w14:textId="2E48981D"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37,6%</w:t>
            </w:r>
          </w:p>
        </w:tc>
      </w:tr>
      <w:tr w:rsidR="00C166A1" w:rsidRPr="00804DEE" w14:paraId="26AE9F78"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E897464" w14:textId="1FBF6C02"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Standard Bank Africa Palladium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42D228" w14:textId="0D9F457F"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10851A5B" w14:textId="28C02982"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38,11%</w:t>
            </w:r>
          </w:p>
        </w:tc>
        <w:tc>
          <w:tcPr>
            <w:tcW w:w="3118" w:type="dxa"/>
            <w:gridSpan w:val="2"/>
            <w:tcBorders>
              <w:left w:val="single" w:sz="18" w:space="0" w:color="auto"/>
              <w:bottom w:val="single" w:sz="4" w:space="0" w:color="auto"/>
              <w:right w:val="single" w:sz="4" w:space="0" w:color="auto"/>
            </w:tcBorders>
            <w:vAlign w:val="center"/>
          </w:tcPr>
          <w:p w14:paraId="012F6A2B" w14:textId="7D399AD5"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Standard Bank Palladium Linker</w:t>
            </w:r>
          </w:p>
        </w:tc>
        <w:tc>
          <w:tcPr>
            <w:tcW w:w="851" w:type="dxa"/>
            <w:tcBorders>
              <w:left w:val="single" w:sz="4" w:space="0" w:color="auto"/>
              <w:bottom w:val="single" w:sz="4" w:space="0" w:color="auto"/>
              <w:right w:val="single" w:sz="4" w:space="0" w:color="auto"/>
            </w:tcBorders>
            <w:vAlign w:val="center"/>
          </w:tcPr>
          <w:p w14:paraId="130899C3" w14:textId="25F5DE42"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27" w:type="dxa"/>
            <w:tcBorders>
              <w:left w:val="single" w:sz="4" w:space="0" w:color="auto"/>
              <w:bottom w:val="single" w:sz="4" w:space="0" w:color="auto"/>
              <w:right w:val="single" w:sz="4" w:space="0" w:color="auto"/>
            </w:tcBorders>
            <w:vAlign w:val="center"/>
          </w:tcPr>
          <w:p w14:paraId="4BFF92C6" w14:textId="47B67F67"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34,67%</w:t>
            </w:r>
          </w:p>
        </w:tc>
      </w:tr>
      <w:tr w:rsidR="00C166A1" w:rsidRPr="00804DEE" w14:paraId="13B92036"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4287F2F" w14:textId="2ABB618B"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Standard Bank Palladium Linker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A3F794" w14:textId="7199ED21"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D5DC9DF" w14:textId="70F50D27"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36,04%</w:t>
            </w:r>
          </w:p>
        </w:tc>
        <w:tc>
          <w:tcPr>
            <w:tcW w:w="3118" w:type="dxa"/>
            <w:gridSpan w:val="2"/>
            <w:tcBorders>
              <w:left w:val="single" w:sz="18" w:space="0" w:color="auto"/>
              <w:bottom w:val="single" w:sz="4" w:space="0" w:color="auto"/>
              <w:right w:val="single" w:sz="4" w:space="0" w:color="auto"/>
            </w:tcBorders>
            <w:vAlign w:val="center"/>
          </w:tcPr>
          <w:p w14:paraId="5E71E6F7" w14:textId="112568D8"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 xml:space="preserve">CoreShares PrefTrax </w:t>
            </w:r>
          </w:p>
        </w:tc>
        <w:tc>
          <w:tcPr>
            <w:tcW w:w="851" w:type="dxa"/>
            <w:tcBorders>
              <w:left w:val="single" w:sz="4" w:space="0" w:color="auto"/>
              <w:bottom w:val="single" w:sz="4" w:space="0" w:color="auto"/>
              <w:right w:val="single" w:sz="4" w:space="0" w:color="auto"/>
            </w:tcBorders>
            <w:vAlign w:val="center"/>
          </w:tcPr>
          <w:p w14:paraId="52B68472" w14:textId="5A1709BC"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3F03E6C6" w14:textId="72B7B0EF"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14,41%</w:t>
            </w:r>
          </w:p>
        </w:tc>
      </w:tr>
      <w:tr w:rsidR="00C166A1" w:rsidRPr="00804DEE" w14:paraId="50CD5CC8" w14:textId="77777777" w:rsidTr="000516BD">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568C5" w14:textId="77777777" w:rsidR="00C166A1" w:rsidRDefault="00C166A1" w:rsidP="00D14DD2">
            <w:pPr>
              <w:pStyle w:val="BodyText2"/>
              <w:spacing w:before="40" w:after="40" w:line="280" w:lineRule="atLeast"/>
              <w:jc w:val="center"/>
              <w:rPr>
                <w:rFonts w:ascii="Verdana" w:hAnsi="Verdana"/>
                <w:sz w:val="17"/>
                <w:szCs w:val="17"/>
              </w:rPr>
            </w:pPr>
          </w:p>
        </w:tc>
        <w:tc>
          <w:tcPr>
            <w:tcW w:w="2345"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10612D67" w14:textId="77777777" w:rsidR="00C166A1" w:rsidRPr="00307781" w:rsidRDefault="00C166A1" w:rsidP="00D14DD2">
            <w:pPr>
              <w:pStyle w:val="BodyText2"/>
              <w:spacing w:before="40" w:after="40" w:line="280" w:lineRule="atLeast"/>
              <w:jc w:val="center"/>
              <w:rPr>
                <w:rFonts w:ascii="Verdana" w:hAnsi="Verdana"/>
                <w:b/>
                <w:color w:val="FFFFFF" w:themeColor="background1"/>
                <w:sz w:val="17"/>
                <w:szCs w:val="17"/>
              </w:rPr>
            </w:pPr>
            <w:r w:rsidRPr="00307781">
              <w:rPr>
                <w:rFonts w:ascii="Verdana" w:hAnsi="Verdana"/>
                <w:b/>
                <w:color w:val="FFFFFF" w:themeColor="background1"/>
                <w:sz w:val="17"/>
                <w:szCs w:val="17"/>
              </w:rPr>
              <w:t>3 Months</w:t>
            </w:r>
          </w:p>
        </w:tc>
        <w:tc>
          <w:tcPr>
            <w:tcW w:w="3885" w:type="dxa"/>
            <w:gridSpan w:val="3"/>
            <w:tcBorders>
              <w:left w:val="single" w:sz="4" w:space="0" w:color="auto"/>
              <w:bottom w:val="single" w:sz="4" w:space="0" w:color="auto"/>
              <w:right w:val="single" w:sz="4" w:space="0" w:color="auto"/>
            </w:tcBorders>
            <w:vAlign w:val="center"/>
          </w:tcPr>
          <w:p w14:paraId="7B17881B" w14:textId="77777777" w:rsidR="00C166A1" w:rsidRPr="005B7B53" w:rsidRDefault="00C166A1" w:rsidP="00D14DD2">
            <w:pPr>
              <w:pStyle w:val="BodyText2"/>
              <w:spacing w:before="40" w:after="40" w:line="280" w:lineRule="atLeast"/>
              <w:jc w:val="center"/>
              <w:rPr>
                <w:rFonts w:ascii="Verdana" w:hAnsi="Verdana"/>
                <w:sz w:val="17"/>
                <w:szCs w:val="17"/>
              </w:rPr>
            </w:pPr>
          </w:p>
        </w:tc>
      </w:tr>
      <w:tr w:rsidR="00C166A1" w:rsidRPr="00804DEE" w14:paraId="15BFA9E9"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16D50ED" w14:textId="1E518AA7"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NewGold Palladium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C67FFF" w14:textId="3940EA28"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1F2922B2" w14:textId="03884A75"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17,78%</w:t>
            </w:r>
          </w:p>
        </w:tc>
        <w:tc>
          <w:tcPr>
            <w:tcW w:w="3118" w:type="dxa"/>
            <w:gridSpan w:val="2"/>
            <w:tcBorders>
              <w:left w:val="single" w:sz="18" w:space="0" w:color="auto"/>
              <w:bottom w:val="single" w:sz="4" w:space="0" w:color="auto"/>
              <w:right w:val="single" w:sz="6" w:space="0" w:color="auto"/>
            </w:tcBorders>
            <w:vAlign w:val="center"/>
          </w:tcPr>
          <w:p w14:paraId="04986229" w14:textId="3A17D45F"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NewFunds S&amp;P GIVI RESI</w:t>
            </w:r>
          </w:p>
        </w:tc>
        <w:tc>
          <w:tcPr>
            <w:tcW w:w="851" w:type="dxa"/>
            <w:tcBorders>
              <w:left w:val="single" w:sz="6" w:space="0" w:color="auto"/>
              <w:bottom w:val="single" w:sz="4" w:space="0" w:color="auto"/>
              <w:right w:val="single" w:sz="4" w:space="0" w:color="auto"/>
            </w:tcBorders>
            <w:vAlign w:val="center"/>
          </w:tcPr>
          <w:p w14:paraId="64FA5F90" w14:textId="386DE2C8"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7430F8A4" w14:textId="5FDE4A9B"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16,28%</w:t>
            </w:r>
          </w:p>
        </w:tc>
      </w:tr>
      <w:tr w:rsidR="00C166A1" w:rsidRPr="00804DEE" w14:paraId="4F8A18F9" w14:textId="77777777" w:rsidTr="000516BD">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4E60CB5" w14:textId="3BD25A6E"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Standard Bank Africa Palladium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827D61" w14:textId="0FE40974"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0110D55F" w14:textId="04FD8AF1"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17,52%</w:t>
            </w:r>
          </w:p>
        </w:tc>
        <w:tc>
          <w:tcPr>
            <w:tcW w:w="3118" w:type="dxa"/>
            <w:gridSpan w:val="2"/>
            <w:tcBorders>
              <w:left w:val="single" w:sz="18" w:space="0" w:color="auto"/>
              <w:bottom w:val="single" w:sz="4" w:space="0" w:color="auto"/>
              <w:right w:val="single" w:sz="6" w:space="0" w:color="auto"/>
            </w:tcBorders>
            <w:vAlign w:val="center"/>
          </w:tcPr>
          <w:p w14:paraId="23B6D706" w14:textId="1EFA03DD" w:rsidR="00C166A1" w:rsidRPr="005B7B53" w:rsidRDefault="00C166A1" w:rsidP="00D14DD2">
            <w:pPr>
              <w:pStyle w:val="BodyText2"/>
              <w:spacing w:before="40" w:after="40" w:line="280" w:lineRule="atLeast"/>
              <w:rPr>
                <w:rFonts w:ascii="Verdana" w:hAnsi="Verdana"/>
                <w:sz w:val="17"/>
                <w:szCs w:val="17"/>
              </w:rPr>
            </w:pPr>
            <w:r>
              <w:rPr>
                <w:rFonts w:ascii="Verdana" w:hAnsi="Verdana"/>
                <w:sz w:val="17"/>
                <w:szCs w:val="17"/>
              </w:rPr>
              <w:t>Standard Bank Palladium Linker</w:t>
            </w:r>
          </w:p>
        </w:tc>
        <w:tc>
          <w:tcPr>
            <w:tcW w:w="851" w:type="dxa"/>
            <w:tcBorders>
              <w:left w:val="single" w:sz="6" w:space="0" w:color="auto"/>
              <w:bottom w:val="single" w:sz="4" w:space="0" w:color="auto"/>
              <w:right w:val="single" w:sz="4" w:space="0" w:color="auto"/>
            </w:tcBorders>
            <w:vAlign w:val="center"/>
          </w:tcPr>
          <w:p w14:paraId="3863BCC0" w14:textId="7872E96F"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ETN</w:t>
            </w:r>
          </w:p>
        </w:tc>
        <w:tc>
          <w:tcPr>
            <w:tcW w:w="1127" w:type="dxa"/>
            <w:tcBorders>
              <w:left w:val="single" w:sz="4" w:space="0" w:color="auto"/>
              <w:bottom w:val="single" w:sz="4" w:space="0" w:color="auto"/>
              <w:right w:val="single" w:sz="4" w:space="0" w:color="auto"/>
            </w:tcBorders>
            <w:vAlign w:val="center"/>
          </w:tcPr>
          <w:p w14:paraId="654CD4BC" w14:textId="4D02FA4F" w:rsidR="00C166A1" w:rsidRPr="005B7B53" w:rsidRDefault="00C166A1" w:rsidP="00D14DD2">
            <w:pPr>
              <w:pStyle w:val="BodyText2"/>
              <w:spacing w:before="40" w:after="40" w:line="280" w:lineRule="atLeast"/>
              <w:jc w:val="center"/>
              <w:rPr>
                <w:rFonts w:ascii="Verdana" w:hAnsi="Verdana"/>
                <w:sz w:val="17"/>
                <w:szCs w:val="17"/>
              </w:rPr>
            </w:pPr>
            <w:r>
              <w:rPr>
                <w:rFonts w:ascii="Verdana" w:hAnsi="Verdana"/>
                <w:sz w:val="17"/>
                <w:szCs w:val="17"/>
              </w:rPr>
              <w:t>13,56%</w:t>
            </w:r>
          </w:p>
        </w:tc>
      </w:tr>
      <w:tr w:rsidR="00C166A1" w:rsidRPr="00804DEE" w14:paraId="3C453FB5" w14:textId="77777777" w:rsidTr="008F0BEC">
        <w:tc>
          <w:tcPr>
            <w:tcW w:w="103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ECD8C7" w14:textId="2EDBF57C" w:rsidR="00C166A1" w:rsidRPr="005B7B53" w:rsidRDefault="00C166A1" w:rsidP="00C166A1">
            <w:pPr>
              <w:pStyle w:val="BodyText2"/>
              <w:spacing w:after="20" w:line="260" w:lineRule="atLeast"/>
              <w:rPr>
                <w:rFonts w:ascii="Verdana" w:hAnsi="Verdana"/>
                <w:i/>
                <w:sz w:val="14"/>
                <w:szCs w:val="14"/>
              </w:rPr>
            </w:pPr>
            <w:r w:rsidRPr="005B7B53">
              <w:rPr>
                <w:rFonts w:ascii="Verdana" w:hAnsi="Verdana"/>
                <w:i/>
                <w:sz w:val="14"/>
                <w:szCs w:val="14"/>
              </w:rPr>
              <w:t>Source: etfSA.co.za / Profile Media Funds Data (</w:t>
            </w:r>
            <w:r>
              <w:rPr>
                <w:rFonts w:ascii="Verdana" w:hAnsi="Verdana"/>
                <w:i/>
                <w:sz w:val="14"/>
                <w:szCs w:val="14"/>
              </w:rPr>
              <w:t>31/12</w:t>
            </w:r>
            <w:r w:rsidRPr="005B7B53">
              <w:rPr>
                <w:rFonts w:ascii="Verdana" w:hAnsi="Verdana"/>
                <w:i/>
                <w:sz w:val="14"/>
                <w:szCs w:val="14"/>
              </w:rPr>
              <w:t>/201</w:t>
            </w:r>
            <w:r>
              <w:rPr>
                <w:rFonts w:ascii="Verdana" w:hAnsi="Verdana"/>
                <w:i/>
                <w:sz w:val="14"/>
                <w:szCs w:val="14"/>
              </w:rPr>
              <w:t>8</w:t>
            </w:r>
            <w:r w:rsidRPr="005B7B53">
              <w:rPr>
                <w:rFonts w:ascii="Verdana" w:hAnsi="Verdana"/>
                <w:i/>
                <w:sz w:val="14"/>
                <w:szCs w:val="14"/>
              </w:rPr>
              <w:t xml:space="preserve">)                   * Includes reinvestment of dividends. </w:t>
            </w:r>
          </w:p>
        </w:tc>
      </w:tr>
      <w:bookmarkEnd w:id="3"/>
    </w:tbl>
    <w:p w14:paraId="47A9CE82" w14:textId="77777777" w:rsidR="0061409B" w:rsidRPr="007B3B94" w:rsidRDefault="0061409B" w:rsidP="0061409B">
      <w:pPr>
        <w:pStyle w:val="BodyText2"/>
        <w:spacing w:after="0" w:line="240" w:lineRule="auto"/>
        <w:jc w:val="center"/>
        <w:rPr>
          <w:rFonts w:ascii="Verdana" w:hAnsi="Verdana"/>
          <w:b/>
          <w:caps/>
          <w:sz w:val="4"/>
          <w:szCs w:val="4"/>
        </w:rPr>
      </w:pPr>
    </w:p>
    <w:p w14:paraId="6E93549E" w14:textId="77777777" w:rsidR="00303F22" w:rsidRPr="00B32D6E" w:rsidRDefault="00303F22" w:rsidP="00E44686">
      <w:pPr>
        <w:pStyle w:val="BodyText2"/>
        <w:spacing w:after="0" w:line="240" w:lineRule="auto"/>
        <w:jc w:val="both"/>
        <w:rPr>
          <w:rFonts w:ascii="Verdana" w:hAnsi="Verdana"/>
          <w:caps/>
          <w:sz w:val="4"/>
          <w:szCs w:val="4"/>
        </w:rPr>
      </w:pPr>
    </w:p>
    <w:p w14:paraId="77AE55A4" w14:textId="77777777" w:rsidR="00D108C2" w:rsidRPr="00000A2B" w:rsidRDefault="00D108C2" w:rsidP="00D108C2">
      <w:pPr>
        <w:spacing w:after="120" w:line="280" w:lineRule="atLeast"/>
        <w:jc w:val="both"/>
        <w:rPr>
          <w:rFonts w:ascii="Verdana" w:hAnsi="Verdana"/>
          <w:sz w:val="18"/>
          <w:szCs w:val="18"/>
        </w:rPr>
        <w:sectPr w:rsidR="00D108C2" w:rsidRPr="00000A2B" w:rsidSect="00A77061">
          <w:footerReference w:type="default" r:id="rId9"/>
          <w:pgSz w:w="11906" w:h="16838" w:code="9"/>
          <w:pgMar w:top="794" w:right="567" w:bottom="510" w:left="851" w:header="567" w:footer="227" w:gutter="0"/>
          <w:cols w:space="708"/>
          <w:docGrid w:linePitch="360"/>
        </w:sectPr>
      </w:pPr>
    </w:p>
    <w:p w14:paraId="7EB7111B" w14:textId="77777777" w:rsidR="0022723F" w:rsidRPr="00B81A28" w:rsidRDefault="0022723F" w:rsidP="0022723F">
      <w:pPr>
        <w:spacing w:after="0" w:line="240" w:lineRule="auto"/>
        <w:rPr>
          <w:rFonts w:ascii="Verdana" w:hAnsi="Verdana"/>
          <w:sz w:val="16"/>
          <w:szCs w:val="16"/>
        </w:rPr>
      </w:pPr>
      <w:bookmarkStart w:id="5" w:name="OLE_LINK2"/>
      <w:bookmarkStart w:id="6" w:name="_Hlk486833454"/>
      <w:bookmarkStart w:id="7" w:name="_Hlk507492151"/>
      <w:bookmarkEnd w:id="5"/>
      <w:r w:rsidRPr="00B81A28">
        <w:rPr>
          <w:rFonts w:ascii="Verdana" w:hAnsi="Verdana"/>
          <w:noProof/>
          <w:lang w:eastAsia="en-ZA"/>
        </w:rPr>
        <w:lastRenderedPageBreak/>
        <w:drawing>
          <wp:inline distT="0" distB="0" distL="0" distR="0" wp14:anchorId="00CD0046" wp14:editId="53902909">
            <wp:extent cx="3735070" cy="784860"/>
            <wp:effectExtent l="0" t="0" r="0" b="0"/>
            <wp:docPr id="4" name="Picture 4"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070" cy="784860"/>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2723F" w:rsidRPr="00B81A28" w14:paraId="5D97E9F5" w14:textId="77777777" w:rsidTr="00365F35">
        <w:tc>
          <w:tcPr>
            <w:tcW w:w="14884" w:type="dxa"/>
            <w:gridSpan w:val="10"/>
            <w:shd w:val="clear" w:color="auto" w:fill="CB2229"/>
            <w:vAlign w:val="center"/>
          </w:tcPr>
          <w:p w14:paraId="50183EB4" w14:textId="77777777" w:rsidR="0022723F" w:rsidRPr="00B81A28" w:rsidRDefault="0022723F" w:rsidP="00365F35">
            <w:pPr>
              <w:spacing w:before="40" w:after="40" w:line="320" w:lineRule="atLeast"/>
              <w:jc w:val="center"/>
              <w:rPr>
                <w:rFonts w:ascii="Verdana" w:hAnsi="Verdana"/>
                <w:b/>
                <w:color w:val="FFFFFF"/>
                <w:sz w:val="20"/>
                <w:szCs w:val="20"/>
              </w:rPr>
            </w:pPr>
            <w:bookmarkStart w:id="8" w:name="OLE_LINK3"/>
            <w:r w:rsidRPr="00B81A28">
              <w:rPr>
                <w:rFonts w:ascii="Verdana" w:hAnsi="Verdana"/>
                <w:b/>
                <w:color w:val="FFFFFF"/>
                <w:sz w:val="20"/>
                <w:szCs w:val="20"/>
              </w:rPr>
              <w:t>MONTHLY PERFORMANCE SURVEY OF INDEX TRACKING ETFS, ETNs AND UNIT TRUSTS</w:t>
            </w:r>
          </w:p>
          <w:p w14:paraId="4D2A7002"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w:t>
            </w:r>
            <w:r w:rsidRPr="00B81A28">
              <w:rPr>
                <w:rFonts w:ascii="Verdana" w:hAnsi="Verdana"/>
                <w:b/>
                <w:color w:val="FFFFFF"/>
                <w:sz w:val="20"/>
                <w:szCs w:val="20"/>
              </w:rPr>
              <w:t xml:space="preserve"> 2018</w:t>
            </w:r>
          </w:p>
          <w:p w14:paraId="7017D6CA"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2723F" w:rsidRPr="00B81A28" w14:paraId="2B687F94" w14:textId="77777777" w:rsidTr="00365F35">
        <w:tc>
          <w:tcPr>
            <w:tcW w:w="4536" w:type="dxa"/>
            <w:shd w:val="clear" w:color="auto" w:fill="4C4C4C"/>
          </w:tcPr>
          <w:p w14:paraId="27F74F78" w14:textId="77777777" w:rsidR="0022723F" w:rsidRPr="0067766B" w:rsidRDefault="0022723F" w:rsidP="00365F35">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55B084E9"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6FE7C212"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290D2E2B"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79B0E462"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12368FB8"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52345318"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3C64A3F9"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7BF362A4"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431C2FF4"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2723F" w:rsidRPr="00B81A28" w14:paraId="24FB7663" w14:textId="77777777" w:rsidTr="00365F35">
        <w:tc>
          <w:tcPr>
            <w:tcW w:w="14884" w:type="dxa"/>
            <w:gridSpan w:val="10"/>
            <w:shd w:val="clear" w:color="auto" w:fill="7583BD"/>
            <w:vAlign w:val="center"/>
          </w:tcPr>
          <w:p w14:paraId="62F325BC" w14:textId="77777777" w:rsidR="0022723F" w:rsidRPr="00B81A28" w:rsidRDefault="0022723F" w:rsidP="00365F35">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40</w:t>
            </w:r>
          </w:p>
        </w:tc>
      </w:tr>
      <w:tr w:rsidR="0022723F" w:rsidRPr="00DC35BB" w14:paraId="71E6C73C" w14:textId="77777777" w:rsidTr="00365F35">
        <w:tc>
          <w:tcPr>
            <w:tcW w:w="4536" w:type="dxa"/>
          </w:tcPr>
          <w:p w14:paraId="5DF98CAE" w14:textId="77777777" w:rsidR="0022723F" w:rsidRPr="00DC35BB" w:rsidRDefault="0022723F" w:rsidP="00365F35">
            <w:pPr>
              <w:spacing w:before="40" w:after="40" w:line="300" w:lineRule="atLeast"/>
              <w:rPr>
                <w:rFonts w:ascii="Verdana" w:hAnsi="Verdana"/>
                <w:b/>
                <w:sz w:val="16"/>
                <w:szCs w:val="16"/>
              </w:rPr>
            </w:pPr>
            <w:r>
              <w:rPr>
                <w:rFonts w:ascii="Verdana" w:hAnsi="Verdana"/>
                <w:b/>
                <w:sz w:val="16"/>
                <w:szCs w:val="16"/>
              </w:rPr>
              <w:t>FTSE/JSE Top 40 Index</w:t>
            </w:r>
          </w:p>
        </w:tc>
        <w:tc>
          <w:tcPr>
            <w:tcW w:w="1134" w:type="dxa"/>
          </w:tcPr>
          <w:p w14:paraId="4996CB73" w14:textId="2847546C" w:rsidR="0022723F" w:rsidRPr="00DC35BB" w:rsidRDefault="00D02C82" w:rsidP="00365F35">
            <w:pPr>
              <w:tabs>
                <w:tab w:val="left" w:pos="1050"/>
              </w:tabs>
              <w:spacing w:before="40" w:after="40" w:line="300" w:lineRule="atLeast"/>
              <w:jc w:val="center"/>
              <w:rPr>
                <w:rFonts w:ascii="Verdana" w:hAnsi="Verdana"/>
                <w:b/>
                <w:sz w:val="16"/>
                <w:szCs w:val="16"/>
              </w:rPr>
            </w:pPr>
            <w:r>
              <w:rPr>
                <w:rFonts w:ascii="Verdana" w:hAnsi="Verdana"/>
                <w:b/>
                <w:sz w:val="16"/>
                <w:szCs w:val="16"/>
              </w:rPr>
              <w:t>4,76%</w:t>
            </w:r>
          </w:p>
        </w:tc>
        <w:tc>
          <w:tcPr>
            <w:tcW w:w="1276" w:type="dxa"/>
          </w:tcPr>
          <w:p w14:paraId="3907C542" w14:textId="2C5C950C"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(5,25%)</w:t>
            </w:r>
          </w:p>
        </w:tc>
        <w:tc>
          <w:tcPr>
            <w:tcW w:w="1134" w:type="dxa"/>
          </w:tcPr>
          <w:p w14:paraId="7A273D94" w14:textId="4FACA8B4"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(7,83%)</w:t>
            </w:r>
          </w:p>
        </w:tc>
        <w:tc>
          <w:tcPr>
            <w:tcW w:w="1134" w:type="dxa"/>
          </w:tcPr>
          <w:p w14:paraId="4E725758" w14:textId="68FE7804"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(8,31%)</w:t>
            </w:r>
          </w:p>
        </w:tc>
        <w:tc>
          <w:tcPr>
            <w:tcW w:w="1134" w:type="dxa"/>
          </w:tcPr>
          <w:p w14:paraId="138D991F" w14:textId="3BC2ABAC"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6,23%</w:t>
            </w:r>
          </w:p>
        </w:tc>
        <w:tc>
          <w:tcPr>
            <w:tcW w:w="1134" w:type="dxa"/>
            <w:shd w:val="clear" w:color="auto" w:fill="auto"/>
          </w:tcPr>
          <w:p w14:paraId="3A37FF0C" w14:textId="120F5328"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3,55%</w:t>
            </w:r>
          </w:p>
        </w:tc>
        <w:tc>
          <w:tcPr>
            <w:tcW w:w="1134" w:type="dxa"/>
            <w:shd w:val="clear" w:color="auto" w:fill="auto"/>
          </w:tcPr>
          <w:p w14:paraId="11403F76" w14:textId="400E901F"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5,44%</w:t>
            </w:r>
          </w:p>
        </w:tc>
        <w:tc>
          <w:tcPr>
            <w:tcW w:w="1134" w:type="dxa"/>
          </w:tcPr>
          <w:p w14:paraId="68CF4C02" w14:textId="0D9BC7FA"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10,55%</w:t>
            </w:r>
          </w:p>
        </w:tc>
        <w:tc>
          <w:tcPr>
            <w:tcW w:w="1134" w:type="dxa"/>
          </w:tcPr>
          <w:p w14:paraId="73A3E721" w14:textId="44AB7E8B"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12,28%</w:t>
            </w:r>
          </w:p>
        </w:tc>
      </w:tr>
      <w:tr w:rsidR="0022723F" w:rsidRPr="00B81A28" w14:paraId="3B52A48D" w14:textId="77777777" w:rsidTr="00365F35">
        <w:tc>
          <w:tcPr>
            <w:tcW w:w="4536" w:type="dxa"/>
          </w:tcPr>
          <w:p w14:paraId="3D763884"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Absa NewFunds SWIX Top 40 (Total Return)</w:t>
            </w:r>
          </w:p>
        </w:tc>
        <w:tc>
          <w:tcPr>
            <w:tcW w:w="1134" w:type="dxa"/>
          </w:tcPr>
          <w:p w14:paraId="7B62F332" w14:textId="1065A7BE" w:rsidR="0022723F" w:rsidRPr="00B81A28" w:rsidRDefault="00D02C82" w:rsidP="00365F35">
            <w:pPr>
              <w:tabs>
                <w:tab w:val="left" w:pos="1050"/>
              </w:tabs>
              <w:spacing w:before="40" w:after="40" w:line="300" w:lineRule="atLeast"/>
              <w:jc w:val="center"/>
              <w:rPr>
                <w:rFonts w:ascii="Verdana" w:hAnsi="Verdana"/>
                <w:sz w:val="16"/>
                <w:szCs w:val="16"/>
              </w:rPr>
            </w:pPr>
            <w:r>
              <w:rPr>
                <w:rFonts w:ascii="Verdana" w:hAnsi="Verdana"/>
                <w:sz w:val="16"/>
                <w:szCs w:val="16"/>
              </w:rPr>
              <w:t>3,00%</w:t>
            </w:r>
          </w:p>
        </w:tc>
        <w:tc>
          <w:tcPr>
            <w:tcW w:w="1276" w:type="dxa"/>
          </w:tcPr>
          <w:p w14:paraId="1E18BDCD" w14:textId="26521774"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(4,83%)</w:t>
            </w:r>
          </w:p>
        </w:tc>
        <w:tc>
          <w:tcPr>
            <w:tcW w:w="1134" w:type="dxa"/>
          </w:tcPr>
          <w:p w14:paraId="36362608" w14:textId="0E576A8F"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(8,96%)</w:t>
            </w:r>
          </w:p>
        </w:tc>
        <w:tc>
          <w:tcPr>
            <w:tcW w:w="1134" w:type="dxa"/>
          </w:tcPr>
          <w:p w14:paraId="565DE276" w14:textId="15C319A8"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(12,84%)</w:t>
            </w:r>
          </w:p>
        </w:tc>
        <w:tc>
          <w:tcPr>
            <w:tcW w:w="1134" w:type="dxa"/>
          </w:tcPr>
          <w:p w14:paraId="6AC5B5BC" w14:textId="69EA4619"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3,73%</w:t>
            </w:r>
          </w:p>
        </w:tc>
        <w:tc>
          <w:tcPr>
            <w:tcW w:w="1134" w:type="dxa"/>
            <w:shd w:val="clear" w:color="auto" w:fill="auto"/>
          </w:tcPr>
          <w:p w14:paraId="3DD9EA94" w14:textId="69A9807E"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2,04%</w:t>
            </w:r>
          </w:p>
        </w:tc>
        <w:tc>
          <w:tcPr>
            <w:tcW w:w="1134" w:type="dxa"/>
            <w:shd w:val="clear" w:color="auto" w:fill="auto"/>
          </w:tcPr>
          <w:p w14:paraId="6C08FE37" w14:textId="4BC811EA"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4,82%</w:t>
            </w:r>
          </w:p>
        </w:tc>
        <w:tc>
          <w:tcPr>
            <w:tcW w:w="1134" w:type="dxa"/>
          </w:tcPr>
          <w:p w14:paraId="300D64A4"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CDAA758"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4FBAE158" w14:textId="77777777" w:rsidTr="00365F35">
        <w:tc>
          <w:tcPr>
            <w:tcW w:w="4536" w:type="dxa"/>
          </w:tcPr>
          <w:p w14:paraId="6C7F76EF"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Ashburton Top 40 Portfolio</w:t>
            </w:r>
          </w:p>
        </w:tc>
        <w:tc>
          <w:tcPr>
            <w:tcW w:w="1134" w:type="dxa"/>
            <w:vAlign w:val="center"/>
          </w:tcPr>
          <w:p w14:paraId="71029420" w14:textId="5477B12C" w:rsidR="0022723F" w:rsidRPr="00B81A28" w:rsidRDefault="00D02C82" w:rsidP="00365F35">
            <w:pPr>
              <w:tabs>
                <w:tab w:val="left" w:pos="1050"/>
              </w:tabs>
              <w:spacing w:before="40" w:after="40" w:line="300" w:lineRule="atLeast"/>
              <w:jc w:val="center"/>
              <w:rPr>
                <w:rFonts w:ascii="Verdana" w:hAnsi="Verdana"/>
                <w:sz w:val="16"/>
                <w:szCs w:val="16"/>
              </w:rPr>
            </w:pPr>
            <w:r>
              <w:rPr>
                <w:rFonts w:ascii="Verdana" w:hAnsi="Verdana"/>
                <w:sz w:val="16"/>
                <w:szCs w:val="16"/>
              </w:rPr>
              <w:t>4,73%</w:t>
            </w:r>
          </w:p>
        </w:tc>
        <w:tc>
          <w:tcPr>
            <w:tcW w:w="1276" w:type="dxa"/>
            <w:vAlign w:val="center"/>
          </w:tcPr>
          <w:p w14:paraId="0AF97FA5" w14:textId="5EFF692C"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(5,19%)</w:t>
            </w:r>
          </w:p>
        </w:tc>
        <w:tc>
          <w:tcPr>
            <w:tcW w:w="1134" w:type="dxa"/>
            <w:vAlign w:val="center"/>
          </w:tcPr>
          <w:p w14:paraId="20A2A5B3" w14:textId="3BF5CD1C"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(7,73%)</w:t>
            </w:r>
          </w:p>
        </w:tc>
        <w:tc>
          <w:tcPr>
            <w:tcW w:w="1134" w:type="dxa"/>
            <w:vAlign w:val="center"/>
          </w:tcPr>
          <w:p w14:paraId="1ABB85D1" w14:textId="3357A869"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(8,31%)</w:t>
            </w:r>
          </w:p>
        </w:tc>
        <w:tc>
          <w:tcPr>
            <w:tcW w:w="1134" w:type="dxa"/>
            <w:vAlign w:val="center"/>
          </w:tcPr>
          <w:p w14:paraId="270968D6" w14:textId="0FD3D5D2"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5,95%</w:t>
            </w:r>
          </w:p>
        </w:tc>
        <w:tc>
          <w:tcPr>
            <w:tcW w:w="1134" w:type="dxa"/>
            <w:shd w:val="clear" w:color="auto" w:fill="auto"/>
          </w:tcPr>
          <w:p w14:paraId="2F079F47" w14:textId="020ED1AB"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3,25%</w:t>
            </w:r>
          </w:p>
        </w:tc>
        <w:tc>
          <w:tcPr>
            <w:tcW w:w="1134" w:type="dxa"/>
            <w:shd w:val="clear" w:color="auto" w:fill="auto"/>
          </w:tcPr>
          <w:p w14:paraId="52762FD9" w14:textId="6B78D09D"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5,17%</w:t>
            </w:r>
          </w:p>
        </w:tc>
        <w:tc>
          <w:tcPr>
            <w:tcW w:w="1134" w:type="dxa"/>
          </w:tcPr>
          <w:p w14:paraId="1B16757F" w14:textId="7FAD8ADF"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10,26%</w:t>
            </w:r>
          </w:p>
        </w:tc>
        <w:tc>
          <w:tcPr>
            <w:tcW w:w="1134" w:type="dxa"/>
          </w:tcPr>
          <w:p w14:paraId="47A63E8F" w14:textId="5563EF6E"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11,98%</w:t>
            </w:r>
          </w:p>
        </w:tc>
      </w:tr>
      <w:tr w:rsidR="0022723F" w:rsidRPr="00B81A28" w14:paraId="763D175A" w14:textId="77777777" w:rsidTr="00365F35">
        <w:tc>
          <w:tcPr>
            <w:tcW w:w="4536" w:type="dxa"/>
          </w:tcPr>
          <w:p w14:paraId="4F63CE4D"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CoreShares Equally Weighted Top 40</w:t>
            </w:r>
          </w:p>
        </w:tc>
        <w:tc>
          <w:tcPr>
            <w:tcW w:w="1134" w:type="dxa"/>
          </w:tcPr>
          <w:p w14:paraId="42EE37F0" w14:textId="156AF167" w:rsidR="0022723F" w:rsidRPr="00B81A28" w:rsidRDefault="00D02C82" w:rsidP="00365F35">
            <w:pPr>
              <w:tabs>
                <w:tab w:val="left" w:pos="1050"/>
              </w:tabs>
              <w:spacing w:before="40" w:after="40" w:line="300" w:lineRule="atLeast"/>
              <w:jc w:val="center"/>
              <w:rPr>
                <w:rFonts w:ascii="Verdana" w:hAnsi="Verdana"/>
                <w:sz w:val="16"/>
                <w:szCs w:val="16"/>
              </w:rPr>
            </w:pPr>
            <w:r>
              <w:rPr>
                <w:rFonts w:ascii="Verdana" w:hAnsi="Verdana"/>
                <w:sz w:val="16"/>
                <w:szCs w:val="16"/>
              </w:rPr>
              <w:t>2,55%</w:t>
            </w:r>
          </w:p>
        </w:tc>
        <w:tc>
          <w:tcPr>
            <w:tcW w:w="1276" w:type="dxa"/>
          </w:tcPr>
          <w:p w14:paraId="47E4D578" w14:textId="04997A21"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(0,95%)</w:t>
            </w:r>
          </w:p>
        </w:tc>
        <w:tc>
          <w:tcPr>
            <w:tcW w:w="1134" w:type="dxa"/>
          </w:tcPr>
          <w:p w14:paraId="30DE29EC" w14:textId="1C9F33FC"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(2,40%)</w:t>
            </w:r>
          </w:p>
        </w:tc>
        <w:tc>
          <w:tcPr>
            <w:tcW w:w="1134" w:type="dxa"/>
          </w:tcPr>
          <w:p w14:paraId="55FB0798" w14:textId="46A26549"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(12,28%)</w:t>
            </w:r>
          </w:p>
        </w:tc>
        <w:tc>
          <w:tcPr>
            <w:tcW w:w="1134" w:type="dxa"/>
          </w:tcPr>
          <w:p w14:paraId="1A5F294A" w14:textId="61CCC114"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(0,53%)</w:t>
            </w:r>
          </w:p>
        </w:tc>
        <w:tc>
          <w:tcPr>
            <w:tcW w:w="1134" w:type="dxa"/>
            <w:shd w:val="clear" w:color="auto" w:fill="auto"/>
          </w:tcPr>
          <w:p w14:paraId="4FBFB1E8" w14:textId="25535359"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0,03%</w:t>
            </w:r>
          </w:p>
        </w:tc>
        <w:tc>
          <w:tcPr>
            <w:tcW w:w="1134" w:type="dxa"/>
            <w:shd w:val="clear" w:color="auto" w:fill="auto"/>
          </w:tcPr>
          <w:p w14:paraId="0818E9B3" w14:textId="21BA5544"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2,21%</w:t>
            </w:r>
          </w:p>
        </w:tc>
        <w:tc>
          <w:tcPr>
            <w:tcW w:w="1134" w:type="dxa"/>
          </w:tcPr>
          <w:p w14:paraId="3ECA3864" w14:textId="2D9583F5"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7,17%</w:t>
            </w:r>
          </w:p>
        </w:tc>
        <w:tc>
          <w:tcPr>
            <w:tcW w:w="1134" w:type="dxa"/>
          </w:tcPr>
          <w:p w14:paraId="6EE22F4A"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5E11D096" w14:textId="77777777" w:rsidTr="00365F35">
        <w:tc>
          <w:tcPr>
            <w:tcW w:w="4536" w:type="dxa"/>
          </w:tcPr>
          <w:p w14:paraId="20B5C013"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Satrix 40 Portfolio</w:t>
            </w:r>
          </w:p>
        </w:tc>
        <w:tc>
          <w:tcPr>
            <w:tcW w:w="1134" w:type="dxa"/>
          </w:tcPr>
          <w:p w14:paraId="77964D6D" w14:textId="2A040F8E"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4,73%</w:t>
            </w:r>
          </w:p>
        </w:tc>
        <w:tc>
          <w:tcPr>
            <w:tcW w:w="1276" w:type="dxa"/>
          </w:tcPr>
          <w:p w14:paraId="5C253519" w14:textId="2BBB04B6"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(5,18%)</w:t>
            </w:r>
          </w:p>
        </w:tc>
        <w:tc>
          <w:tcPr>
            <w:tcW w:w="1134" w:type="dxa"/>
          </w:tcPr>
          <w:p w14:paraId="1A72EC82" w14:textId="1DE53AA6"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(7,74%)</w:t>
            </w:r>
          </w:p>
        </w:tc>
        <w:tc>
          <w:tcPr>
            <w:tcW w:w="1134" w:type="dxa"/>
          </w:tcPr>
          <w:p w14:paraId="45E7E455" w14:textId="7A7565A9"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(8,29%)</w:t>
            </w:r>
          </w:p>
        </w:tc>
        <w:tc>
          <w:tcPr>
            <w:tcW w:w="1134" w:type="dxa"/>
          </w:tcPr>
          <w:p w14:paraId="6C2F780E" w14:textId="261A80E3"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6,06%</w:t>
            </w:r>
          </w:p>
        </w:tc>
        <w:tc>
          <w:tcPr>
            <w:tcW w:w="1134" w:type="dxa"/>
            <w:shd w:val="clear" w:color="auto" w:fill="auto"/>
          </w:tcPr>
          <w:p w14:paraId="741D8F7E" w14:textId="4311DE3F"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3,31%</w:t>
            </w:r>
          </w:p>
        </w:tc>
        <w:tc>
          <w:tcPr>
            <w:tcW w:w="1134" w:type="dxa"/>
            <w:shd w:val="clear" w:color="auto" w:fill="auto"/>
          </w:tcPr>
          <w:p w14:paraId="2D16CFE2" w14:textId="4675945E"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5,08%</w:t>
            </w:r>
          </w:p>
        </w:tc>
        <w:tc>
          <w:tcPr>
            <w:tcW w:w="1134" w:type="dxa"/>
          </w:tcPr>
          <w:p w14:paraId="5F31D55C" w14:textId="1B14A278"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10,12%</w:t>
            </w:r>
          </w:p>
        </w:tc>
        <w:tc>
          <w:tcPr>
            <w:tcW w:w="1134" w:type="dxa"/>
          </w:tcPr>
          <w:p w14:paraId="15D31679" w14:textId="43E41909"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11,82%</w:t>
            </w:r>
          </w:p>
        </w:tc>
      </w:tr>
      <w:tr w:rsidR="0022723F" w:rsidRPr="00B81A28" w14:paraId="36BCD6EB" w14:textId="77777777" w:rsidTr="00365F35">
        <w:tc>
          <w:tcPr>
            <w:tcW w:w="4536" w:type="dxa"/>
          </w:tcPr>
          <w:p w14:paraId="6C7BDFE8"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Satrix SWIX Top 40 Portfolio </w:t>
            </w:r>
          </w:p>
        </w:tc>
        <w:tc>
          <w:tcPr>
            <w:tcW w:w="1134" w:type="dxa"/>
          </w:tcPr>
          <w:p w14:paraId="6749CA2E" w14:textId="6E239972"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2,99%</w:t>
            </w:r>
          </w:p>
        </w:tc>
        <w:tc>
          <w:tcPr>
            <w:tcW w:w="1276" w:type="dxa"/>
          </w:tcPr>
          <w:p w14:paraId="14DE2D24" w14:textId="79A8B91D"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(4,63%)</w:t>
            </w:r>
          </w:p>
        </w:tc>
        <w:tc>
          <w:tcPr>
            <w:tcW w:w="1134" w:type="dxa"/>
          </w:tcPr>
          <w:p w14:paraId="2A767D2B" w14:textId="067E25F3"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(8,70%)</w:t>
            </w:r>
          </w:p>
        </w:tc>
        <w:tc>
          <w:tcPr>
            <w:tcW w:w="1134" w:type="dxa"/>
          </w:tcPr>
          <w:p w14:paraId="1EACB237" w14:textId="6425EB47"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(12,43%)</w:t>
            </w:r>
          </w:p>
        </w:tc>
        <w:tc>
          <w:tcPr>
            <w:tcW w:w="1134" w:type="dxa"/>
          </w:tcPr>
          <w:p w14:paraId="623DA86B" w14:textId="02BAAE65"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3,97%</w:t>
            </w:r>
          </w:p>
        </w:tc>
        <w:tc>
          <w:tcPr>
            <w:tcW w:w="1134" w:type="dxa"/>
            <w:shd w:val="clear" w:color="auto" w:fill="auto"/>
          </w:tcPr>
          <w:p w14:paraId="7272F2CD" w14:textId="31FF73C9"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2,26%</w:t>
            </w:r>
          </w:p>
        </w:tc>
        <w:tc>
          <w:tcPr>
            <w:tcW w:w="1134" w:type="dxa"/>
            <w:shd w:val="clear" w:color="auto" w:fill="auto"/>
          </w:tcPr>
          <w:p w14:paraId="3ED98BD2" w14:textId="733FBDBE"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5,12%</w:t>
            </w:r>
          </w:p>
        </w:tc>
        <w:tc>
          <w:tcPr>
            <w:tcW w:w="1134" w:type="dxa"/>
          </w:tcPr>
          <w:p w14:paraId="3AD5E01D" w14:textId="7B9EFF02"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10,36%</w:t>
            </w:r>
          </w:p>
        </w:tc>
        <w:tc>
          <w:tcPr>
            <w:tcW w:w="1134" w:type="dxa"/>
          </w:tcPr>
          <w:p w14:paraId="3A0396CC" w14:textId="2EAAE237"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12,06%</w:t>
            </w:r>
          </w:p>
        </w:tc>
      </w:tr>
      <w:tr w:rsidR="0022723F" w:rsidRPr="00B81A28" w14:paraId="5047E1D2" w14:textId="77777777" w:rsidTr="00365F35">
        <w:tc>
          <w:tcPr>
            <w:tcW w:w="4536" w:type="dxa"/>
          </w:tcPr>
          <w:p w14:paraId="058DC1CD"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Stanlib Top 40</w:t>
            </w:r>
          </w:p>
        </w:tc>
        <w:tc>
          <w:tcPr>
            <w:tcW w:w="1134" w:type="dxa"/>
            <w:vAlign w:val="center"/>
          </w:tcPr>
          <w:p w14:paraId="2A509371" w14:textId="72C043C9"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4,72%</w:t>
            </w:r>
          </w:p>
        </w:tc>
        <w:tc>
          <w:tcPr>
            <w:tcW w:w="1276" w:type="dxa"/>
            <w:vAlign w:val="center"/>
          </w:tcPr>
          <w:p w14:paraId="703511D7" w14:textId="604C1FEC"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(5,25%)</w:t>
            </w:r>
          </w:p>
        </w:tc>
        <w:tc>
          <w:tcPr>
            <w:tcW w:w="1134" w:type="dxa"/>
            <w:vAlign w:val="center"/>
          </w:tcPr>
          <w:p w14:paraId="3EFA635C" w14:textId="5E3EF8F1"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(7,84%)</w:t>
            </w:r>
          </w:p>
        </w:tc>
        <w:tc>
          <w:tcPr>
            <w:tcW w:w="1134" w:type="dxa"/>
            <w:vAlign w:val="center"/>
          </w:tcPr>
          <w:p w14:paraId="26C29CCF" w14:textId="3D71CEC7"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(8,41%)</w:t>
            </w:r>
          </w:p>
        </w:tc>
        <w:tc>
          <w:tcPr>
            <w:tcW w:w="1134" w:type="dxa"/>
            <w:vAlign w:val="center"/>
          </w:tcPr>
          <w:p w14:paraId="1306899E" w14:textId="5AA2DC7C"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6,03%</w:t>
            </w:r>
          </w:p>
        </w:tc>
        <w:tc>
          <w:tcPr>
            <w:tcW w:w="1134" w:type="dxa"/>
            <w:shd w:val="clear" w:color="auto" w:fill="auto"/>
          </w:tcPr>
          <w:p w14:paraId="7CDA32C2" w14:textId="2DB8398D"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3,36%</w:t>
            </w:r>
          </w:p>
        </w:tc>
        <w:tc>
          <w:tcPr>
            <w:tcW w:w="1134" w:type="dxa"/>
            <w:shd w:val="clear" w:color="auto" w:fill="auto"/>
          </w:tcPr>
          <w:p w14:paraId="59DA3DCD" w14:textId="6DD7CCE8"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4,97%</w:t>
            </w:r>
          </w:p>
        </w:tc>
        <w:tc>
          <w:tcPr>
            <w:tcW w:w="1134" w:type="dxa"/>
          </w:tcPr>
          <w:p w14:paraId="2481CF18" w14:textId="72A718A8"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9,84%</w:t>
            </w:r>
          </w:p>
        </w:tc>
        <w:tc>
          <w:tcPr>
            <w:tcW w:w="1134" w:type="dxa"/>
          </w:tcPr>
          <w:p w14:paraId="22F29B98"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0209BE0A" w14:textId="77777777" w:rsidTr="00365F35">
        <w:tc>
          <w:tcPr>
            <w:tcW w:w="4536" w:type="dxa"/>
          </w:tcPr>
          <w:p w14:paraId="70AF19B1"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Stanlib Swix Top 40</w:t>
            </w:r>
          </w:p>
        </w:tc>
        <w:tc>
          <w:tcPr>
            <w:tcW w:w="1134" w:type="dxa"/>
          </w:tcPr>
          <w:p w14:paraId="0879846E" w14:textId="0BD2B17F"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3,01%</w:t>
            </w:r>
          </w:p>
        </w:tc>
        <w:tc>
          <w:tcPr>
            <w:tcW w:w="1276" w:type="dxa"/>
          </w:tcPr>
          <w:p w14:paraId="38DA1D71" w14:textId="61D4A9DC"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(4,57%)</w:t>
            </w:r>
          </w:p>
        </w:tc>
        <w:tc>
          <w:tcPr>
            <w:tcW w:w="1134" w:type="dxa"/>
          </w:tcPr>
          <w:p w14:paraId="22A85BB5" w14:textId="45A7142A"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(8,57%)</w:t>
            </w:r>
          </w:p>
        </w:tc>
        <w:tc>
          <w:tcPr>
            <w:tcW w:w="1134" w:type="dxa"/>
          </w:tcPr>
          <w:p w14:paraId="2FD2F88F" w14:textId="42A4CC8F"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(12,15%)</w:t>
            </w:r>
          </w:p>
        </w:tc>
        <w:tc>
          <w:tcPr>
            <w:tcW w:w="1134" w:type="dxa"/>
          </w:tcPr>
          <w:p w14:paraId="4B965C91" w14:textId="4CC35925"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4,24%</w:t>
            </w:r>
          </w:p>
        </w:tc>
        <w:tc>
          <w:tcPr>
            <w:tcW w:w="1134" w:type="dxa"/>
            <w:shd w:val="clear" w:color="auto" w:fill="auto"/>
          </w:tcPr>
          <w:p w14:paraId="6269FF9D" w14:textId="697E066D"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2,55%</w:t>
            </w:r>
          </w:p>
        </w:tc>
        <w:tc>
          <w:tcPr>
            <w:tcW w:w="1134" w:type="dxa"/>
            <w:shd w:val="clear" w:color="auto" w:fill="auto"/>
          </w:tcPr>
          <w:p w14:paraId="17801B2E" w14:textId="4170800F"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5,37%</w:t>
            </w:r>
          </w:p>
        </w:tc>
        <w:tc>
          <w:tcPr>
            <w:tcW w:w="1134" w:type="dxa"/>
          </w:tcPr>
          <w:p w14:paraId="289F71D4" w14:textId="01D0C054"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10,30%</w:t>
            </w:r>
          </w:p>
        </w:tc>
        <w:tc>
          <w:tcPr>
            <w:tcW w:w="1134" w:type="dxa"/>
          </w:tcPr>
          <w:p w14:paraId="07DE9BC0"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21B64AD1" w14:textId="77777777" w:rsidTr="00365F35">
        <w:tc>
          <w:tcPr>
            <w:tcW w:w="4536" w:type="dxa"/>
          </w:tcPr>
          <w:p w14:paraId="4ACC3C55"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Sygnia/Itrix Top 40 </w:t>
            </w:r>
          </w:p>
        </w:tc>
        <w:tc>
          <w:tcPr>
            <w:tcW w:w="1134" w:type="dxa"/>
          </w:tcPr>
          <w:p w14:paraId="1833534A" w14:textId="7D5D5046"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4,69%</w:t>
            </w:r>
          </w:p>
        </w:tc>
        <w:tc>
          <w:tcPr>
            <w:tcW w:w="1276" w:type="dxa"/>
          </w:tcPr>
          <w:p w14:paraId="040EF02A" w14:textId="6B1A7E41"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(5,20%)</w:t>
            </w:r>
          </w:p>
        </w:tc>
        <w:tc>
          <w:tcPr>
            <w:tcW w:w="1134" w:type="dxa"/>
          </w:tcPr>
          <w:p w14:paraId="4C202A2A" w14:textId="468ECD7D"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(7,75%)</w:t>
            </w:r>
          </w:p>
        </w:tc>
        <w:tc>
          <w:tcPr>
            <w:tcW w:w="1134" w:type="dxa"/>
          </w:tcPr>
          <w:p w14:paraId="08FE5BDC" w14:textId="4BFBB0DF"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(8,37%)</w:t>
            </w:r>
          </w:p>
        </w:tc>
        <w:tc>
          <w:tcPr>
            <w:tcW w:w="1134" w:type="dxa"/>
          </w:tcPr>
          <w:p w14:paraId="2116CF28"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315E8E8"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A94C8AC"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8E357C3"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4AAA631"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249B445D" w14:textId="77777777" w:rsidTr="00365F35">
        <w:tc>
          <w:tcPr>
            <w:tcW w:w="4536" w:type="dxa"/>
          </w:tcPr>
          <w:p w14:paraId="6961036C"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Sygnia/Itrix SWIX 40</w:t>
            </w:r>
          </w:p>
        </w:tc>
        <w:tc>
          <w:tcPr>
            <w:tcW w:w="1134" w:type="dxa"/>
          </w:tcPr>
          <w:p w14:paraId="49CD3BB9" w14:textId="36135848"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2,99%</w:t>
            </w:r>
          </w:p>
        </w:tc>
        <w:tc>
          <w:tcPr>
            <w:tcW w:w="1276" w:type="dxa"/>
          </w:tcPr>
          <w:p w14:paraId="6178FADA" w14:textId="0BD1B678"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(4,56%)</w:t>
            </w:r>
          </w:p>
        </w:tc>
        <w:tc>
          <w:tcPr>
            <w:tcW w:w="1134" w:type="dxa"/>
          </w:tcPr>
          <w:p w14:paraId="793C6471" w14:textId="76CFAD26"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(8,52%)</w:t>
            </w:r>
          </w:p>
        </w:tc>
        <w:tc>
          <w:tcPr>
            <w:tcW w:w="1134" w:type="dxa"/>
          </w:tcPr>
          <w:p w14:paraId="1CE64ECB" w14:textId="0D36E448"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(12,18%)</w:t>
            </w:r>
          </w:p>
        </w:tc>
        <w:tc>
          <w:tcPr>
            <w:tcW w:w="1134" w:type="dxa"/>
          </w:tcPr>
          <w:p w14:paraId="4A699272"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F23EAF1"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FF8FCFD"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E0E3CCA"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33F0B25"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056B52FD" w14:textId="77777777" w:rsidTr="00365F35">
        <w:tc>
          <w:tcPr>
            <w:tcW w:w="14884" w:type="dxa"/>
            <w:gridSpan w:val="10"/>
            <w:shd w:val="clear" w:color="auto" w:fill="7583BD"/>
            <w:vAlign w:val="center"/>
          </w:tcPr>
          <w:p w14:paraId="739A66EC" w14:textId="77777777" w:rsidR="0022723F" w:rsidRPr="00B81A28" w:rsidRDefault="0022723F" w:rsidP="00365F35">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50</w:t>
            </w:r>
          </w:p>
        </w:tc>
      </w:tr>
      <w:tr w:rsidR="0022723F" w:rsidRPr="00DC35BB" w14:paraId="7E8F63A6" w14:textId="77777777" w:rsidTr="00365F35">
        <w:tc>
          <w:tcPr>
            <w:tcW w:w="4536" w:type="dxa"/>
          </w:tcPr>
          <w:p w14:paraId="015B7314" w14:textId="77777777" w:rsidR="0022723F" w:rsidRPr="00DC35BB" w:rsidRDefault="0022723F" w:rsidP="00365F35">
            <w:pPr>
              <w:spacing w:before="40" w:after="40" w:line="300" w:lineRule="atLeast"/>
              <w:rPr>
                <w:rFonts w:ascii="Verdana" w:hAnsi="Verdana"/>
                <w:b/>
                <w:sz w:val="16"/>
                <w:szCs w:val="16"/>
              </w:rPr>
            </w:pPr>
            <w:r>
              <w:rPr>
                <w:rFonts w:ascii="Verdana" w:hAnsi="Verdana"/>
                <w:b/>
                <w:sz w:val="16"/>
                <w:szCs w:val="16"/>
              </w:rPr>
              <w:t>FTSE/JSE All Share Index</w:t>
            </w:r>
          </w:p>
        </w:tc>
        <w:tc>
          <w:tcPr>
            <w:tcW w:w="1134" w:type="dxa"/>
          </w:tcPr>
          <w:p w14:paraId="2C5A7E77" w14:textId="43AE8C6A"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4,25%</w:t>
            </w:r>
          </w:p>
        </w:tc>
        <w:tc>
          <w:tcPr>
            <w:tcW w:w="1276" w:type="dxa"/>
          </w:tcPr>
          <w:p w14:paraId="26B2578D" w14:textId="7010DC76"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(4,88%)</w:t>
            </w:r>
          </w:p>
        </w:tc>
        <w:tc>
          <w:tcPr>
            <w:tcW w:w="1134" w:type="dxa"/>
          </w:tcPr>
          <w:p w14:paraId="22D583AB" w14:textId="6083A4D1"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(6,94%)</w:t>
            </w:r>
          </w:p>
        </w:tc>
        <w:tc>
          <w:tcPr>
            <w:tcW w:w="1134" w:type="dxa"/>
          </w:tcPr>
          <w:p w14:paraId="7429053B" w14:textId="38F42E41"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(8,53%)</w:t>
            </w:r>
          </w:p>
        </w:tc>
        <w:tc>
          <w:tcPr>
            <w:tcW w:w="1134" w:type="dxa"/>
          </w:tcPr>
          <w:p w14:paraId="64BAA347" w14:textId="2D590CC9"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5,19%</w:t>
            </w:r>
          </w:p>
        </w:tc>
        <w:tc>
          <w:tcPr>
            <w:tcW w:w="1134" w:type="dxa"/>
            <w:shd w:val="clear" w:color="auto" w:fill="auto"/>
          </w:tcPr>
          <w:p w14:paraId="6716C02B" w14:textId="0A5E8AFE"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4,33%</w:t>
            </w:r>
          </w:p>
        </w:tc>
        <w:tc>
          <w:tcPr>
            <w:tcW w:w="1134" w:type="dxa"/>
            <w:shd w:val="clear" w:color="auto" w:fill="auto"/>
          </w:tcPr>
          <w:p w14:paraId="6ED7289B" w14:textId="4FD2BEFB"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5,77%</w:t>
            </w:r>
          </w:p>
        </w:tc>
        <w:tc>
          <w:tcPr>
            <w:tcW w:w="1134" w:type="dxa"/>
          </w:tcPr>
          <w:p w14:paraId="4F3DAD3B" w14:textId="0D0119F8"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10,69%</w:t>
            </w:r>
          </w:p>
        </w:tc>
        <w:tc>
          <w:tcPr>
            <w:tcW w:w="1134" w:type="dxa"/>
          </w:tcPr>
          <w:p w14:paraId="0C2B9212" w14:textId="391311B0" w:rsidR="0022723F" w:rsidRPr="00DC35BB" w:rsidRDefault="00D02C82" w:rsidP="00365F35">
            <w:pPr>
              <w:spacing w:before="40" w:after="40" w:line="300" w:lineRule="atLeast"/>
              <w:jc w:val="center"/>
              <w:rPr>
                <w:rFonts w:ascii="Verdana" w:hAnsi="Verdana"/>
                <w:b/>
                <w:sz w:val="16"/>
                <w:szCs w:val="16"/>
              </w:rPr>
            </w:pPr>
            <w:r>
              <w:rPr>
                <w:rFonts w:ascii="Verdana" w:hAnsi="Verdana"/>
                <w:b/>
                <w:sz w:val="16"/>
                <w:szCs w:val="16"/>
              </w:rPr>
              <w:t>12,62%</w:t>
            </w:r>
          </w:p>
        </w:tc>
      </w:tr>
      <w:tr w:rsidR="0022723F" w:rsidRPr="00B81A28" w14:paraId="3C5B330E" w14:textId="77777777" w:rsidTr="00365F35">
        <w:tc>
          <w:tcPr>
            <w:tcW w:w="4536" w:type="dxa"/>
          </w:tcPr>
          <w:p w14:paraId="5DEED076"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CoreShares S&amp;P Top 50</w:t>
            </w:r>
          </w:p>
        </w:tc>
        <w:tc>
          <w:tcPr>
            <w:tcW w:w="1134" w:type="dxa"/>
          </w:tcPr>
          <w:p w14:paraId="2DC03422" w14:textId="2D59CA1C"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4,31%</w:t>
            </w:r>
          </w:p>
        </w:tc>
        <w:tc>
          <w:tcPr>
            <w:tcW w:w="1276" w:type="dxa"/>
          </w:tcPr>
          <w:p w14:paraId="419CBA18" w14:textId="47F16A1A"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(4,07%)</w:t>
            </w:r>
          </w:p>
        </w:tc>
        <w:tc>
          <w:tcPr>
            <w:tcW w:w="1134" w:type="dxa"/>
          </w:tcPr>
          <w:p w14:paraId="349BF7F9" w14:textId="337A89D4"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(5,27%)</w:t>
            </w:r>
          </w:p>
        </w:tc>
        <w:tc>
          <w:tcPr>
            <w:tcW w:w="1134" w:type="dxa"/>
          </w:tcPr>
          <w:p w14:paraId="5E84C959" w14:textId="369D675F"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(5,19%)</w:t>
            </w:r>
          </w:p>
        </w:tc>
        <w:tc>
          <w:tcPr>
            <w:tcW w:w="1134" w:type="dxa"/>
          </w:tcPr>
          <w:p w14:paraId="272D3686" w14:textId="66906BF4"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7,15%</w:t>
            </w:r>
          </w:p>
        </w:tc>
        <w:tc>
          <w:tcPr>
            <w:tcW w:w="1134" w:type="dxa"/>
            <w:shd w:val="clear" w:color="auto" w:fill="auto"/>
          </w:tcPr>
          <w:p w14:paraId="0C916855" w14:textId="75B9DDCC"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5,75%</w:t>
            </w:r>
          </w:p>
        </w:tc>
        <w:tc>
          <w:tcPr>
            <w:tcW w:w="1134" w:type="dxa"/>
            <w:shd w:val="clear" w:color="auto" w:fill="auto"/>
          </w:tcPr>
          <w:p w14:paraId="415C3A74"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A3B491D"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F709044"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6D2846A1" w14:textId="77777777" w:rsidTr="00365F35">
        <w:tc>
          <w:tcPr>
            <w:tcW w:w="14884" w:type="dxa"/>
            <w:gridSpan w:val="10"/>
            <w:shd w:val="clear" w:color="auto" w:fill="7583BD"/>
          </w:tcPr>
          <w:p w14:paraId="11C27C53" w14:textId="77777777" w:rsidR="0022723F" w:rsidRPr="00B81A28" w:rsidRDefault="0022723F" w:rsidP="00365F35">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JSE Equity Sector Exposure</w:t>
            </w:r>
          </w:p>
        </w:tc>
      </w:tr>
      <w:tr w:rsidR="0022723F" w:rsidRPr="00B81A28" w14:paraId="045BA980" w14:textId="77777777" w:rsidTr="00365F35">
        <w:tc>
          <w:tcPr>
            <w:tcW w:w="4536" w:type="dxa"/>
          </w:tcPr>
          <w:p w14:paraId="3D2A7D75"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Ashburton MidCap</w:t>
            </w:r>
          </w:p>
        </w:tc>
        <w:tc>
          <w:tcPr>
            <w:tcW w:w="1134" w:type="dxa"/>
          </w:tcPr>
          <w:p w14:paraId="221BCBCB" w14:textId="70B9C3C1"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3,31%</w:t>
            </w:r>
          </w:p>
        </w:tc>
        <w:tc>
          <w:tcPr>
            <w:tcW w:w="1276" w:type="dxa"/>
          </w:tcPr>
          <w:p w14:paraId="1F65FFDE" w14:textId="637CDAE6"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2,54%</w:t>
            </w:r>
          </w:p>
        </w:tc>
        <w:tc>
          <w:tcPr>
            <w:tcW w:w="1134" w:type="dxa"/>
          </w:tcPr>
          <w:p w14:paraId="2715A850" w14:textId="44097480"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0,59%</w:t>
            </w:r>
          </w:p>
        </w:tc>
        <w:tc>
          <w:tcPr>
            <w:tcW w:w="1134" w:type="dxa"/>
          </w:tcPr>
          <w:p w14:paraId="04E6D58A" w14:textId="20760E79"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(10,26%)</w:t>
            </w:r>
          </w:p>
        </w:tc>
        <w:tc>
          <w:tcPr>
            <w:tcW w:w="1134" w:type="dxa"/>
          </w:tcPr>
          <w:p w14:paraId="269AC5C2" w14:textId="34E70E38"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(2,26%)</w:t>
            </w:r>
          </w:p>
        </w:tc>
        <w:tc>
          <w:tcPr>
            <w:tcW w:w="1134" w:type="dxa"/>
            <w:shd w:val="clear" w:color="auto" w:fill="auto"/>
          </w:tcPr>
          <w:p w14:paraId="1AA166EA" w14:textId="4D41E160"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6,34%</w:t>
            </w:r>
          </w:p>
        </w:tc>
        <w:tc>
          <w:tcPr>
            <w:tcW w:w="1134" w:type="dxa"/>
            <w:shd w:val="clear" w:color="auto" w:fill="auto"/>
          </w:tcPr>
          <w:p w14:paraId="3CF5E4C4" w14:textId="301F3740"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5,64%</w:t>
            </w:r>
          </w:p>
        </w:tc>
        <w:tc>
          <w:tcPr>
            <w:tcW w:w="1134" w:type="dxa"/>
          </w:tcPr>
          <w:p w14:paraId="4056112A"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0DD498E"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38F64DFC" w14:textId="77777777" w:rsidTr="00365F35">
        <w:tc>
          <w:tcPr>
            <w:tcW w:w="4536" w:type="dxa"/>
          </w:tcPr>
          <w:p w14:paraId="4B824FF7"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Satrix FINI 15</w:t>
            </w:r>
          </w:p>
        </w:tc>
        <w:tc>
          <w:tcPr>
            <w:tcW w:w="1134" w:type="dxa"/>
          </w:tcPr>
          <w:p w14:paraId="6142A6F9" w14:textId="1CF6A21B"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1,21%</w:t>
            </w:r>
          </w:p>
        </w:tc>
        <w:tc>
          <w:tcPr>
            <w:tcW w:w="1276" w:type="dxa"/>
          </w:tcPr>
          <w:p w14:paraId="550C7C0B" w14:textId="579F5551"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(0,36%)</w:t>
            </w:r>
          </w:p>
        </w:tc>
        <w:tc>
          <w:tcPr>
            <w:tcW w:w="1134" w:type="dxa"/>
          </w:tcPr>
          <w:p w14:paraId="5AFF86D0" w14:textId="2CFA170F"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3,69%</w:t>
            </w:r>
          </w:p>
        </w:tc>
        <w:tc>
          <w:tcPr>
            <w:tcW w:w="1134" w:type="dxa"/>
          </w:tcPr>
          <w:p w14:paraId="17E3CB15" w14:textId="6C900DB2"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(4,27%)</w:t>
            </w:r>
          </w:p>
        </w:tc>
        <w:tc>
          <w:tcPr>
            <w:tcW w:w="1134" w:type="dxa"/>
          </w:tcPr>
          <w:p w14:paraId="18F29F3A" w14:textId="2E4438F9"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8,85%</w:t>
            </w:r>
          </w:p>
        </w:tc>
        <w:tc>
          <w:tcPr>
            <w:tcW w:w="1134" w:type="dxa"/>
            <w:shd w:val="clear" w:color="auto" w:fill="auto"/>
          </w:tcPr>
          <w:p w14:paraId="2ED32932" w14:textId="2F23E7C7"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6,93%</w:t>
            </w:r>
          </w:p>
        </w:tc>
        <w:tc>
          <w:tcPr>
            <w:tcW w:w="1134" w:type="dxa"/>
            <w:shd w:val="clear" w:color="auto" w:fill="auto"/>
          </w:tcPr>
          <w:p w14:paraId="75E034AF" w14:textId="04D5C94D"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9,35%</w:t>
            </w:r>
          </w:p>
        </w:tc>
        <w:tc>
          <w:tcPr>
            <w:tcW w:w="1134" w:type="dxa"/>
          </w:tcPr>
          <w:p w14:paraId="35520F64" w14:textId="5CCB6819"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14,34%</w:t>
            </w:r>
          </w:p>
        </w:tc>
        <w:tc>
          <w:tcPr>
            <w:tcW w:w="1134" w:type="dxa"/>
          </w:tcPr>
          <w:p w14:paraId="282545DF" w14:textId="4376C613" w:rsidR="0022723F" w:rsidRPr="00B81A28" w:rsidRDefault="00D02C82" w:rsidP="00365F35">
            <w:pPr>
              <w:spacing w:before="40" w:after="40" w:line="300" w:lineRule="atLeast"/>
              <w:jc w:val="center"/>
              <w:rPr>
                <w:rFonts w:ascii="Verdana" w:hAnsi="Verdana"/>
                <w:sz w:val="16"/>
                <w:szCs w:val="16"/>
              </w:rPr>
            </w:pPr>
            <w:r>
              <w:rPr>
                <w:rFonts w:ascii="Verdana" w:hAnsi="Verdana"/>
                <w:sz w:val="16"/>
                <w:szCs w:val="16"/>
              </w:rPr>
              <w:t>14,64%</w:t>
            </w:r>
          </w:p>
        </w:tc>
      </w:tr>
      <w:tr w:rsidR="0022723F" w:rsidRPr="00B81A28" w14:paraId="6F54F4D8" w14:textId="77777777" w:rsidTr="00365F35">
        <w:tc>
          <w:tcPr>
            <w:tcW w:w="4536" w:type="dxa"/>
          </w:tcPr>
          <w:p w14:paraId="5C1A8B72"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Satrix </w:t>
            </w:r>
            <w:r>
              <w:rPr>
                <w:rFonts w:ascii="Verdana" w:hAnsi="Verdana"/>
                <w:sz w:val="16"/>
                <w:szCs w:val="16"/>
              </w:rPr>
              <w:t xml:space="preserve">Capped </w:t>
            </w:r>
            <w:r w:rsidRPr="00B81A28">
              <w:rPr>
                <w:rFonts w:ascii="Verdana" w:hAnsi="Verdana"/>
                <w:sz w:val="16"/>
                <w:szCs w:val="16"/>
              </w:rPr>
              <w:t xml:space="preserve">INDI </w:t>
            </w:r>
          </w:p>
        </w:tc>
        <w:tc>
          <w:tcPr>
            <w:tcW w:w="1134" w:type="dxa"/>
          </w:tcPr>
          <w:p w14:paraId="01647886" w14:textId="2C838BBF"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2,36%</w:t>
            </w:r>
          </w:p>
        </w:tc>
        <w:tc>
          <w:tcPr>
            <w:tcW w:w="1276" w:type="dxa"/>
          </w:tcPr>
          <w:p w14:paraId="06705392" w14:textId="31924BF6"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(7,14%)</w:t>
            </w:r>
          </w:p>
        </w:tc>
        <w:tc>
          <w:tcPr>
            <w:tcW w:w="1134" w:type="dxa"/>
          </w:tcPr>
          <w:p w14:paraId="1E42C5EF" w14:textId="4D6B990E"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(14,18%)</w:t>
            </w:r>
          </w:p>
        </w:tc>
        <w:tc>
          <w:tcPr>
            <w:tcW w:w="1134" w:type="dxa"/>
          </w:tcPr>
          <w:p w14:paraId="02B02226" w14:textId="673B38B3"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(18,20%)</w:t>
            </w:r>
          </w:p>
        </w:tc>
        <w:tc>
          <w:tcPr>
            <w:tcW w:w="1134" w:type="dxa"/>
          </w:tcPr>
          <w:p w14:paraId="3A1AC876" w14:textId="1375EBF2"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1,07%</w:t>
            </w:r>
          </w:p>
        </w:tc>
        <w:tc>
          <w:tcPr>
            <w:tcW w:w="1134" w:type="dxa"/>
            <w:shd w:val="clear" w:color="auto" w:fill="auto"/>
          </w:tcPr>
          <w:p w14:paraId="30891EFD" w14:textId="4B9901DC"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(2,43%)</w:t>
            </w:r>
          </w:p>
        </w:tc>
        <w:tc>
          <w:tcPr>
            <w:tcW w:w="1134" w:type="dxa"/>
            <w:shd w:val="clear" w:color="auto" w:fill="auto"/>
          </w:tcPr>
          <w:p w14:paraId="1776A6FB" w14:textId="24157BBC"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4,88%</w:t>
            </w:r>
          </w:p>
        </w:tc>
        <w:tc>
          <w:tcPr>
            <w:tcW w:w="1134" w:type="dxa"/>
          </w:tcPr>
          <w:p w14:paraId="3DF0A135" w14:textId="5925B7E1"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14,02%</w:t>
            </w:r>
          </w:p>
        </w:tc>
        <w:tc>
          <w:tcPr>
            <w:tcW w:w="1134" w:type="dxa"/>
          </w:tcPr>
          <w:p w14:paraId="536546AB" w14:textId="4D4D3289"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16,26%</w:t>
            </w:r>
          </w:p>
        </w:tc>
      </w:tr>
      <w:tr w:rsidR="0022723F" w:rsidRPr="00B81A28" w14:paraId="0F19776E" w14:textId="77777777" w:rsidTr="00365F35">
        <w:tc>
          <w:tcPr>
            <w:tcW w:w="4536" w:type="dxa"/>
          </w:tcPr>
          <w:p w14:paraId="294203CC"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Satrix RESI 10</w:t>
            </w:r>
          </w:p>
        </w:tc>
        <w:tc>
          <w:tcPr>
            <w:tcW w:w="1134" w:type="dxa"/>
          </w:tcPr>
          <w:p w14:paraId="6498705D" w14:textId="348989DD"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12,19%</w:t>
            </w:r>
          </w:p>
        </w:tc>
        <w:tc>
          <w:tcPr>
            <w:tcW w:w="1276" w:type="dxa"/>
          </w:tcPr>
          <w:p w14:paraId="471B9606" w14:textId="3904115D"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(5,40%)</w:t>
            </w:r>
          </w:p>
        </w:tc>
        <w:tc>
          <w:tcPr>
            <w:tcW w:w="1134" w:type="dxa"/>
          </w:tcPr>
          <w:p w14:paraId="08572FC9" w14:textId="759303CE"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(0,71%)</w:t>
            </w:r>
          </w:p>
        </w:tc>
        <w:tc>
          <w:tcPr>
            <w:tcW w:w="1134" w:type="dxa"/>
          </w:tcPr>
          <w:p w14:paraId="13D0F010" w14:textId="0602A2FA"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16,32%</w:t>
            </w:r>
          </w:p>
        </w:tc>
        <w:tc>
          <w:tcPr>
            <w:tcW w:w="1134" w:type="dxa"/>
          </w:tcPr>
          <w:p w14:paraId="51965893" w14:textId="0CF92263"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16,19%</w:t>
            </w:r>
          </w:p>
        </w:tc>
        <w:tc>
          <w:tcPr>
            <w:tcW w:w="1134" w:type="dxa"/>
            <w:shd w:val="clear" w:color="auto" w:fill="auto"/>
          </w:tcPr>
          <w:p w14:paraId="0FD0D32D" w14:textId="229F9B30"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20,57%</w:t>
            </w:r>
          </w:p>
        </w:tc>
        <w:tc>
          <w:tcPr>
            <w:tcW w:w="1134" w:type="dxa"/>
            <w:shd w:val="clear" w:color="auto" w:fill="auto"/>
          </w:tcPr>
          <w:p w14:paraId="59421BAB" w14:textId="738D0248"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(0,22%)</w:t>
            </w:r>
          </w:p>
        </w:tc>
        <w:tc>
          <w:tcPr>
            <w:tcW w:w="1134" w:type="dxa"/>
          </w:tcPr>
          <w:p w14:paraId="582C6369" w14:textId="5EEDBD44"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(0,66%)</w:t>
            </w:r>
          </w:p>
        </w:tc>
        <w:tc>
          <w:tcPr>
            <w:tcW w:w="1134" w:type="dxa"/>
          </w:tcPr>
          <w:p w14:paraId="39EE8963" w14:textId="30ADAC4F" w:rsidR="0022723F" w:rsidRPr="00B81A28" w:rsidRDefault="00F872ED" w:rsidP="00365F35">
            <w:pPr>
              <w:spacing w:before="40" w:after="40" w:line="300" w:lineRule="atLeast"/>
              <w:jc w:val="center"/>
              <w:rPr>
                <w:rFonts w:ascii="Verdana" w:hAnsi="Verdana"/>
                <w:sz w:val="16"/>
                <w:szCs w:val="16"/>
              </w:rPr>
            </w:pPr>
            <w:r>
              <w:rPr>
                <w:rFonts w:ascii="Verdana" w:hAnsi="Verdana"/>
                <w:sz w:val="16"/>
                <w:szCs w:val="16"/>
              </w:rPr>
              <w:t>3,25%</w:t>
            </w:r>
          </w:p>
        </w:tc>
      </w:tr>
    </w:tbl>
    <w:p w14:paraId="5F076FFB" w14:textId="77777777" w:rsidR="0022723F" w:rsidRDefault="0022723F" w:rsidP="0022723F">
      <w:pPr>
        <w:spacing w:after="0" w:line="240" w:lineRule="auto"/>
        <w:rPr>
          <w:rFonts w:ascii="Verdana" w:hAnsi="Verdana"/>
          <w:sz w:val="16"/>
          <w:szCs w:val="16"/>
        </w:rPr>
      </w:pPr>
    </w:p>
    <w:p w14:paraId="3B5FD2CA" w14:textId="77777777" w:rsidR="0022723F" w:rsidRDefault="0022723F" w:rsidP="0022723F">
      <w:pPr>
        <w:spacing w:after="0" w:line="240" w:lineRule="auto"/>
        <w:rPr>
          <w:rFonts w:ascii="Verdana" w:hAnsi="Verdana"/>
          <w:sz w:val="16"/>
          <w:szCs w:val="16"/>
        </w:rPr>
      </w:pPr>
    </w:p>
    <w:p w14:paraId="66266AB8" w14:textId="77777777" w:rsidR="0022723F" w:rsidRPr="00B81A28" w:rsidRDefault="0022723F" w:rsidP="0022723F">
      <w:pPr>
        <w:spacing w:after="0" w:line="240" w:lineRule="auto"/>
        <w:rPr>
          <w:rFonts w:ascii="Verdana" w:hAnsi="Verdana"/>
          <w:sz w:val="16"/>
          <w:szCs w:val="16"/>
        </w:rPr>
      </w:pPr>
      <w:r w:rsidRPr="00B81A28">
        <w:rPr>
          <w:rFonts w:ascii="Verdana" w:hAnsi="Verdana"/>
          <w:noProof/>
          <w:lang w:eastAsia="en-ZA"/>
        </w:rPr>
        <w:drawing>
          <wp:inline distT="0" distB="0" distL="0" distR="0" wp14:anchorId="5C833388" wp14:editId="305CD7FA">
            <wp:extent cx="3057525" cy="642486"/>
            <wp:effectExtent l="0" t="0" r="0" b="5715"/>
            <wp:docPr id="8" name="Picture 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2723F" w:rsidRPr="00B81A28" w14:paraId="1A39D87C" w14:textId="77777777" w:rsidTr="00365F35">
        <w:tc>
          <w:tcPr>
            <w:tcW w:w="14884" w:type="dxa"/>
            <w:gridSpan w:val="10"/>
            <w:shd w:val="clear" w:color="auto" w:fill="CB2229"/>
            <w:vAlign w:val="center"/>
          </w:tcPr>
          <w:p w14:paraId="6AD8FECA"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21B38571"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w:t>
            </w:r>
            <w:r w:rsidRPr="00B81A28">
              <w:rPr>
                <w:rFonts w:ascii="Verdana" w:hAnsi="Verdana"/>
                <w:b/>
                <w:color w:val="FFFFFF"/>
                <w:sz w:val="20"/>
                <w:szCs w:val="20"/>
              </w:rPr>
              <w:t xml:space="preserve"> 2018</w:t>
            </w:r>
          </w:p>
          <w:p w14:paraId="7F1315D7"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2723F" w:rsidRPr="00B81A28" w14:paraId="0CCBEA48" w14:textId="77777777" w:rsidTr="00365F35">
        <w:tc>
          <w:tcPr>
            <w:tcW w:w="4536" w:type="dxa"/>
            <w:shd w:val="clear" w:color="auto" w:fill="4C4C4C"/>
          </w:tcPr>
          <w:p w14:paraId="3832DECB" w14:textId="77777777" w:rsidR="0022723F" w:rsidRPr="0067766B" w:rsidRDefault="0022723F" w:rsidP="00365F35">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1299F21B"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36E9BFEA"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40744023"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46CD472C"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4C302F43"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6F91F3BB"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4D403755"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33978F06"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5856962C"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2723F" w:rsidRPr="00B81A28" w14:paraId="1F1504A3" w14:textId="77777777" w:rsidTr="00365F35">
        <w:tc>
          <w:tcPr>
            <w:tcW w:w="14884" w:type="dxa"/>
            <w:gridSpan w:val="10"/>
            <w:shd w:val="clear" w:color="auto" w:fill="7583BD"/>
            <w:vAlign w:val="center"/>
          </w:tcPr>
          <w:p w14:paraId="05E78CE6" w14:textId="77777777" w:rsidR="0022723F" w:rsidRPr="00B81A28" w:rsidRDefault="0022723F" w:rsidP="00365F35">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Floating Interest Rates</w:t>
            </w:r>
          </w:p>
        </w:tc>
      </w:tr>
      <w:tr w:rsidR="0022723F" w:rsidRPr="00B81A28" w14:paraId="3477C55B" w14:textId="77777777" w:rsidTr="00365F35">
        <w:tc>
          <w:tcPr>
            <w:tcW w:w="4536" w:type="dxa"/>
          </w:tcPr>
          <w:p w14:paraId="045F93B8" w14:textId="77777777" w:rsidR="0022723F" w:rsidRPr="00B81A28" w:rsidRDefault="0022723F" w:rsidP="00365F35">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TRACI (Total Return)</w:t>
            </w:r>
          </w:p>
        </w:tc>
        <w:tc>
          <w:tcPr>
            <w:tcW w:w="1134" w:type="dxa"/>
          </w:tcPr>
          <w:p w14:paraId="61B2BDA7" w14:textId="3B5A082F" w:rsidR="0022723F" w:rsidRPr="00B81A28" w:rsidRDefault="00365F35" w:rsidP="00365F35">
            <w:pPr>
              <w:tabs>
                <w:tab w:val="left" w:pos="1050"/>
              </w:tabs>
              <w:spacing w:before="40" w:after="40" w:line="320" w:lineRule="atLeast"/>
              <w:jc w:val="center"/>
              <w:rPr>
                <w:rFonts w:ascii="Verdana" w:hAnsi="Verdana"/>
                <w:sz w:val="16"/>
                <w:szCs w:val="16"/>
              </w:rPr>
            </w:pPr>
            <w:r>
              <w:rPr>
                <w:rFonts w:ascii="Verdana" w:hAnsi="Verdana"/>
                <w:sz w:val="16"/>
                <w:szCs w:val="16"/>
              </w:rPr>
              <w:t>0,57%</w:t>
            </w:r>
          </w:p>
        </w:tc>
        <w:tc>
          <w:tcPr>
            <w:tcW w:w="1276" w:type="dxa"/>
          </w:tcPr>
          <w:p w14:paraId="21229845" w14:textId="1CB4E86E"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1,70%</w:t>
            </w:r>
          </w:p>
        </w:tc>
        <w:tc>
          <w:tcPr>
            <w:tcW w:w="1134" w:type="dxa"/>
          </w:tcPr>
          <w:p w14:paraId="4738586C" w14:textId="549168C0"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3,37%</w:t>
            </w:r>
          </w:p>
        </w:tc>
        <w:tc>
          <w:tcPr>
            <w:tcW w:w="1134" w:type="dxa"/>
          </w:tcPr>
          <w:p w14:paraId="57A4FA67" w14:textId="66CA5F45"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6,92%</w:t>
            </w:r>
          </w:p>
        </w:tc>
        <w:tc>
          <w:tcPr>
            <w:tcW w:w="1134" w:type="dxa"/>
          </w:tcPr>
          <w:p w14:paraId="6F273315" w14:textId="3F42801D"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7,03%</w:t>
            </w:r>
          </w:p>
        </w:tc>
        <w:tc>
          <w:tcPr>
            <w:tcW w:w="1134" w:type="dxa"/>
            <w:shd w:val="clear" w:color="auto" w:fill="auto"/>
          </w:tcPr>
          <w:p w14:paraId="4DDF9B86" w14:textId="53E4F8B7"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7,04%</w:t>
            </w:r>
          </w:p>
        </w:tc>
        <w:tc>
          <w:tcPr>
            <w:tcW w:w="1134" w:type="dxa"/>
            <w:shd w:val="clear" w:color="auto" w:fill="auto"/>
          </w:tcPr>
          <w:p w14:paraId="165E36EE" w14:textId="774BC885"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6,54%</w:t>
            </w:r>
          </w:p>
        </w:tc>
        <w:tc>
          <w:tcPr>
            <w:tcW w:w="1134" w:type="dxa"/>
          </w:tcPr>
          <w:p w14:paraId="376DF45F"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1044A4ED"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r>
      <w:tr w:rsidR="0022723F" w:rsidRPr="00B81A28" w14:paraId="00F82B28" w14:textId="77777777" w:rsidTr="00365F35">
        <w:tc>
          <w:tcPr>
            <w:tcW w:w="4536" w:type="dxa"/>
          </w:tcPr>
          <w:p w14:paraId="71DB02CE" w14:textId="77777777" w:rsidR="0022723F" w:rsidRPr="00B81A28" w:rsidRDefault="0022723F" w:rsidP="00365F35">
            <w:pPr>
              <w:spacing w:before="40" w:after="40" w:line="320" w:lineRule="atLeast"/>
              <w:rPr>
                <w:rFonts w:ascii="Verdana" w:hAnsi="Verdana"/>
                <w:sz w:val="16"/>
                <w:szCs w:val="16"/>
              </w:rPr>
            </w:pPr>
            <w:r w:rsidRPr="00B81A28">
              <w:rPr>
                <w:rFonts w:ascii="Verdana" w:hAnsi="Verdana"/>
                <w:sz w:val="16"/>
                <w:szCs w:val="16"/>
              </w:rPr>
              <w:t>CoreShares PrefTrax</w:t>
            </w:r>
          </w:p>
        </w:tc>
        <w:tc>
          <w:tcPr>
            <w:tcW w:w="1134" w:type="dxa"/>
          </w:tcPr>
          <w:p w14:paraId="7A07955D" w14:textId="43F7455F" w:rsidR="0022723F" w:rsidRPr="00B81A28" w:rsidRDefault="00365F35" w:rsidP="00365F35">
            <w:pPr>
              <w:tabs>
                <w:tab w:val="left" w:pos="1050"/>
              </w:tabs>
              <w:spacing w:before="40" w:after="40" w:line="320" w:lineRule="atLeast"/>
              <w:jc w:val="center"/>
              <w:rPr>
                <w:rFonts w:ascii="Verdana" w:hAnsi="Verdana"/>
                <w:sz w:val="16"/>
                <w:szCs w:val="16"/>
              </w:rPr>
            </w:pPr>
            <w:r>
              <w:rPr>
                <w:rFonts w:ascii="Verdana" w:hAnsi="Verdana"/>
                <w:sz w:val="16"/>
                <w:szCs w:val="16"/>
              </w:rPr>
              <w:t>2,58%</w:t>
            </w:r>
          </w:p>
        </w:tc>
        <w:tc>
          <w:tcPr>
            <w:tcW w:w="1276" w:type="dxa"/>
          </w:tcPr>
          <w:p w14:paraId="0FFA0CCB" w14:textId="727B52C4"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4,74%</w:t>
            </w:r>
          </w:p>
        </w:tc>
        <w:tc>
          <w:tcPr>
            <w:tcW w:w="1134" w:type="dxa"/>
          </w:tcPr>
          <w:p w14:paraId="06C992E7" w14:textId="3A0AF84A"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14,41%</w:t>
            </w:r>
          </w:p>
        </w:tc>
        <w:tc>
          <w:tcPr>
            <w:tcW w:w="1134" w:type="dxa"/>
          </w:tcPr>
          <w:p w14:paraId="7E156282" w14:textId="08B1FED8"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19,24%</w:t>
            </w:r>
          </w:p>
        </w:tc>
        <w:tc>
          <w:tcPr>
            <w:tcW w:w="1134" w:type="dxa"/>
          </w:tcPr>
          <w:p w14:paraId="15711715" w14:textId="20350FE7"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6,99%</w:t>
            </w:r>
          </w:p>
        </w:tc>
        <w:tc>
          <w:tcPr>
            <w:tcW w:w="1134" w:type="dxa"/>
            <w:shd w:val="clear" w:color="auto" w:fill="auto"/>
          </w:tcPr>
          <w:p w14:paraId="2E8F2BDD" w14:textId="7C424092"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11,02%</w:t>
            </w:r>
          </w:p>
        </w:tc>
        <w:tc>
          <w:tcPr>
            <w:tcW w:w="1134" w:type="dxa"/>
            <w:shd w:val="clear" w:color="auto" w:fill="auto"/>
          </w:tcPr>
          <w:p w14:paraId="45928FB5" w14:textId="59D9AD08" w:rsidR="0022723F" w:rsidRPr="00B81A28" w:rsidRDefault="00365F35" w:rsidP="00365F35">
            <w:pPr>
              <w:spacing w:before="40" w:after="40" w:line="320" w:lineRule="atLeast"/>
              <w:jc w:val="center"/>
              <w:rPr>
                <w:rFonts w:ascii="Verdana" w:hAnsi="Verdana"/>
                <w:sz w:val="16"/>
                <w:szCs w:val="16"/>
              </w:rPr>
            </w:pPr>
            <w:r>
              <w:rPr>
                <w:rFonts w:ascii="Verdana" w:hAnsi="Verdana"/>
                <w:sz w:val="16"/>
                <w:szCs w:val="16"/>
              </w:rPr>
              <w:t>5,61%</w:t>
            </w:r>
          </w:p>
        </w:tc>
        <w:tc>
          <w:tcPr>
            <w:tcW w:w="1134" w:type="dxa"/>
          </w:tcPr>
          <w:p w14:paraId="229FE51A"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6B24E1D2"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r>
      <w:tr w:rsidR="0022723F" w:rsidRPr="00B81A28" w14:paraId="45445DC4" w14:textId="77777777" w:rsidTr="00365F35">
        <w:tc>
          <w:tcPr>
            <w:tcW w:w="14884" w:type="dxa"/>
            <w:gridSpan w:val="10"/>
            <w:shd w:val="clear" w:color="auto" w:fill="7583BD"/>
            <w:vAlign w:val="center"/>
          </w:tcPr>
          <w:p w14:paraId="4B9C465E" w14:textId="77777777" w:rsidR="0022723F" w:rsidRPr="00E91BAA" w:rsidRDefault="0022723F" w:rsidP="00365F35">
            <w:pPr>
              <w:spacing w:before="40" w:after="40" w:line="320" w:lineRule="atLeast"/>
              <w:rPr>
                <w:rFonts w:ascii="Verdana" w:hAnsi="Verdana"/>
                <w:b/>
                <w:sz w:val="16"/>
                <w:szCs w:val="16"/>
              </w:rPr>
            </w:pPr>
            <w:r w:rsidRPr="00E91BAA">
              <w:rPr>
                <w:rFonts w:ascii="Verdana" w:hAnsi="Verdana"/>
                <w:b/>
                <w:color w:val="FFFFFF" w:themeColor="background1"/>
                <w:sz w:val="16"/>
                <w:szCs w:val="16"/>
              </w:rPr>
              <w:t>Bond (fixed interest)</w:t>
            </w:r>
          </w:p>
        </w:tc>
      </w:tr>
      <w:tr w:rsidR="0022723F" w:rsidRPr="00253513" w14:paraId="31E470A1" w14:textId="77777777" w:rsidTr="00365F35">
        <w:tc>
          <w:tcPr>
            <w:tcW w:w="4536" w:type="dxa"/>
          </w:tcPr>
          <w:p w14:paraId="6ACDF06F" w14:textId="77777777" w:rsidR="0022723F" w:rsidRPr="00253513" w:rsidRDefault="0022723F" w:rsidP="00365F35">
            <w:pPr>
              <w:spacing w:before="40" w:after="40" w:line="320" w:lineRule="atLeast"/>
              <w:rPr>
                <w:rFonts w:ascii="Verdana" w:hAnsi="Verdana"/>
                <w:b/>
                <w:sz w:val="16"/>
                <w:szCs w:val="16"/>
              </w:rPr>
            </w:pPr>
            <w:r>
              <w:rPr>
                <w:rFonts w:ascii="Verdana" w:hAnsi="Verdana"/>
                <w:b/>
                <w:sz w:val="16"/>
                <w:szCs w:val="16"/>
              </w:rPr>
              <w:t>All Bond Index</w:t>
            </w:r>
          </w:p>
        </w:tc>
        <w:tc>
          <w:tcPr>
            <w:tcW w:w="1134" w:type="dxa"/>
          </w:tcPr>
          <w:p w14:paraId="798DB00E" w14:textId="792543B6" w:rsidR="0022723F" w:rsidRPr="00253513" w:rsidRDefault="00365F35" w:rsidP="00365F35">
            <w:pPr>
              <w:tabs>
                <w:tab w:val="left" w:pos="1050"/>
              </w:tabs>
              <w:spacing w:before="40" w:after="40" w:line="320" w:lineRule="atLeast"/>
              <w:jc w:val="center"/>
              <w:rPr>
                <w:rFonts w:ascii="Verdana" w:hAnsi="Verdana"/>
                <w:b/>
                <w:sz w:val="16"/>
                <w:szCs w:val="16"/>
              </w:rPr>
            </w:pPr>
            <w:r>
              <w:rPr>
                <w:rFonts w:ascii="Verdana" w:hAnsi="Verdana"/>
                <w:b/>
                <w:sz w:val="16"/>
                <w:szCs w:val="16"/>
              </w:rPr>
              <w:t>0,64%</w:t>
            </w:r>
          </w:p>
        </w:tc>
        <w:tc>
          <w:tcPr>
            <w:tcW w:w="1276" w:type="dxa"/>
          </w:tcPr>
          <w:p w14:paraId="4BA81247" w14:textId="24B90B8B" w:rsidR="0022723F" w:rsidRPr="00253513" w:rsidRDefault="00365F35" w:rsidP="00365F35">
            <w:pPr>
              <w:spacing w:before="40" w:after="40" w:line="320" w:lineRule="atLeast"/>
              <w:jc w:val="center"/>
              <w:rPr>
                <w:rFonts w:ascii="Verdana" w:hAnsi="Verdana"/>
                <w:b/>
                <w:sz w:val="16"/>
                <w:szCs w:val="16"/>
              </w:rPr>
            </w:pPr>
            <w:r>
              <w:rPr>
                <w:rFonts w:ascii="Verdana" w:hAnsi="Verdana"/>
                <w:b/>
                <w:sz w:val="16"/>
                <w:szCs w:val="16"/>
              </w:rPr>
              <w:t>2,80%</w:t>
            </w:r>
          </w:p>
        </w:tc>
        <w:tc>
          <w:tcPr>
            <w:tcW w:w="1134" w:type="dxa"/>
          </w:tcPr>
          <w:p w14:paraId="09D21E1D" w14:textId="5BCAE84F" w:rsidR="0022723F" w:rsidRPr="00253513" w:rsidRDefault="00365F35" w:rsidP="00365F35">
            <w:pPr>
              <w:spacing w:before="40" w:after="40" w:line="320" w:lineRule="atLeast"/>
              <w:jc w:val="center"/>
              <w:rPr>
                <w:rFonts w:ascii="Verdana" w:hAnsi="Verdana"/>
                <w:b/>
                <w:sz w:val="16"/>
                <w:szCs w:val="16"/>
              </w:rPr>
            </w:pPr>
            <w:r>
              <w:rPr>
                <w:rFonts w:ascii="Verdana" w:hAnsi="Verdana"/>
                <w:b/>
                <w:sz w:val="16"/>
                <w:szCs w:val="16"/>
              </w:rPr>
              <w:t>3,60%</w:t>
            </w:r>
          </w:p>
        </w:tc>
        <w:tc>
          <w:tcPr>
            <w:tcW w:w="1134" w:type="dxa"/>
          </w:tcPr>
          <w:p w14:paraId="5CD9FCB9" w14:textId="072C8982" w:rsidR="0022723F" w:rsidRPr="00253513" w:rsidRDefault="00365F35" w:rsidP="00365F35">
            <w:pPr>
              <w:spacing w:before="40" w:after="40" w:line="320" w:lineRule="atLeast"/>
              <w:jc w:val="center"/>
              <w:rPr>
                <w:rFonts w:ascii="Verdana" w:hAnsi="Verdana"/>
                <w:b/>
                <w:sz w:val="16"/>
                <w:szCs w:val="16"/>
              </w:rPr>
            </w:pPr>
            <w:r>
              <w:rPr>
                <w:rFonts w:ascii="Verdana" w:hAnsi="Verdana"/>
                <w:b/>
                <w:sz w:val="16"/>
                <w:szCs w:val="16"/>
              </w:rPr>
              <w:t>7,74%</w:t>
            </w:r>
          </w:p>
        </w:tc>
        <w:tc>
          <w:tcPr>
            <w:tcW w:w="1134" w:type="dxa"/>
          </w:tcPr>
          <w:p w14:paraId="31C13C45" w14:textId="62F2C95B" w:rsidR="0022723F" w:rsidRPr="00253513" w:rsidRDefault="00365F35" w:rsidP="00365F35">
            <w:pPr>
              <w:spacing w:before="40" w:after="40" w:line="320" w:lineRule="atLeast"/>
              <w:jc w:val="center"/>
              <w:rPr>
                <w:rFonts w:ascii="Verdana" w:hAnsi="Verdana"/>
                <w:b/>
                <w:sz w:val="16"/>
                <w:szCs w:val="16"/>
              </w:rPr>
            </w:pPr>
            <w:r>
              <w:rPr>
                <w:rFonts w:ascii="Verdana" w:hAnsi="Verdana"/>
                <w:b/>
                <w:sz w:val="16"/>
                <w:szCs w:val="16"/>
              </w:rPr>
              <w:t>8,96%</w:t>
            </w:r>
          </w:p>
        </w:tc>
        <w:tc>
          <w:tcPr>
            <w:tcW w:w="1134" w:type="dxa"/>
            <w:shd w:val="clear" w:color="auto" w:fill="auto"/>
          </w:tcPr>
          <w:p w14:paraId="5D31EE98" w14:textId="6756EA80" w:rsidR="0022723F" w:rsidRPr="00253513" w:rsidRDefault="00365F35" w:rsidP="00365F35">
            <w:pPr>
              <w:spacing w:before="40" w:after="40" w:line="320" w:lineRule="atLeast"/>
              <w:jc w:val="center"/>
              <w:rPr>
                <w:rFonts w:ascii="Verdana" w:hAnsi="Verdana"/>
                <w:b/>
                <w:sz w:val="16"/>
                <w:szCs w:val="16"/>
              </w:rPr>
            </w:pPr>
            <w:r>
              <w:rPr>
                <w:rFonts w:ascii="Verdana" w:hAnsi="Verdana"/>
                <w:b/>
                <w:sz w:val="16"/>
                <w:szCs w:val="16"/>
              </w:rPr>
              <w:t>11,07%</w:t>
            </w:r>
          </w:p>
        </w:tc>
        <w:tc>
          <w:tcPr>
            <w:tcW w:w="1134" w:type="dxa"/>
            <w:shd w:val="clear" w:color="auto" w:fill="auto"/>
          </w:tcPr>
          <w:p w14:paraId="5F9B1AA7" w14:textId="29553E71" w:rsidR="0022723F" w:rsidRPr="00253513" w:rsidRDefault="005E6B49" w:rsidP="00365F35">
            <w:pPr>
              <w:spacing w:before="40" w:after="40" w:line="320" w:lineRule="atLeast"/>
              <w:jc w:val="center"/>
              <w:rPr>
                <w:rFonts w:ascii="Verdana" w:hAnsi="Verdana"/>
                <w:b/>
                <w:sz w:val="16"/>
                <w:szCs w:val="16"/>
              </w:rPr>
            </w:pPr>
            <w:r>
              <w:rPr>
                <w:rFonts w:ascii="Verdana" w:hAnsi="Verdana"/>
                <w:b/>
                <w:sz w:val="16"/>
                <w:szCs w:val="16"/>
              </w:rPr>
              <w:t>7,71%</w:t>
            </w:r>
          </w:p>
        </w:tc>
        <w:tc>
          <w:tcPr>
            <w:tcW w:w="1134" w:type="dxa"/>
          </w:tcPr>
          <w:p w14:paraId="5C5A65E9" w14:textId="1A836C6A" w:rsidR="0022723F" w:rsidRPr="00253513" w:rsidRDefault="005E6B49" w:rsidP="00365F35">
            <w:pPr>
              <w:spacing w:before="40" w:after="40" w:line="320" w:lineRule="atLeast"/>
              <w:jc w:val="center"/>
              <w:rPr>
                <w:rFonts w:ascii="Verdana" w:hAnsi="Verdana"/>
                <w:b/>
                <w:sz w:val="16"/>
                <w:szCs w:val="16"/>
              </w:rPr>
            </w:pPr>
            <w:r>
              <w:rPr>
                <w:rFonts w:ascii="Verdana" w:hAnsi="Verdana"/>
                <w:b/>
                <w:sz w:val="16"/>
                <w:szCs w:val="16"/>
              </w:rPr>
              <w:t>7,81%</w:t>
            </w:r>
          </w:p>
        </w:tc>
        <w:tc>
          <w:tcPr>
            <w:tcW w:w="1134" w:type="dxa"/>
          </w:tcPr>
          <w:p w14:paraId="13049568" w14:textId="0687B1B1" w:rsidR="0022723F" w:rsidRPr="00253513" w:rsidRDefault="005E6B49" w:rsidP="00365F35">
            <w:pPr>
              <w:spacing w:before="40" w:after="40" w:line="320" w:lineRule="atLeast"/>
              <w:jc w:val="center"/>
              <w:rPr>
                <w:rFonts w:ascii="Verdana" w:hAnsi="Verdana"/>
                <w:b/>
                <w:sz w:val="16"/>
                <w:szCs w:val="16"/>
              </w:rPr>
            </w:pPr>
            <w:r>
              <w:rPr>
                <w:rFonts w:ascii="Verdana" w:hAnsi="Verdana"/>
                <w:b/>
                <w:sz w:val="16"/>
                <w:szCs w:val="16"/>
              </w:rPr>
              <w:t>7,68%</w:t>
            </w:r>
          </w:p>
        </w:tc>
      </w:tr>
      <w:tr w:rsidR="0022723F" w:rsidRPr="00B81A28" w14:paraId="663234DB" w14:textId="77777777" w:rsidTr="00365F35">
        <w:tc>
          <w:tcPr>
            <w:tcW w:w="4536" w:type="dxa"/>
          </w:tcPr>
          <w:p w14:paraId="23C18CA8" w14:textId="77777777" w:rsidR="0022723F" w:rsidRPr="00B81A28" w:rsidRDefault="0022723F" w:rsidP="00365F35">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GOVI (Total Return)</w:t>
            </w:r>
          </w:p>
        </w:tc>
        <w:tc>
          <w:tcPr>
            <w:tcW w:w="1134" w:type="dxa"/>
          </w:tcPr>
          <w:p w14:paraId="533DDD66" w14:textId="2D4E8C8F" w:rsidR="0022723F" w:rsidRPr="00B81A28" w:rsidRDefault="005E6B49" w:rsidP="00365F35">
            <w:pPr>
              <w:tabs>
                <w:tab w:val="left" w:pos="1050"/>
              </w:tabs>
              <w:spacing w:before="40" w:after="40" w:line="320" w:lineRule="atLeast"/>
              <w:jc w:val="center"/>
              <w:rPr>
                <w:rFonts w:ascii="Verdana" w:hAnsi="Verdana"/>
                <w:sz w:val="16"/>
                <w:szCs w:val="16"/>
              </w:rPr>
            </w:pPr>
            <w:r>
              <w:rPr>
                <w:rFonts w:ascii="Verdana" w:hAnsi="Verdana"/>
                <w:sz w:val="16"/>
                <w:szCs w:val="16"/>
              </w:rPr>
              <w:t>0,56%</w:t>
            </w:r>
          </w:p>
        </w:tc>
        <w:tc>
          <w:tcPr>
            <w:tcW w:w="1276" w:type="dxa"/>
          </w:tcPr>
          <w:p w14:paraId="07638021" w14:textId="2CAA0931"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2,52%</w:t>
            </w:r>
          </w:p>
        </w:tc>
        <w:tc>
          <w:tcPr>
            <w:tcW w:w="1134" w:type="dxa"/>
          </w:tcPr>
          <w:p w14:paraId="0F371EF3" w14:textId="015810AC"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3,10%</w:t>
            </w:r>
          </w:p>
        </w:tc>
        <w:tc>
          <w:tcPr>
            <w:tcW w:w="1134" w:type="dxa"/>
          </w:tcPr>
          <w:p w14:paraId="50AB0327" w14:textId="16605DB5"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6,46%</w:t>
            </w:r>
          </w:p>
        </w:tc>
        <w:tc>
          <w:tcPr>
            <w:tcW w:w="1134" w:type="dxa"/>
          </w:tcPr>
          <w:p w14:paraId="4BA4D5D2" w14:textId="3C8F5755"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8,27%</w:t>
            </w:r>
          </w:p>
        </w:tc>
        <w:tc>
          <w:tcPr>
            <w:tcW w:w="1134" w:type="dxa"/>
            <w:shd w:val="clear" w:color="auto" w:fill="auto"/>
          </w:tcPr>
          <w:p w14:paraId="0DABAD49" w14:textId="32CD171F"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10,27%</w:t>
            </w:r>
          </w:p>
        </w:tc>
        <w:tc>
          <w:tcPr>
            <w:tcW w:w="1134" w:type="dxa"/>
            <w:shd w:val="clear" w:color="auto" w:fill="auto"/>
          </w:tcPr>
          <w:p w14:paraId="0E2394C0" w14:textId="3965B3E6"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7,25%</w:t>
            </w:r>
          </w:p>
        </w:tc>
        <w:tc>
          <w:tcPr>
            <w:tcW w:w="1134" w:type="dxa"/>
          </w:tcPr>
          <w:p w14:paraId="060E4B51"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6D6C136D"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r>
      <w:tr w:rsidR="0022723F" w:rsidRPr="00B81A28" w14:paraId="0373315C" w14:textId="77777777" w:rsidTr="00365F35">
        <w:tc>
          <w:tcPr>
            <w:tcW w:w="4536" w:type="dxa"/>
          </w:tcPr>
          <w:p w14:paraId="2F22A3EE" w14:textId="77777777" w:rsidR="0022723F" w:rsidRPr="00B81A28" w:rsidRDefault="0022723F" w:rsidP="00365F35">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ILBI (Inflation-Linked) (TR)</w:t>
            </w:r>
          </w:p>
        </w:tc>
        <w:tc>
          <w:tcPr>
            <w:tcW w:w="1134" w:type="dxa"/>
          </w:tcPr>
          <w:p w14:paraId="5EF7AA4A" w14:textId="7CC63B92" w:rsidR="0022723F" w:rsidRPr="00B81A28" w:rsidRDefault="005E6B49" w:rsidP="00365F35">
            <w:pPr>
              <w:tabs>
                <w:tab w:val="left" w:pos="1050"/>
              </w:tabs>
              <w:spacing w:before="40" w:after="40" w:line="320" w:lineRule="atLeast"/>
              <w:jc w:val="center"/>
              <w:rPr>
                <w:rFonts w:ascii="Verdana" w:hAnsi="Verdana"/>
                <w:sz w:val="16"/>
                <w:szCs w:val="16"/>
              </w:rPr>
            </w:pPr>
            <w:r>
              <w:rPr>
                <w:rFonts w:ascii="Verdana" w:hAnsi="Verdana"/>
                <w:sz w:val="16"/>
                <w:szCs w:val="16"/>
              </w:rPr>
              <w:t>0,65%</w:t>
            </w:r>
          </w:p>
        </w:tc>
        <w:tc>
          <w:tcPr>
            <w:tcW w:w="1276" w:type="dxa"/>
          </w:tcPr>
          <w:p w14:paraId="5E4CC800" w14:textId="7F992991"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0,21%</w:t>
            </w:r>
          </w:p>
        </w:tc>
        <w:tc>
          <w:tcPr>
            <w:tcW w:w="1134" w:type="dxa"/>
          </w:tcPr>
          <w:p w14:paraId="42A19027" w14:textId="2E12C49A"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0,54%</w:t>
            </w:r>
          </w:p>
        </w:tc>
        <w:tc>
          <w:tcPr>
            <w:tcW w:w="1134" w:type="dxa"/>
          </w:tcPr>
          <w:p w14:paraId="4B23EE13" w14:textId="2D5CA1C9"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(0,37%)</w:t>
            </w:r>
          </w:p>
        </w:tc>
        <w:tc>
          <w:tcPr>
            <w:tcW w:w="1134" w:type="dxa"/>
          </w:tcPr>
          <w:p w14:paraId="3C713ACD" w14:textId="46DC6D4C"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0,89%</w:t>
            </w:r>
          </w:p>
        </w:tc>
        <w:tc>
          <w:tcPr>
            <w:tcW w:w="1134" w:type="dxa"/>
            <w:shd w:val="clear" w:color="auto" w:fill="auto"/>
          </w:tcPr>
          <w:p w14:paraId="5EE99387" w14:textId="7819D3B5"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2,46%</w:t>
            </w:r>
          </w:p>
        </w:tc>
        <w:tc>
          <w:tcPr>
            <w:tcW w:w="1134" w:type="dxa"/>
            <w:shd w:val="clear" w:color="auto" w:fill="auto"/>
          </w:tcPr>
          <w:p w14:paraId="41CD7FB4" w14:textId="3326B56B"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4,27%</w:t>
            </w:r>
          </w:p>
        </w:tc>
        <w:tc>
          <w:tcPr>
            <w:tcW w:w="1134" w:type="dxa"/>
          </w:tcPr>
          <w:p w14:paraId="03A8F82F"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0445C3BF"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r>
      <w:tr w:rsidR="0022723F" w:rsidRPr="00B81A28" w14:paraId="613120D1" w14:textId="77777777" w:rsidTr="00365F35">
        <w:tc>
          <w:tcPr>
            <w:tcW w:w="4536" w:type="dxa"/>
          </w:tcPr>
          <w:p w14:paraId="75394806" w14:textId="77777777" w:rsidR="0022723F" w:rsidRPr="00B81A28" w:rsidRDefault="0022723F" w:rsidP="00365F35">
            <w:pPr>
              <w:spacing w:before="40" w:after="40" w:line="320" w:lineRule="atLeast"/>
              <w:rPr>
                <w:rFonts w:ascii="Verdana" w:hAnsi="Verdana"/>
                <w:sz w:val="16"/>
                <w:szCs w:val="16"/>
              </w:rPr>
            </w:pPr>
            <w:r w:rsidRPr="00B81A28">
              <w:rPr>
                <w:rFonts w:ascii="Verdana" w:hAnsi="Verdana"/>
                <w:sz w:val="16"/>
                <w:szCs w:val="16"/>
              </w:rPr>
              <w:t xml:space="preserve">Ashburton Government Inflation </w:t>
            </w:r>
          </w:p>
        </w:tc>
        <w:tc>
          <w:tcPr>
            <w:tcW w:w="1134" w:type="dxa"/>
          </w:tcPr>
          <w:p w14:paraId="318CF176" w14:textId="2249EFE0" w:rsidR="0022723F" w:rsidRPr="00B81A28" w:rsidRDefault="005E6B49" w:rsidP="00365F35">
            <w:pPr>
              <w:tabs>
                <w:tab w:val="left" w:pos="1050"/>
              </w:tabs>
              <w:spacing w:before="40" w:after="40" w:line="320" w:lineRule="atLeast"/>
              <w:jc w:val="center"/>
              <w:rPr>
                <w:rFonts w:ascii="Verdana" w:hAnsi="Verdana"/>
                <w:sz w:val="16"/>
                <w:szCs w:val="16"/>
              </w:rPr>
            </w:pPr>
            <w:r>
              <w:rPr>
                <w:rFonts w:ascii="Verdana" w:hAnsi="Verdana"/>
                <w:sz w:val="16"/>
                <w:szCs w:val="16"/>
              </w:rPr>
              <w:t>0,63%</w:t>
            </w:r>
          </w:p>
        </w:tc>
        <w:tc>
          <w:tcPr>
            <w:tcW w:w="1276" w:type="dxa"/>
          </w:tcPr>
          <w:p w14:paraId="07180946" w14:textId="206F3D9B"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0,17%</w:t>
            </w:r>
          </w:p>
        </w:tc>
        <w:tc>
          <w:tcPr>
            <w:tcW w:w="1134" w:type="dxa"/>
          </w:tcPr>
          <w:p w14:paraId="402867E5" w14:textId="7790E8B1"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0,52%</w:t>
            </w:r>
          </w:p>
        </w:tc>
        <w:tc>
          <w:tcPr>
            <w:tcW w:w="1134" w:type="dxa"/>
          </w:tcPr>
          <w:p w14:paraId="69268F23" w14:textId="0B39AA15"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(0,39%)</w:t>
            </w:r>
          </w:p>
        </w:tc>
        <w:tc>
          <w:tcPr>
            <w:tcW w:w="1134" w:type="dxa"/>
          </w:tcPr>
          <w:p w14:paraId="074E0E7B" w14:textId="01F89CE0"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0,89%</w:t>
            </w:r>
          </w:p>
        </w:tc>
        <w:tc>
          <w:tcPr>
            <w:tcW w:w="1134" w:type="dxa"/>
            <w:shd w:val="clear" w:color="auto" w:fill="auto"/>
          </w:tcPr>
          <w:p w14:paraId="588E3337" w14:textId="27956AA3"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2,45%</w:t>
            </w:r>
          </w:p>
        </w:tc>
        <w:tc>
          <w:tcPr>
            <w:tcW w:w="1134" w:type="dxa"/>
            <w:shd w:val="clear" w:color="auto" w:fill="auto"/>
          </w:tcPr>
          <w:p w14:paraId="624F971A" w14:textId="5DF8F1A6"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4,16%</w:t>
            </w:r>
          </w:p>
        </w:tc>
        <w:tc>
          <w:tcPr>
            <w:tcW w:w="1134" w:type="dxa"/>
          </w:tcPr>
          <w:p w14:paraId="22649D49" w14:textId="6420E335"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5,57%</w:t>
            </w:r>
          </w:p>
        </w:tc>
        <w:tc>
          <w:tcPr>
            <w:tcW w:w="1134" w:type="dxa"/>
          </w:tcPr>
          <w:p w14:paraId="08F2AF06"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r>
      <w:tr w:rsidR="0022723F" w:rsidRPr="00B81A28" w14:paraId="4F95331C" w14:textId="77777777" w:rsidTr="00365F35">
        <w:tc>
          <w:tcPr>
            <w:tcW w:w="4536" w:type="dxa"/>
          </w:tcPr>
          <w:p w14:paraId="34C4CF23" w14:textId="77777777" w:rsidR="0022723F" w:rsidRPr="00B81A28" w:rsidRDefault="0022723F" w:rsidP="00365F35">
            <w:pPr>
              <w:spacing w:before="40" w:after="40" w:line="320" w:lineRule="atLeast"/>
              <w:rPr>
                <w:rFonts w:ascii="Verdana" w:hAnsi="Verdana"/>
                <w:sz w:val="16"/>
                <w:szCs w:val="16"/>
              </w:rPr>
            </w:pPr>
            <w:r>
              <w:rPr>
                <w:rFonts w:ascii="Verdana" w:hAnsi="Verdana"/>
                <w:sz w:val="16"/>
                <w:szCs w:val="16"/>
              </w:rPr>
              <w:t>Satrix Inflation-Linked Bond (ILBI)</w:t>
            </w:r>
          </w:p>
        </w:tc>
        <w:tc>
          <w:tcPr>
            <w:tcW w:w="1134" w:type="dxa"/>
            <w:vAlign w:val="center"/>
          </w:tcPr>
          <w:p w14:paraId="7D4B4A0D" w14:textId="3805C825" w:rsidR="0022723F" w:rsidRPr="00B81A28" w:rsidRDefault="005E6B49" w:rsidP="00365F35">
            <w:pPr>
              <w:tabs>
                <w:tab w:val="left" w:pos="1050"/>
              </w:tabs>
              <w:spacing w:before="40" w:after="40" w:line="320" w:lineRule="atLeast"/>
              <w:jc w:val="center"/>
              <w:rPr>
                <w:rFonts w:ascii="Verdana" w:hAnsi="Verdana"/>
                <w:sz w:val="16"/>
                <w:szCs w:val="16"/>
              </w:rPr>
            </w:pPr>
            <w:r>
              <w:rPr>
                <w:rFonts w:ascii="Verdana" w:hAnsi="Verdana"/>
                <w:sz w:val="16"/>
                <w:szCs w:val="16"/>
              </w:rPr>
              <w:t>0,65%</w:t>
            </w:r>
          </w:p>
        </w:tc>
        <w:tc>
          <w:tcPr>
            <w:tcW w:w="1276" w:type="dxa"/>
            <w:vAlign w:val="center"/>
          </w:tcPr>
          <w:p w14:paraId="4C64DAD8" w14:textId="55941DBD"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0,36%</w:t>
            </w:r>
          </w:p>
        </w:tc>
        <w:tc>
          <w:tcPr>
            <w:tcW w:w="1134" w:type="dxa"/>
            <w:vAlign w:val="center"/>
          </w:tcPr>
          <w:p w14:paraId="542C6FB4" w14:textId="68459AFA"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1,01%</w:t>
            </w:r>
          </w:p>
        </w:tc>
        <w:tc>
          <w:tcPr>
            <w:tcW w:w="1134" w:type="dxa"/>
            <w:vAlign w:val="center"/>
          </w:tcPr>
          <w:p w14:paraId="47C6210F" w14:textId="03644143" w:rsidR="0022723F" w:rsidRPr="00B81A28" w:rsidRDefault="005E6B49" w:rsidP="00365F35">
            <w:pPr>
              <w:spacing w:before="40" w:after="40" w:line="320" w:lineRule="atLeast"/>
              <w:jc w:val="center"/>
              <w:rPr>
                <w:rFonts w:ascii="Verdana" w:hAnsi="Verdana"/>
                <w:sz w:val="16"/>
                <w:szCs w:val="16"/>
              </w:rPr>
            </w:pPr>
            <w:r>
              <w:rPr>
                <w:rFonts w:ascii="Verdana" w:hAnsi="Verdana"/>
                <w:sz w:val="16"/>
                <w:szCs w:val="16"/>
              </w:rPr>
              <w:t>0,19%</w:t>
            </w:r>
          </w:p>
        </w:tc>
        <w:tc>
          <w:tcPr>
            <w:tcW w:w="1134" w:type="dxa"/>
            <w:vAlign w:val="center"/>
          </w:tcPr>
          <w:p w14:paraId="16EF2008" w14:textId="77777777" w:rsidR="0022723F" w:rsidRPr="00B81A28" w:rsidRDefault="0022723F" w:rsidP="00365F35">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EAC95BD" w14:textId="77777777" w:rsidR="0022723F" w:rsidRPr="00B81A28" w:rsidRDefault="0022723F" w:rsidP="00365F35">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DF974C2" w14:textId="77777777" w:rsidR="0022723F" w:rsidRPr="00B81A28" w:rsidRDefault="0022723F" w:rsidP="00365F35">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1601357C" w14:textId="77777777" w:rsidR="0022723F" w:rsidRPr="00B81A28" w:rsidRDefault="0022723F" w:rsidP="00365F35">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476D8507" w14:textId="77777777" w:rsidR="0022723F" w:rsidRPr="00B81A28" w:rsidRDefault="0022723F" w:rsidP="00365F35">
            <w:pPr>
              <w:spacing w:before="40" w:after="40" w:line="320" w:lineRule="atLeast"/>
              <w:jc w:val="center"/>
              <w:rPr>
                <w:rFonts w:ascii="Verdana" w:hAnsi="Verdana"/>
                <w:sz w:val="16"/>
                <w:szCs w:val="16"/>
              </w:rPr>
            </w:pPr>
            <w:r>
              <w:rPr>
                <w:rFonts w:ascii="Verdana" w:hAnsi="Verdana"/>
                <w:sz w:val="16"/>
                <w:szCs w:val="16"/>
              </w:rPr>
              <w:t>-</w:t>
            </w:r>
          </w:p>
        </w:tc>
      </w:tr>
      <w:tr w:rsidR="0022723F" w:rsidRPr="00B81A28" w14:paraId="2A50CF0E" w14:textId="77777777" w:rsidTr="00365F35">
        <w:tc>
          <w:tcPr>
            <w:tcW w:w="14884" w:type="dxa"/>
            <w:gridSpan w:val="10"/>
            <w:shd w:val="clear" w:color="auto" w:fill="7583BD"/>
          </w:tcPr>
          <w:p w14:paraId="29D6A3A6" w14:textId="77777777" w:rsidR="0022723F" w:rsidRPr="007637F2" w:rsidRDefault="0022723F" w:rsidP="00365F35">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Listed Property</w:t>
            </w:r>
          </w:p>
        </w:tc>
      </w:tr>
      <w:tr w:rsidR="0022723F" w:rsidRPr="00253513" w14:paraId="6E5B0519" w14:textId="77777777" w:rsidTr="00365F35">
        <w:tc>
          <w:tcPr>
            <w:tcW w:w="4536" w:type="dxa"/>
          </w:tcPr>
          <w:p w14:paraId="792404F4" w14:textId="77777777" w:rsidR="0022723F" w:rsidRPr="00253513" w:rsidRDefault="0022723F" w:rsidP="00365F35">
            <w:pPr>
              <w:spacing w:before="40" w:after="40" w:line="320" w:lineRule="atLeast"/>
              <w:rPr>
                <w:rFonts w:ascii="Verdana" w:hAnsi="Verdana"/>
                <w:b/>
                <w:sz w:val="16"/>
                <w:szCs w:val="16"/>
              </w:rPr>
            </w:pPr>
            <w:r>
              <w:rPr>
                <w:rFonts w:ascii="Verdana" w:hAnsi="Verdana"/>
                <w:b/>
                <w:sz w:val="16"/>
                <w:szCs w:val="16"/>
              </w:rPr>
              <w:t>SA Listed Property Index (SAPY)</w:t>
            </w:r>
          </w:p>
        </w:tc>
        <w:tc>
          <w:tcPr>
            <w:tcW w:w="1134" w:type="dxa"/>
          </w:tcPr>
          <w:p w14:paraId="75DEFFAC" w14:textId="2F6F06DC" w:rsidR="0022723F" w:rsidRPr="00253513" w:rsidRDefault="005E6B49" w:rsidP="00365F35">
            <w:pPr>
              <w:tabs>
                <w:tab w:val="left" w:pos="1050"/>
              </w:tabs>
              <w:spacing w:before="40" w:after="40" w:line="320" w:lineRule="atLeast"/>
              <w:jc w:val="center"/>
              <w:rPr>
                <w:rFonts w:ascii="Verdana" w:hAnsi="Verdana"/>
                <w:b/>
                <w:sz w:val="16"/>
                <w:szCs w:val="16"/>
              </w:rPr>
            </w:pPr>
            <w:r>
              <w:rPr>
                <w:rFonts w:ascii="Verdana" w:hAnsi="Verdana"/>
                <w:b/>
                <w:sz w:val="16"/>
                <w:szCs w:val="16"/>
              </w:rPr>
              <w:t>(1,06%)</w:t>
            </w:r>
          </w:p>
        </w:tc>
        <w:tc>
          <w:tcPr>
            <w:tcW w:w="1276" w:type="dxa"/>
          </w:tcPr>
          <w:p w14:paraId="07034D38" w14:textId="5ABB3044" w:rsidR="0022723F" w:rsidRPr="00253513" w:rsidRDefault="005E6B49" w:rsidP="00365F35">
            <w:pPr>
              <w:spacing w:before="40" w:after="40" w:line="320" w:lineRule="atLeast"/>
              <w:jc w:val="center"/>
              <w:rPr>
                <w:rFonts w:ascii="Verdana" w:hAnsi="Verdana"/>
                <w:b/>
                <w:sz w:val="16"/>
                <w:szCs w:val="16"/>
              </w:rPr>
            </w:pPr>
            <w:r>
              <w:rPr>
                <w:rFonts w:ascii="Verdana" w:hAnsi="Verdana"/>
                <w:b/>
                <w:sz w:val="16"/>
                <w:szCs w:val="16"/>
              </w:rPr>
              <w:t>(3,99%)</w:t>
            </w:r>
          </w:p>
        </w:tc>
        <w:tc>
          <w:tcPr>
            <w:tcW w:w="1134" w:type="dxa"/>
          </w:tcPr>
          <w:p w14:paraId="24B607D5" w14:textId="2E1DCA22" w:rsidR="0022723F" w:rsidRPr="00253513" w:rsidRDefault="005E6B49" w:rsidP="00365F35">
            <w:pPr>
              <w:spacing w:before="40" w:after="40" w:line="320" w:lineRule="atLeast"/>
              <w:jc w:val="center"/>
              <w:rPr>
                <w:rFonts w:ascii="Verdana" w:hAnsi="Verdana"/>
                <w:b/>
                <w:sz w:val="16"/>
                <w:szCs w:val="16"/>
              </w:rPr>
            </w:pPr>
            <w:r>
              <w:rPr>
                <w:rFonts w:ascii="Verdana" w:hAnsi="Verdana"/>
                <w:b/>
                <w:sz w:val="16"/>
                <w:szCs w:val="16"/>
              </w:rPr>
              <w:t>(4,95%)</w:t>
            </w:r>
          </w:p>
        </w:tc>
        <w:tc>
          <w:tcPr>
            <w:tcW w:w="1134" w:type="dxa"/>
          </w:tcPr>
          <w:p w14:paraId="7657297A" w14:textId="5157F207" w:rsidR="0022723F" w:rsidRPr="00253513" w:rsidRDefault="005E6B49" w:rsidP="00365F35">
            <w:pPr>
              <w:spacing w:before="40" w:after="40" w:line="320" w:lineRule="atLeast"/>
              <w:jc w:val="center"/>
              <w:rPr>
                <w:rFonts w:ascii="Verdana" w:hAnsi="Verdana"/>
                <w:b/>
                <w:sz w:val="16"/>
                <w:szCs w:val="16"/>
              </w:rPr>
            </w:pPr>
            <w:r>
              <w:rPr>
                <w:rFonts w:ascii="Verdana" w:hAnsi="Verdana"/>
                <w:b/>
                <w:sz w:val="16"/>
                <w:szCs w:val="16"/>
              </w:rPr>
              <w:t>(25,26%)</w:t>
            </w:r>
          </w:p>
        </w:tc>
        <w:tc>
          <w:tcPr>
            <w:tcW w:w="1134" w:type="dxa"/>
          </w:tcPr>
          <w:p w14:paraId="08DF28E1" w14:textId="62812DB6" w:rsidR="0022723F" w:rsidRPr="00253513" w:rsidRDefault="005E6B49" w:rsidP="00365F35">
            <w:pPr>
              <w:spacing w:before="40" w:after="40" w:line="320" w:lineRule="atLeast"/>
              <w:jc w:val="center"/>
              <w:rPr>
                <w:rFonts w:ascii="Verdana" w:hAnsi="Verdana"/>
                <w:b/>
                <w:sz w:val="16"/>
                <w:szCs w:val="16"/>
              </w:rPr>
            </w:pPr>
            <w:r>
              <w:rPr>
                <w:rFonts w:ascii="Verdana" w:hAnsi="Verdana"/>
                <w:b/>
                <w:sz w:val="16"/>
                <w:szCs w:val="16"/>
              </w:rPr>
              <w:t>(6,43%)</w:t>
            </w:r>
          </w:p>
        </w:tc>
        <w:tc>
          <w:tcPr>
            <w:tcW w:w="1134" w:type="dxa"/>
            <w:shd w:val="clear" w:color="auto" w:fill="auto"/>
          </w:tcPr>
          <w:p w14:paraId="74300771" w14:textId="4F016FAF" w:rsidR="0022723F" w:rsidRPr="00253513" w:rsidRDefault="005E6B49" w:rsidP="00365F35">
            <w:pPr>
              <w:spacing w:before="40" w:after="40" w:line="320" w:lineRule="atLeast"/>
              <w:jc w:val="center"/>
              <w:rPr>
                <w:rFonts w:ascii="Verdana" w:hAnsi="Verdana"/>
                <w:b/>
                <w:sz w:val="16"/>
                <w:szCs w:val="16"/>
              </w:rPr>
            </w:pPr>
            <w:r>
              <w:rPr>
                <w:rFonts w:ascii="Verdana" w:hAnsi="Verdana"/>
                <w:b/>
                <w:sz w:val="16"/>
                <w:szCs w:val="16"/>
              </w:rPr>
              <w:t>(1,19%)</w:t>
            </w:r>
          </w:p>
        </w:tc>
        <w:tc>
          <w:tcPr>
            <w:tcW w:w="1134" w:type="dxa"/>
            <w:shd w:val="clear" w:color="auto" w:fill="auto"/>
          </w:tcPr>
          <w:p w14:paraId="719A73BB" w14:textId="6339FFA7" w:rsidR="0022723F" w:rsidRPr="00253513" w:rsidRDefault="005E6B49" w:rsidP="00365F35">
            <w:pPr>
              <w:spacing w:before="40" w:after="40" w:line="320" w:lineRule="atLeast"/>
              <w:jc w:val="center"/>
              <w:rPr>
                <w:rFonts w:ascii="Verdana" w:hAnsi="Verdana"/>
                <w:b/>
                <w:sz w:val="16"/>
                <w:szCs w:val="16"/>
              </w:rPr>
            </w:pPr>
            <w:r>
              <w:rPr>
                <w:rFonts w:ascii="Verdana" w:hAnsi="Verdana"/>
                <w:b/>
                <w:sz w:val="16"/>
                <w:szCs w:val="16"/>
              </w:rPr>
              <w:t>5,70%</w:t>
            </w:r>
          </w:p>
        </w:tc>
        <w:tc>
          <w:tcPr>
            <w:tcW w:w="1134" w:type="dxa"/>
          </w:tcPr>
          <w:p w14:paraId="4D56CC89" w14:textId="05470C03" w:rsidR="0022723F" w:rsidRPr="00253513" w:rsidRDefault="005E6B49" w:rsidP="00365F35">
            <w:pPr>
              <w:spacing w:before="40" w:after="40" w:line="320" w:lineRule="atLeast"/>
              <w:jc w:val="center"/>
              <w:rPr>
                <w:rFonts w:ascii="Verdana" w:hAnsi="Verdana"/>
                <w:b/>
                <w:sz w:val="16"/>
                <w:szCs w:val="16"/>
              </w:rPr>
            </w:pPr>
            <w:r>
              <w:rPr>
                <w:rFonts w:ascii="Verdana" w:hAnsi="Verdana"/>
                <w:b/>
                <w:sz w:val="16"/>
                <w:szCs w:val="16"/>
              </w:rPr>
              <w:t>9,96%</w:t>
            </w:r>
          </w:p>
        </w:tc>
        <w:tc>
          <w:tcPr>
            <w:tcW w:w="1134" w:type="dxa"/>
          </w:tcPr>
          <w:p w14:paraId="15F18A80" w14:textId="63F861A9" w:rsidR="0022723F" w:rsidRPr="00253513" w:rsidRDefault="005E6B49" w:rsidP="00365F35">
            <w:pPr>
              <w:spacing w:before="40" w:after="40" w:line="320" w:lineRule="atLeast"/>
              <w:jc w:val="center"/>
              <w:rPr>
                <w:rFonts w:ascii="Verdana" w:hAnsi="Verdana"/>
                <w:b/>
                <w:sz w:val="16"/>
                <w:szCs w:val="16"/>
              </w:rPr>
            </w:pPr>
            <w:r>
              <w:rPr>
                <w:rFonts w:ascii="Verdana" w:hAnsi="Verdana"/>
                <w:b/>
                <w:sz w:val="16"/>
                <w:szCs w:val="16"/>
              </w:rPr>
              <w:t>12,09%</w:t>
            </w:r>
          </w:p>
        </w:tc>
      </w:tr>
      <w:tr w:rsidR="0022723F" w:rsidRPr="00B81A28" w14:paraId="7859A4B7" w14:textId="77777777" w:rsidTr="00365F35">
        <w:tc>
          <w:tcPr>
            <w:tcW w:w="4536" w:type="dxa"/>
          </w:tcPr>
          <w:p w14:paraId="34DF7D8E" w14:textId="77777777" w:rsidR="0022723F" w:rsidRPr="00B81A28" w:rsidRDefault="0022723F" w:rsidP="00365F35">
            <w:pPr>
              <w:spacing w:before="40" w:after="40" w:line="320" w:lineRule="atLeast"/>
              <w:rPr>
                <w:rFonts w:ascii="Verdana" w:hAnsi="Verdana"/>
                <w:sz w:val="16"/>
                <w:szCs w:val="16"/>
              </w:rPr>
            </w:pPr>
            <w:r w:rsidRPr="00B81A28">
              <w:rPr>
                <w:rFonts w:ascii="Verdana" w:hAnsi="Verdana"/>
                <w:sz w:val="16"/>
                <w:szCs w:val="16"/>
              </w:rPr>
              <w:t>CoreShares PropTrax SAPY</w:t>
            </w:r>
          </w:p>
        </w:tc>
        <w:tc>
          <w:tcPr>
            <w:tcW w:w="1134" w:type="dxa"/>
          </w:tcPr>
          <w:p w14:paraId="7CE07298" w14:textId="5491A960" w:rsidR="0022723F" w:rsidRPr="00B81A28" w:rsidRDefault="00CC1BB6" w:rsidP="00365F35">
            <w:pPr>
              <w:tabs>
                <w:tab w:val="left" w:pos="1050"/>
              </w:tabs>
              <w:spacing w:before="40" w:after="40" w:line="320" w:lineRule="atLeast"/>
              <w:jc w:val="center"/>
              <w:rPr>
                <w:rFonts w:ascii="Verdana" w:hAnsi="Verdana"/>
                <w:sz w:val="16"/>
                <w:szCs w:val="16"/>
              </w:rPr>
            </w:pPr>
            <w:r>
              <w:rPr>
                <w:rFonts w:ascii="Verdana" w:hAnsi="Verdana"/>
                <w:sz w:val="16"/>
                <w:szCs w:val="16"/>
              </w:rPr>
              <w:t>(0,91%)</w:t>
            </w:r>
          </w:p>
        </w:tc>
        <w:tc>
          <w:tcPr>
            <w:tcW w:w="1276" w:type="dxa"/>
          </w:tcPr>
          <w:p w14:paraId="49993265" w14:textId="5D472056"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(4,03%)</w:t>
            </w:r>
          </w:p>
        </w:tc>
        <w:tc>
          <w:tcPr>
            <w:tcW w:w="1134" w:type="dxa"/>
          </w:tcPr>
          <w:p w14:paraId="152F2C3A" w14:textId="4B721D25"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(5,07%)</w:t>
            </w:r>
          </w:p>
        </w:tc>
        <w:tc>
          <w:tcPr>
            <w:tcW w:w="1134" w:type="dxa"/>
          </w:tcPr>
          <w:p w14:paraId="4DC07740" w14:textId="08A379C6"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(25,95%)</w:t>
            </w:r>
          </w:p>
        </w:tc>
        <w:tc>
          <w:tcPr>
            <w:tcW w:w="1134" w:type="dxa"/>
          </w:tcPr>
          <w:p w14:paraId="6BABA558" w14:textId="1E4658B8"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(6,84%)</w:t>
            </w:r>
          </w:p>
        </w:tc>
        <w:tc>
          <w:tcPr>
            <w:tcW w:w="1134" w:type="dxa"/>
            <w:shd w:val="clear" w:color="auto" w:fill="auto"/>
          </w:tcPr>
          <w:p w14:paraId="32F30BAB" w14:textId="5A4680AB"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(1,98%)</w:t>
            </w:r>
          </w:p>
        </w:tc>
        <w:tc>
          <w:tcPr>
            <w:tcW w:w="1134" w:type="dxa"/>
            <w:shd w:val="clear" w:color="auto" w:fill="auto"/>
          </w:tcPr>
          <w:p w14:paraId="31136BC6" w14:textId="030AE1A2"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5,40%</w:t>
            </w:r>
          </w:p>
        </w:tc>
        <w:tc>
          <w:tcPr>
            <w:tcW w:w="1134" w:type="dxa"/>
          </w:tcPr>
          <w:p w14:paraId="511A5DCD" w14:textId="2D301B75"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9,22%</w:t>
            </w:r>
          </w:p>
        </w:tc>
        <w:tc>
          <w:tcPr>
            <w:tcW w:w="1134" w:type="dxa"/>
          </w:tcPr>
          <w:p w14:paraId="7B8D5743" w14:textId="159D1535"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11,26%</w:t>
            </w:r>
          </w:p>
        </w:tc>
      </w:tr>
      <w:tr w:rsidR="0022723F" w:rsidRPr="00B81A28" w14:paraId="3A46D1BE" w14:textId="77777777" w:rsidTr="00365F35">
        <w:tc>
          <w:tcPr>
            <w:tcW w:w="4536" w:type="dxa"/>
          </w:tcPr>
          <w:p w14:paraId="2210F898" w14:textId="77777777" w:rsidR="0022723F" w:rsidRPr="00B81A28" w:rsidRDefault="0022723F" w:rsidP="00365F35">
            <w:pPr>
              <w:spacing w:before="40" w:after="40" w:line="320" w:lineRule="atLeast"/>
              <w:rPr>
                <w:rFonts w:ascii="Verdana" w:hAnsi="Verdana"/>
                <w:sz w:val="16"/>
                <w:szCs w:val="16"/>
              </w:rPr>
            </w:pPr>
            <w:r w:rsidRPr="00B81A28">
              <w:rPr>
                <w:rFonts w:ascii="Verdana" w:hAnsi="Verdana"/>
                <w:sz w:val="16"/>
                <w:szCs w:val="16"/>
              </w:rPr>
              <w:t>CoreShares PropTrax TEN</w:t>
            </w:r>
          </w:p>
        </w:tc>
        <w:tc>
          <w:tcPr>
            <w:tcW w:w="1134" w:type="dxa"/>
          </w:tcPr>
          <w:p w14:paraId="001D994B" w14:textId="65944FD9" w:rsidR="0022723F" w:rsidRPr="00B81A28" w:rsidRDefault="00CC1BB6" w:rsidP="00365F35">
            <w:pPr>
              <w:tabs>
                <w:tab w:val="left" w:pos="1050"/>
              </w:tabs>
              <w:spacing w:before="40" w:after="40" w:line="320" w:lineRule="atLeast"/>
              <w:jc w:val="center"/>
              <w:rPr>
                <w:rFonts w:ascii="Verdana" w:hAnsi="Verdana"/>
                <w:sz w:val="16"/>
                <w:szCs w:val="16"/>
              </w:rPr>
            </w:pPr>
            <w:r>
              <w:rPr>
                <w:rFonts w:ascii="Verdana" w:hAnsi="Verdana"/>
                <w:sz w:val="16"/>
                <w:szCs w:val="16"/>
              </w:rPr>
              <w:t>(2,70%)</w:t>
            </w:r>
          </w:p>
        </w:tc>
        <w:tc>
          <w:tcPr>
            <w:tcW w:w="1276" w:type="dxa"/>
          </w:tcPr>
          <w:p w14:paraId="0A8E7CF5" w14:textId="44528839"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(3,50%)</w:t>
            </w:r>
          </w:p>
        </w:tc>
        <w:tc>
          <w:tcPr>
            <w:tcW w:w="1134" w:type="dxa"/>
          </w:tcPr>
          <w:p w14:paraId="175C8B04" w14:textId="78695A88"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(4,87%)</w:t>
            </w:r>
          </w:p>
        </w:tc>
        <w:tc>
          <w:tcPr>
            <w:tcW w:w="1134" w:type="dxa"/>
          </w:tcPr>
          <w:p w14:paraId="544DC94C" w14:textId="16C6F0CC"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(25,34%)</w:t>
            </w:r>
          </w:p>
        </w:tc>
        <w:tc>
          <w:tcPr>
            <w:tcW w:w="1134" w:type="dxa"/>
          </w:tcPr>
          <w:p w14:paraId="473043AF" w14:textId="7D8008AF"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(7,96%)</w:t>
            </w:r>
          </w:p>
        </w:tc>
        <w:tc>
          <w:tcPr>
            <w:tcW w:w="1134" w:type="dxa"/>
            <w:shd w:val="clear" w:color="auto" w:fill="auto"/>
          </w:tcPr>
          <w:p w14:paraId="21A17548" w14:textId="6BAFC611"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(2,17%)</w:t>
            </w:r>
          </w:p>
        </w:tc>
        <w:tc>
          <w:tcPr>
            <w:tcW w:w="1134" w:type="dxa"/>
            <w:shd w:val="clear" w:color="auto" w:fill="auto"/>
          </w:tcPr>
          <w:p w14:paraId="4A1D036D" w14:textId="19DB762C"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6,86%</w:t>
            </w:r>
          </w:p>
        </w:tc>
        <w:tc>
          <w:tcPr>
            <w:tcW w:w="1134" w:type="dxa"/>
          </w:tcPr>
          <w:p w14:paraId="5619563F" w14:textId="36C920FE"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10,12%</w:t>
            </w:r>
          </w:p>
        </w:tc>
        <w:tc>
          <w:tcPr>
            <w:tcW w:w="1134" w:type="dxa"/>
          </w:tcPr>
          <w:p w14:paraId="250E8D13"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r>
      <w:tr w:rsidR="0022723F" w:rsidRPr="00B81A28" w14:paraId="7E4626B7" w14:textId="77777777" w:rsidTr="00365F35">
        <w:tc>
          <w:tcPr>
            <w:tcW w:w="4536" w:type="dxa"/>
          </w:tcPr>
          <w:p w14:paraId="49E93692" w14:textId="77777777" w:rsidR="0022723F" w:rsidRPr="00B81A28" w:rsidRDefault="0022723F" w:rsidP="00365F35">
            <w:pPr>
              <w:spacing w:before="40" w:after="40" w:line="320" w:lineRule="atLeast"/>
              <w:rPr>
                <w:rFonts w:ascii="Verdana" w:hAnsi="Verdana"/>
                <w:sz w:val="16"/>
                <w:szCs w:val="16"/>
              </w:rPr>
            </w:pPr>
            <w:r w:rsidRPr="00B81A28">
              <w:rPr>
                <w:rFonts w:ascii="Verdana" w:hAnsi="Verdana"/>
                <w:sz w:val="16"/>
                <w:szCs w:val="16"/>
              </w:rPr>
              <w:t>Satrix Property</w:t>
            </w:r>
          </w:p>
        </w:tc>
        <w:tc>
          <w:tcPr>
            <w:tcW w:w="1134" w:type="dxa"/>
          </w:tcPr>
          <w:p w14:paraId="12DF62FF" w14:textId="42AF5AB1" w:rsidR="0022723F" w:rsidRPr="00B81A28" w:rsidRDefault="00CC1BB6" w:rsidP="00365F35">
            <w:pPr>
              <w:tabs>
                <w:tab w:val="left" w:pos="1050"/>
              </w:tabs>
              <w:spacing w:before="40" w:after="40" w:line="320" w:lineRule="atLeast"/>
              <w:jc w:val="center"/>
              <w:rPr>
                <w:rFonts w:ascii="Verdana" w:hAnsi="Verdana"/>
                <w:sz w:val="16"/>
                <w:szCs w:val="16"/>
              </w:rPr>
            </w:pPr>
            <w:r>
              <w:rPr>
                <w:rFonts w:ascii="Verdana" w:hAnsi="Verdana"/>
                <w:sz w:val="16"/>
                <w:szCs w:val="16"/>
              </w:rPr>
              <w:t>(1,11%)</w:t>
            </w:r>
          </w:p>
        </w:tc>
        <w:tc>
          <w:tcPr>
            <w:tcW w:w="1276" w:type="dxa"/>
          </w:tcPr>
          <w:p w14:paraId="1EE58FF4" w14:textId="2F90FC77"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(7,03%)</w:t>
            </w:r>
          </w:p>
        </w:tc>
        <w:tc>
          <w:tcPr>
            <w:tcW w:w="1134" w:type="dxa"/>
          </w:tcPr>
          <w:p w14:paraId="67D049C5" w14:textId="60C2B33C"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(9,04%)</w:t>
            </w:r>
          </w:p>
        </w:tc>
        <w:tc>
          <w:tcPr>
            <w:tcW w:w="1134" w:type="dxa"/>
          </w:tcPr>
          <w:p w14:paraId="3CAB0B5E" w14:textId="3F26EC07"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(22,22%)</w:t>
            </w:r>
          </w:p>
        </w:tc>
        <w:tc>
          <w:tcPr>
            <w:tcW w:w="1134" w:type="dxa"/>
          </w:tcPr>
          <w:p w14:paraId="08DFF835"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1341C1AE"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5CAFDB12"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6174177B"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3DB5B0A3"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r>
      <w:tr w:rsidR="0022723F" w:rsidRPr="00B81A28" w14:paraId="0A36B8FC" w14:textId="77777777" w:rsidTr="00365F35">
        <w:tc>
          <w:tcPr>
            <w:tcW w:w="4536" w:type="dxa"/>
          </w:tcPr>
          <w:p w14:paraId="644841F3" w14:textId="77777777" w:rsidR="0022723F" w:rsidRPr="00B81A28" w:rsidRDefault="0022723F" w:rsidP="00365F35">
            <w:pPr>
              <w:spacing w:before="40" w:after="40" w:line="320" w:lineRule="atLeast"/>
              <w:rPr>
                <w:rFonts w:ascii="Verdana" w:hAnsi="Verdana"/>
                <w:sz w:val="16"/>
                <w:szCs w:val="16"/>
              </w:rPr>
            </w:pPr>
            <w:r w:rsidRPr="00B81A28">
              <w:rPr>
                <w:rFonts w:ascii="Verdana" w:hAnsi="Verdana"/>
                <w:sz w:val="16"/>
                <w:szCs w:val="16"/>
              </w:rPr>
              <w:t>S</w:t>
            </w:r>
            <w:r>
              <w:rPr>
                <w:rFonts w:ascii="Verdana" w:hAnsi="Verdana"/>
                <w:sz w:val="16"/>
                <w:szCs w:val="16"/>
              </w:rPr>
              <w:t>tanlib</w:t>
            </w:r>
            <w:r w:rsidRPr="00B81A28">
              <w:rPr>
                <w:rFonts w:ascii="Verdana" w:hAnsi="Verdana"/>
                <w:sz w:val="16"/>
                <w:szCs w:val="16"/>
              </w:rPr>
              <w:t xml:space="preserve"> Property </w:t>
            </w:r>
          </w:p>
        </w:tc>
        <w:tc>
          <w:tcPr>
            <w:tcW w:w="1134" w:type="dxa"/>
          </w:tcPr>
          <w:p w14:paraId="4316F0B4" w14:textId="4D25A35C" w:rsidR="0022723F" w:rsidRPr="00B81A28" w:rsidRDefault="00CC1BB6" w:rsidP="00365F35">
            <w:pPr>
              <w:tabs>
                <w:tab w:val="left" w:pos="1050"/>
              </w:tabs>
              <w:spacing w:before="40" w:after="40" w:line="320" w:lineRule="atLeast"/>
              <w:jc w:val="center"/>
              <w:rPr>
                <w:rFonts w:ascii="Verdana" w:hAnsi="Verdana"/>
                <w:sz w:val="16"/>
                <w:szCs w:val="16"/>
              </w:rPr>
            </w:pPr>
            <w:r>
              <w:rPr>
                <w:rFonts w:ascii="Verdana" w:hAnsi="Verdana"/>
                <w:sz w:val="16"/>
                <w:szCs w:val="16"/>
              </w:rPr>
              <w:t>(1,01%)</w:t>
            </w:r>
          </w:p>
        </w:tc>
        <w:tc>
          <w:tcPr>
            <w:tcW w:w="1276" w:type="dxa"/>
          </w:tcPr>
          <w:p w14:paraId="621CF2AB" w14:textId="3678C817"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(4,01%</w:t>
            </w:r>
          </w:p>
        </w:tc>
        <w:tc>
          <w:tcPr>
            <w:tcW w:w="1134" w:type="dxa"/>
          </w:tcPr>
          <w:p w14:paraId="0B967CB1" w14:textId="55662AB6"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(5,03%)</w:t>
            </w:r>
          </w:p>
        </w:tc>
        <w:tc>
          <w:tcPr>
            <w:tcW w:w="1134" w:type="dxa"/>
          </w:tcPr>
          <w:p w14:paraId="273A3B5D" w14:textId="3996E2D2"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(25,40%)</w:t>
            </w:r>
          </w:p>
        </w:tc>
        <w:tc>
          <w:tcPr>
            <w:tcW w:w="1134" w:type="dxa"/>
          </w:tcPr>
          <w:p w14:paraId="000426F2" w14:textId="031DB753"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(6,75%)</w:t>
            </w:r>
          </w:p>
        </w:tc>
        <w:tc>
          <w:tcPr>
            <w:tcW w:w="1134" w:type="dxa"/>
            <w:shd w:val="clear" w:color="auto" w:fill="auto"/>
          </w:tcPr>
          <w:p w14:paraId="3A56C252" w14:textId="635DC7A4"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(1,51%)</w:t>
            </w:r>
          </w:p>
        </w:tc>
        <w:tc>
          <w:tcPr>
            <w:tcW w:w="1134" w:type="dxa"/>
            <w:shd w:val="clear" w:color="auto" w:fill="auto"/>
          </w:tcPr>
          <w:p w14:paraId="2D69844E" w14:textId="52DD03BA" w:rsidR="0022723F" w:rsidRPr="00B81A28" w:rsidRDefault="00CC1BB6" w:rsidP="00365F35">
            <w:pPr>
              <w:spacing w:before="40" w:after="40" w:line="320" w:lineRule="atLeast"/>
              <w:jc w:val="center"/>
              <w:rPr>
                <w:rFonts w:ascii="Verdana" w:hAnsi="Verdana"/>
                <w:sz w:val="16"/>
                <w:szCs w:val="16"/>
              </w:rPr>
            </w:pPr>
            <w:r>
              <w:rPr>
                <w:rFonts w:ascii="Verdana" w:hAnsi="Verdana"/>
                <w:sz w:val="16"/>
                <w:szCs w:val="16"/>
              </w:rPr>
              <w:t>5,52%</w:t>
            </w:r>
          </w:p>
        </w:tc>
        <w:tc>
          <w:tcPr>
            <w:tcW w:w="1134" w:type="dxa"/>
          </w:tcPr>
          <w:p w14:paraId="440574BC"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205C2651" w14:textId="77777777" w:rsidR="0022723F" w:rsidRPr="00B81A28" w:rsidRDefault="0022723F" w:rsidP="00365F35">
            <w:pPr>
              <w:spacing w:before="40" w:after="40" w:line="320" w:lineRule="atLeast"/>
              <w:jc w:val="center"/>
              <w:rPr>
                <w:rFonts w:ascii="Verdana" w:hAnsi="Verdana"/>
                <w:sz w:val="16"/>
                <w:szCs w:val="16"/>
              </w:rPr>
            </w:pPr>
            <w:r w:rsidRPr="00B81A28">
              <w:rPr>
                <w:rFonts w:ascii="Verdana" w:hAnsi="Verdana"/>
                <w:sz w:val="16"/>
                <w:szCs w:val="16"/>
              </w:rPr>
              <w:t>-</w:t>
            </w:r>
          </w:p>
        </w:tc>
      </w:tr>
    </w:tbl>
    <w:p w14:paraId="706360EE" w14:textId="77777777" w:rsidR="0022723F" w:rsidRDefault="0022723F" w:rsidP="0022723F">
      <w:pPr>
        <w:rPr>
          <w:rFonts w:ascii="Verdana" w:hAnsi="Verdana"/>
        </w:rPr>
      </w:pPr>
    </w:p>
    <w:p w14:paraId="2F8A6BF2" w14:textId="77777777" w:rsidR="0022723F" w:rsidRDefault="0022723F" w:rsidP="0022723F">
      <w:pPr>
        <w:spacing w:after="160" w:line="259" w:lineRule="auto"/>
        <w:rPr>
          <w:rFonts w:ascii="Verdana" w:hAnsi="Verdana"/>
        </w:rPr>
      </w:pPr>
      <w:r>
        <w:rPr>
          <w:rFonts w:ascii="Verdana" w:hAnsi="Verdana"/>
        </w:rPr>
        <w:br w:type="page"/>
      </w:r>
    </w:p>
    <w:p w14:paraId="6C5BE287" w14:textId="77777777" w:rsidR="0022723F" w:rsidRDefault="0022723F" w:rsidP="0022723F">
      <w:pPr>
        <w:spacing w:after="0" w:line="240" w:lineRule="auto"/>
        <w:rPr>
          <w:rFonts w:ascii="Verdana" w:hAnsi="Verdana"/>
          <w:sz w:val="16"/>
          <w:szCs w:val="16"/>
        </w:rPr>
      </w:pPr>
    </w:p>
    <w:p w14:paraId="1C0E370D" w14:textId="77777777" w:rsidR="0022723F" w:rsidRPr="00B81A28" w:rsidRDefault="0022723F" w:rsidP="0022723F">
      <w:pPr>
        <w:spacing w:after="0" w:line="240" w:lineRule="auto"/>
        <w:rPr>
          <w:rFonts w:ascii="Verdana" w:hAnsi="Verdana"/>
          <w:sz w:val="16"/>
          <w:szCs w:val="16"/>
        </w:rPr>
      </w:pPr>
      <w:r w:rsidRPr="00B81A28">
        <w:rPr>
          <w:rFonts w:ascii="Verdana" w:hAnsi="Verdana"/>
          <w:noProof/>
          <w:lang w:eastAsia="en-ZA"/>
        </w:rPr>
        <w:drawing>
          <wp:inline distT="0" distB="0" distL="0" distR="0" wp14:anchorId="74D6570D" wp14:editId="5DD687A1">
            <wp:extent cx="3057525" cy="642486"/>
            <wp:effectExtent l="0" t="0" r="0" b="5715"/>
            <wp:docPr id="12" name="Picture 1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2723F" w:rsidRPr="00B81A28" w14:paraId="0C81366E" w14:textId="77777777" w:rsidTr="00365F35">
        <w:tc>
          <w:tcPr>
            <w:tcW w:w="14884" w:type="dxa"/>
            <w:gridSpan w:val="10"/>
            <w:shd w:val="clear" w:color="auto" w:fill="CB2229"/>
            <w:vAlign w:val="center"/>
          </w:tcPr>
          <w:p w14:paraId="6862B7AD" w14:textId="77777777" w:rsidR="0022723F" w:rsidRPr="00B81A28" w:rsidRDefault="0022723F" w:rsidP="00365F35">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2E2D4C67" w14:textId="77777777" w:rsidR="0022723F" w:rsidRPr="00B81A28" w:rsidRDefault="0022723F" w:rsidP="00365F35">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w:t>
            </w:r>
            <w:r w:rsidRPr="00B81A28">
              <w:rPr>
                <w:rFonts w:ascii="Verdana" w:hAnsi="Verdana"/>
                <w:b/>
                <w:color w:val="FFFFFF"/>
                <w:sz w:val="20"/>
                <w:szCs w:val="20"/>
              </w:rPr>
              <w:t xml:space="preserve"> 2018</w:t>
            </w:r>
          </w:p>
          <w:p w14:paraId="1AD8DC1E" w14:textId="77777777" w:rsidR="0022723F" w:rsidRPr="00B81A28" w:rsidRDefault="0022723F" w:rsidP="00365F35">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2723F" w:rsidRPr="00B81A28" w14:paraId="22156DF1" w14:textId="77777777" w:rsidTr="00365F35">
        <w:tc>
          <w:tcPr>
            <w:tcW w:w="4536" w:type="dxa"/>
            <w:shd w:val="clear" w:color="auto" w:fill="4C4C4C"/>
          </w:tcPr>
          <w:p w14:paraId="5411D108" w14:textId="77777777" w:rsidR="0022723F" w:rsidRPr="0067766B" w:rsidRDefault="0022723F" w:rsidP="00365F35">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4A8D0D27"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203E6491"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14A4C886"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10AD78DA"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6A01F133"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678F1F98"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78BC03E6"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5FEE8E28"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5DD07B42"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2723F" w:rsidRPr="00B81A28" w14:paraId="250C7E55" w14:textId="77777777" w:rsidTr="00365F35">
        <w:tc>
          <w:tcPr>
            <w:tcW w:w="14884" w:type="dxa"/>
            <w:gridSpan w:val="10"/>
            <w:shd w:val="clear" w:color="auto" w:fill="7583BD"/>
            <w:vAlign w:val="center"/>
          </w:tcPr>
          <w:p w14:paraId="2B277DA9" w14:textId="77777777" w:rsidR="0022723F" w:rsidRPr="00B81A28" w:rsidRDefault="0022723F" w:rsidP="00365F35">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Style / Smart Beta</w:t>
            </w:r>
          </w:p>
        </w:tc>
      </w:tr>
      <w:tr w:rsidR="0022723F" w:rsidRPr="00CE5E68" w14:paraId="4C9275B8" w14:textId="77777777" w:rsidTr="00365F35">
        <w:tc>
          <w:tcPr>
            <w:tcW w:w="4536" w:type="dxa"/>
          </w:tcPr>
          <w:p w14:paraId="6B5756B9" w14:textId="77777777" w:rsidR="0022723F" w:rsidRPr="00CE5E68" w:rsidRDefault="0022723F" w:rsidP="00365F35">
            <w:pPr>
              <w:spacing w:before="40" w:after="40" w:line="300" w:lineRule="atLeast"/>
              <w:rPr>
                <w:rFonts w:ascii="Verdana" w:hAnsi="Verdana"/>
                <w:b/>
                <w:sz w:val="16"/>
                <w:szCs w:val="16"/>
              </w:rPr>
            </w:pPr>
            <w:r>
              <w:rPr>
                <w:rFonts w:ascii="Verdana" w:hAnsi="Verdana"/>
                <w:b/>
                <w:sz w:val="16"/>
                <w:szCs w:val="16"/>
              </w:rPr>
              <w:t>FTSE/JSE All Share Index</w:t>
            </w:r>
          </w:p>
        </w:tc>
        <w:tc>
          <w:tcPr>
            <w:tcW w:w="1134" w:type="dxa"/>
          </w:tcPr>
          <w:p w14:paraId="10A6DADD" w14:textId="4186ECC2" w:rsidR="0022723F" w:rsidRPr="00CE5E68" w:rsidRDefault="00771F58" w:rsidP="00365F35">
            <w:pPr>
              <w:tabs>
                <w:tab w:val="left" w:pos="1050"/>
              </w:tabs>
              <w:spacing w:before="40" w:after="40" w:line="300" w:lineRule="atLeast"/>
              <w:jc w:val="center"/>
              <w:rPr>
                <w:rFonts w:ascii="Verdana" w:hAnsi="Verdana"/>
                <w:b/>
                <w:sz w:val="16"/>
                <w:szCs w:val="16"/>
              </w:rPr>
            </w:pPr>
            <w:r>
              <w:rPr>
                <w:rFonts w:ascii="Verdana" w:hAnsi="Verdana"/>
                <w:b/>
                <w:sz w:val="16"/>
                <w:szCs w:val="16"/>
              </w:rPr>
              <w:t>4,25%</w:t>
            </w:r>
          </w:p>
        </w:tc>
        <w:tc>
          <w:tcPr>
            <w:tcW w:w="1276" w:type="dxa"/>
          </w:tcPr>
          <w:p w14:paraId="6C271A3D" w14:textId="009E051C" w:rsidR="0022723F" w:rsidRPr="00CE5E68" w:rsidRDefault="00771F58" w:rsidP="00365F35">
            <w:pPr>
              <w:spacing w:before="40" w:after="40" w:line="300" w:lineRule="atLeast"/>
              <w:jc w:val="center"/>
              <w:rPr>
                <w:rFonts w:ascii="Verdana" w:hAnsi="Verdana"/>
                <w:b/>
                <w:sz w:val="16"/>
                <w:szCs w:val="16"/>
              </w:rPr>
            </w:pPr>
            <w:r>
              <w:rPr>
                <w:rFonts w:ascii="Verdana" w:hAnsi="Verdana"/>
                <w:b/>
                <w:sz w:val="16"/>
                <w:szCs w:val="16"/>
              </w:rPr>
              <w:t>(4,88%)</w:t>
            </w:r>
          </w:p>
        </w:tc>
        <w:tc>
          <w:tcPr>
            <w:tcW w:w="1134" w:type="dxa"/>
          </w:tcPr>
          <w:p w14:paraId="33267AB7" w14:textId="3BB67308" w:rsidR="0022723F" w:rsidRPr="00CE5E68" w:rsidRDefault="00771F58" w:rsidP="00365F35">
            <w:pPr>
              <w:spacing w:before="40" w:after="40" w:line="300" w:lineRule="atLeast"/>
              <w:jc w:val="center"/>
              <w:rPr>
                <w:rFonts w:ascii="Verdana" w:hAnsi="Verdana"/>
                <w:b/>
                <w:sz w:val="16"/>
                <w:szCs w:val="16"/>
              </w:rPr>
            </w:pPr>
            <w:r>
              <w:rPr>
                <w:rFonts w:ascii="Verdana" w:hAnsi="Verdana"/>
                <w:b/>
                <w:sz w:val="16"/>
                <w:szCs w:val="16"/>
              </w:rPr>
              <w:t>(6,94%)</w:t>
            </w:r>
          </w:p>
        </w:tc>
        <w:tc>
          <w:tcPr>
            <w:tcW w:w="1134" w:type="dxa"/>
          </w:tcPr>
          <w:p w14:paraId="663E8F53" w14:textId="3713DA29" w:rsidR="0022723F" w:rsidRPr="00CE5E68" w:rsidRDefault="00771F58" w:rsidP="00365F35">
            <w:pPr>
              <w:spacing w:before="40" w:after="40" w:line="300" w:lineRule="atLeast"/>
              <w:jc w:val="center"/>
              <w:rPr>
                <w:rFonts w:ascii="Verdana" w:hAnsi="Verdana"/>
                <w:b/>
                <w:sz w:val="16"/>
                <w:szCs w:val="16"/>
              </w:rPr>
            </w:pPr>
            <w:r>
              <w:rPr>
                <w:rFonts w:ascii="Verdana" w:hAnsi="Verdana"/>
                <w:b/>
                <w:sz w:val="16"/>
                <w:szCs w:val="16"/>
              </w:rPr>
              <w:t>(8,53%)</w:t>
            </w:r>
          </w:p>
        </w:tc>
        <w:tc>
          <w:tcPr>
            <w:tcW w:w="1134" w:type="dxa"/>
          </w:tcPr>
          <w:p w14:paraId="090D62FC" w14:textId="0DFE86D9" w:rsidR="0022723F" w:rsidRPr="00CE5E68" w:rsidRDefault="00771F58" w:rsidP="00365F35">
            <w:pPr>
              <w:spacing w:before="40" w:after="40" w:line="300" w:lineRule="atLeast"/>
              <w:jc w:val="center"/>
              <w:rPr>
                <w:rFonts w:ascii="Verdana" w:hAnsi="Verdana"/>
                <w:b/>
                <w:sz w:val="16"/>
                <w:szCs w:val="16"/>
              </w:rPr>
            </w:pPr>
            <w:r>
              <w:rPr>
                <w:rFonts w:ascii="Verdana" w:hAnsi="Verdana"/>
                <w:b/>
                <w:sz w:val="16"/>
                <w:szCs w:val="16"/>
              </w:rPr>
              <w:t>5,19%</w:t>
            </w:r>
          </w:p>
        </w:tc>
        <w:tc>
          <w:tcPr>
            <w:tcW w:w="1134" w:type="dxa"/>
            <w:shd w:val="clear" w:color="auto" w:fill="auto"/>
          </w:tcPr>
          <w:p w14:paraId="619B0C60" w14:textId="6ADDF1F9" w:rsidR="0022723F" w:rsidRPr="00CE5E68" w:rsidRDefault="00771F58" w:rsidP="00365F35">
            <w:pPr>
              <w:spacing w:before="40" w:after="40" w:line="300" w:lineRule="atLeast"/>
              <w:jc w:val="center"/>
              <w:rPr>
                <w:rFonts w:ascii="Verdana" w:hAnsi="Verdana"/>
                <w:b/>
                <w:sz w:val="16"/>
                <w:szCs w:val="16"/>
              </w:rPr>
            </w:pPr>
            <w:r>
              <w:rPr>
                <w:rFonts w:ascii="Verdana" w:hAnsi="Verdana"/>
                <w:b/>
                <w:sz w:val="16"/>
                <w:szCs w:val="16"/>
              </w:rPr>
              <w:t>4,33%</w:t>
            </w:r>
          </w:p>
        </w:tc>
        <w:tc>
          <w:tcPr>
            <w:tcW w:w="1134" w:type="dxa"/>
            <w:shd w:val="clear" w:color="auto" w:fill="auto"/>
          </w:tcPr>
          <w:p w14:paraId="1436ACDF" w14:textId="06FD0B1A" w:rsidR="0022723F" w:rsidRPr="00CE5E68" w:rsidRDefault="00771F58" w:rsidP="00365F35">
            <w:pPr>
              <w:spacing w:before="40" w:after="40" w:line="300" w:lineRule="atLeast"/>
              <w:jc w:val="center"/>
              <w:rPr>
                <w:rFonts w:ascii="Verdana" w:hAnsi="Verdana"/>
                <w:b/>
                <w:sz w:val="16"/>
                <w:szCs w:val="16"/>
              </w:rPr>
            </w:pPr>
            <w:r>
              <w:rPr>
                <w:rFonts w:ascii="Verdana" w:hAnsi="Verdana"/>
                <w:b/>
                <w:sz w:val="16"/>
                <w:szCs w:val="16"/>
              </w:rPr>
              <w:t>5,77%</w:t>
            </w:r>
          </w:p>
        </w:tc>
        <w:tc>
          <w:tcPr>
            <w:tcW w:w="1134" w:type="dxa"/>
          </w:tcPr>
          <w:p w14:paraId="1092B35E" w14:textId="4BFBC814" w:rsidR="0022723F" w:rsidRPr="00CE5E68" w:rsidRDefault="00771F58" w:rsidP="00365F35">
            <w:pPr>
              <w:spacing w:before="40" w:after="40" w:line="300" w:lineRule="atLeast"/>
              <w:jc w:val="center"/>
              <w:rPr>
                <w:rFonts w:ascii="Verdana" w:hAnsi="Verdana"/>
                <w:b/>
                <w:sz w:val="16"/>
                <w:szCs w:val="16"/>
              </w:rPr>
            </w:pPr>
            <w:r>
              <w:rPr>
                <w:rFonts w:ascii="Verdana" w:hAnsi="Verdana"/>
                <w:b/>
                <w:sz w:val="16"/>
                <w:szCs w:val="16"/>
              </w:rPr>
              <w:t>10,69%</w:t>
            </w:r>
          </w:p>
        </w:tc>
        <w:tc>
          <w:tcPr>
            <w:tcW w:w="1134" w:type="dxa"/>
          </w:tcPr>
          <w:p w14:paraId="66F7D425" w14:textId="63971B18" w:rsidR="0022723F" w:rsidRPr="00CE5E68" w:rsidRDefault="00771F58" w:rsidP="00365F35">
            <w:pPr>
              <w:spacing w:before="40" w:after="40" w:line="300" w:lineRule="atLeast"/>
              <w:jc w:val="center"/>
              <w:rPr>
                <w:rFonts w:ascii="Verdana" w:hAnsi="Verdana"/>
                <w:b/>
                <w:sz w:val="16"/>
                <w:szCs w:val="16"/>
              </w:rPr>
            </w:pPr>
            <w:r>
              <w:rPr>
                <w:rFonts w:ascii="Verdana" w:hAnsi="Verdana"/>
                <w:b/>
                <w:sz w:val="16"/>
                <w:szCs w:val="16"/>
              </w:rPr>
              <w:t>12,62%</w:t>
            </w:r>
          </w:p>
        </w:tc>
      </w:tr>
      <w:tr w:rsidR="0022723F" w:rsidRPr="00B81A28" w14:paraId="7B3160DF" w14:textId="77777777" w:rsidTr="00365F35">
        <w:tc>
          <w:tcPr>
            <w:tcW w:w="4536" w:type="dxa"/>
          </w:tcPr>
          <w:p w14:paraId="29BAEB5D"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Equity Momentum Fund (TR)</w:t>
            </w:r>
          </w:p>
        </w:tc>
        <w:tc>
          <w:tcPr>
            <w:tcW w:w="1134" w:type="dxa"/>
          </w:tcPr>
          <w:p w14:paraId="02E40842" w14:textId="1FD9902E" w:rsidR="0022723F" w:rsidRPr="00B81A28" w:rsidRDefault="00771F58" w:rsidP="00365F35">
            <w:pPr>
              <w:tabs>
                <w:tab w:val="left" w:pos="1050"/>
              </w:tabs>
              <w:spacing w:before="40" w:after="40" w:line="300" w:lineRule="atLeast"/>
              <w:jc w:val="center"/>
              <w:rPr>
                <w:rFonts w:ascii="Verdana" w:hAnsi="Verdana"/>
                <w:sz w:val="16"/>
                <w:szCs w:val="16"/>
              </w:rPr>
            </w:pPr>
            <w:r>
              <w:rPr>
                <w:rFonts w:ascii="Verdana" w:hAnsi="Verdana"/>
                <w:sz w:val="16"/>
                <w:szCs w:val="16"/>
              </w:rPr>
              <w:t>7,10</w:t>
            </w:r>
          </w:p>
        </w:tc>
        <w:tc>
          <w:tcPr>
            <w:tcW w:w="1276" w:type="dxa"/>
          </w:tcPr>
          <w:p w14:paraId="011D8BAB" w14:textId="18670AE9" w:rsidR="0022723F" w:rsidRPr="00B81A28" w:rsidRDefault="00771F58" w:rsidP="00365F35">
            <w:pPr>
              <w:spacing w:before="40" w:after="40" w:line="300" w:lineRule="atLeast"/>
              <w:jc w:val="center"/>
              <w:rPr>
                <w:rFonts w:ascii="Verdana" w:hAnsi="Verdana"/>
                <w:sz w:val="16"/>
                <w:szCs w:val="16"/>
              </w:rPr>
            </w:pPr>
            <w:r>
              <w:rPr>
                <w:rFonts w:ascii="Verdana" w:hAnsi="Verdana"/>
                <w:sz w:val="16"/>
                <w:szCs w:val="16"/>
              </w:rPr>
              <w:t>1,16%</w:t>
            </w:r>
          </w:p>
        </w:tc>
        <w:tc>
          <w:tcPr>
            <w:tcW w:w="1134" w:type="dxa"/>
          </w:tcPr>
          <w:p w14:paraId="6583E1BC" w14:textId="2C35515F" w:rsidR="0022723F" w:rsidRPr="00B81A28" w:rsidRDefault="00883298" w:rsidP="00365F35">
            <w:pPr>
              <w:spacing w:before="40" w:after="40" w:line="300" w:lineRule="atLeast"/>
              <w:jc w:val="center"/>
              <w:rPr>
                <w:rFonts w:ascii="Verdana" w:hAnsi="Verdana"/>
                <w:sz w:val="16"/>
                <w:szCs w:val="16"/>
              </w:rPr>
            </w:pPr>
            <w:r>
              <w:rPr>
                <w:rFonts w:ascii="Verdana" w:hAnsi="Verdana"/>
                <w:sz w:val="16"/>
                <w:szCs w:val="16"/>
              </w:rPr>
              <w:t>3,795</w:t>
            </w:r>
          </w:p>
        </w:tc>
        <w:tc>
          <w:tcPr>
            <w:tcW w:w="1134" w:type="dxa"/>
          </w:tcPr>
          <w:p w14:paraId="0F77C621" w14:textId="5B01BCE0" w:rsidR="0022723F" w:rsidRPr="00B81A28" w:rsidRDefault="00883298" w:rsidP="00365F35">
            <w:pPr>
              <w:spacing w:before="40" w:after="40" w:line="300" w:lineRule="atLeast"/>
              <w:jc w:val="center"/>
              <w:rPr>
                <w:rFonts w:ascii="Verdana" w:hAnsi="Verdana"/>
                <w:sz w:val="16"/>
                <w:szCs w:val="16"/>
              </w:rPr>
            </w:pPr>
            <w:r>
              <w:rPr>
                <w:rFonts w:ascii="Verdana" w:hAnsi="Verdana"/>
                <w:sz w:val="16"/>
                <w:szCs w:val="16"/>
              </w:rPr>
              <w:t>(14,50%)</w:t>
            </w:r>
          </w:p>
        </w:tc>
        <w:tc>
          <w:tcPr>
            <w:tcW w:w="1134" w:type="dxa"/>
          </w:tcPr>
          <w:p w14:paraId="00F8A8BF" w14:textId="648B0950" w:rsidR="0022723F" w:rsidRPr="00B81A28" w:rsidRDefault="00883298" w:rsidP="00365F35">
            <w:pPr>
              <w:spacing w:before="40" w:after="40" w:line="300" w:lineRule="atLeast"/>
              <w:jc w:val="center"/>
              <w:rPr>
                <w:rFonts w:ascii="Verdana" w:hAnsi="Verdana"/>
                <w:sz w:val="16"/>
                <w:szCs w:val="16"/>
              </w:rPr>
            </w:pPr>
            <w:r>
              <w:rPr>
                <w:rFonts w:ascii="Verdana" w:hAnsi="Verdana"/>
                <w:sz w:val="16"/>
                <w:szCs w:val="16"/>
              </w:rPr>
              <w:t>2,62%</w:t>
            </w:r>
          </w:p>
        </w:tc>
        <w:tc>
          <w:tcPr>
            <w:tcW w:w="1134" w:type="dxa"/>
            <w:shd w:val="clear" w:color="auto" w:fill="auto"/>
          </w:tcPr>
          <w:p w14:paraId="5E6E692C" w14:textId="71129146" w:rsidR="0022723F" w:rsidRPr="00B81A28" w:rsidRDefault="00883298" w:rsidP="00365F35">
            <w:pPr>
              <w:spacing w:before="40" w:after="40" w:line="300" w:lineRule="atLeast"/>
              <w:jc w:val="center"/>
              <w:rPr>
                <w:rFonts w:ascii="Verdana" w:hAnsi="Verdana"/>
                <w:sz w:val="16"/>
                <w:szCs w:val="16"/>
              </w:rPr>
            </w:pPr>
            <w:r>
              <w:rPr>
                <w:rFonts w:ascii="Verdana" w:hAnsi="Verdana"/>
                <w:sz w:val="16"/>
                <w:szCs w:val="16"/>
              </w:rPr>
              <w:t>2,26%</w:t>
            </w:r>
          </w:p>
        </w:tc>
        <w:tc>
          <w:tcPr>
            <w:tcW w:w="1134" w:type="dxa"/>
            <w:shd w:val="clear" w:color="auto" w:fill="auto"/>
          </w:tcPr>
          <w:p w14:paraId="4CC5A942" w14:textId="60CD54D4" w:rsidR="0022723F" w:rsidRPr="00B81A28" w:rsidRDefault="00883298" w:rsidP="00365F35">
            <w:pPr>
              <w:spacing w:before="40" w:after="40" w:line="300" w:lineRule="atLeast"/>
              <w:jc w:val="center"/>
              <w:rPr>
                <w:rFonts w:ascii="Verdana" w:hAnsi="Verdana"/>
                <w:sz w:val="16"/>
                <w:szCs w:val="16"/>
              </w:rPr>
            </w:pPr>
            <w:r>
              <w:rPr>
                <w:rFonts w:ascii="Verdana" w:hAnsi="Verdana"/>
                <w:sz w:val="16"/>
                <w:szCs w:val="16"/>
              </w:rPr>
              <w:t>4,07%</w:t>
            </w:r>
          </w:p>
        </w:tc>
        <w:tc>
          <w:tcPr>
            <w:tcW w:w="1134" w:type="dxa"/>
          </w:tcPr>
          <w:p w14:paraId="55FB19F9"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D204CDC"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36A239AD" w14:textId="77777777" w:rsidTr="00365F35">
        <w:tc>
          <w:tcPr>
            <w:tcW w:w="4536" w:type="dxa"/>
          </w:tcPr>
          <w:p w14:paraId="305E39C2"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 NewFunds Low Volatility (TR)</w:t>
            </w:r>
          </w:p>
        </w:tc>
        <w:tc>
          <w:tcPr>
            <w:tcW w:w="1134" w:type="dxa"/>
          </w:tcPr>
          <w:p w14:paraId="29DA8CF0" w14:textId="25B7A308" w:rsidR="0022723F" w:rsidRPr="00B81A28" w:rsidRDefault="002E22C6" w:rsidP="00365F35">
            <w:pPr>
              <w:tabs>
                <w:tab w:val="left" w:pos="1050"/>
              </w:tabs>
              <w:spacing w:before="40" w:after="40" w:line="300" w:lineRule="atLeast"/>
              <w:jc w:val="center"/>
              <w:rPr>
                <w:rFonts w:ascii="Verdana" w:hAnsi="Verdana"/>
                <w:sz w:val="16"/>
                <w:szCs w:val="16"/>
              </w:rPr>
            </w:pPr>
            <w:r>
              <w:rPr>
                <w:rFonts w:ascii="Verdana" w:hAnsi="Verdana"/>
                <w:sz w:val="16"/>
                <w:szCs w:val="16"/>
              </w:rPr>
              <w:t>1,75%</w:t>
            </w:r>
          </w:p>
        </w:tc>
        <w:tc>
          <w:tcPr>
            <w:tcW w:w="1276" w:type="dxa"/>
          </w:tcPr>
          <w:p w14:paraId="405D9546" w14:textId="0FF82294"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(5,97%)</w:t>
            </w:r>
          </w:p>
        </w:tc>
        <w:tc>
          <w:tcPr>
            <w:tcW w:w="1134" w:type="dxa"/>
          </w:tcPr>
          <w:p w14:paraId="61348036" w14:textId="5EAF84EC"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(8,82%)</w:t>
            </w:r>
          </w:p>
        </w:tc>
        <w:tc>
          <w:tcPr>
            <w:tcW w:w="1134" w:type="dxa"/>
          </w:tcPr>
          <w:p w14:paraId="36277308"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274C476"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4A1B270"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A476F24"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17FAD0B"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A1E474D"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2345637D" w14:textId="77777777" w:rsidTr="00365F35">
        <w:tc>
          <w:tcPr>
            <w:tcW w:w="4536" w:type="dxa"/>
          </w:tcPr>
          <w:p w14:paraId="088B807C"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NewSA</w:t>
            </w:r>
          </w:p>
        </w:tc>
        <w:tc>
          <w:tcPr>
            <w:tcW w:w="1134" w:type="dxa"/>
          </w:tcPr>
          <w:p w14:paraId="6ACCD855" w14:textId="2880DA57" w:rsidR="0022723F" w:rsidRPr="00B81A28" w:rsidRDefault="002E22C6" w:rsidP="00365F35">
            <w:pPr>
              <w:tabs>
                <w:tab w:val="left" w:pos="1050"/>
              </w:tabs>
              <w:spacing w:before="40" w:after="40" w:line="300" w:lineRule="atLeast"/>
              <w:jc w:val="center"/>
              <w:rPr>
                <w:rFonts w:ascii="Verdana" w:hAnsi="Verdana"/>
                <w:sz w:val="16"/>
                <w:szCs w:val="16"/>
              </w:rPr>
            </w:pPr>
            <w:r>
              <w:rPr>
                <w:rFonts w:ascii="Verdana" w:hAnsi="Verdana"/>
                <w:sz w:val="16"/>
                <w:szCs w:val="16"/>
              </w:rPr>
              <w:t>2,57%</w:t>
            </w:r>
          </w:p>
        </w:tc>
        <w:tc>
          <w:tcPr>
            <w:tcW w:w="1276" w:type="dxa"/>
          </w:tcPr>
          <w:p w14:paraId="4F941310" w14:textId="3526F5EE"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(4,09%)</w:t>
            </w:r>
          </w:p>
        </w:tc>
        <w:tc>
          <w:tcPr>
            <w:tcW w:w="1134" w:type="dxa"/>
          </w:tcPr>
          <w:p w14:paraId="7EAC3316" w14:textId="51ABE406"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(8,965)</w:t>
            </w:r>
          </w:p>
        </w:tc>
        <w:tc>
          <w:tcPr>
            <w:tcW w:w="1134" w:type="dxa"/>
          </w:tcPr>
          <w:p w14:paraId="2F30D0E0" w14:textId="2E5CD570"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(12,73%)</w:t>
            </w:r>
          </w:p>
        </w:tc>
        <w:tc>
          <w:tcPr>
            <w:tcW w:w="1134" w:type="dxa"/>
          </w:tcPr>
          <w:p w14:paraId="7EC9DAD7" w14:textId="3B31D92B"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1,36%</w:t>
            </w:r>
          </w:p>
        </w:tc>
        <w:tc>
          <w:tcPr>
            <w:tcW w:w="1134" w:type="dxa"/>
            <w:shd w:val="clear" w:color="auto" w:fill="auto"/>
          </w:tcPr>
          <w:p w14:paraId="20DD7686" w14:textId="2B2652F1"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2,30%</w:t>
            </w:r>
          </w:p>
        </w:tc>
        <w:tc>
          <w:tcPr>
            <w:tcW w:w="1134" w:type="dxa"/>
            <w:shd w:val="clear" w:color="auto" w:fill="auto"/>
          </w:tcPr>
          <w:p w14:paraId="6B18B570" w14:textId="4F589221"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2,65%</w:t>
            </w:r>
          </w:p>
        </w:tc>
        <w:tc>
          <w:tcPr>
            <w:tcW w:w="1134" w:type="dxa"/>
          </w:tcPr>
          <w:p w14:paraId="2DF583D2" w14:textId="510508E0"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9,56%</w:t>
            </w:r>
          </w:p>
        </w:tc>
        <w:tc>
          <w:tcPr>
            <w:tcW w:w="1134" w:type="dxa"/>
          </w:tcPr>
          <w:p w14:paraId="3ECEEC20" w14:textId="221F6E95"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10,91%</w:t>
            </w:r>
          </w:p>
        </w:tc>
      </w:tr>
      <w:tr w:rsidR="0022723F" w:rsidRPr="00B81A28" w14:paraId="28E70F58" w14:textId="77777777" w:rsidTr="00365F35">
        <w:tc>
          <w:tcPr>
            <w:tcW w:w="4536" w:type="dxa"/>
          </w:tcPr>
          <w:p w14:paraId="38068069"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Shari’ah Top 40</w:t>
            </w:r>
          </w:p>
        </w:tc>
        <w:tc>
          <w:tcPr>
            <w:tcW w:w="1134" w:type="dxa"/>
          </w:tcPr>
          <w:p w14:paraId="6C79195A" w14:textId="1BD34735" w:rsidR="0022723F" w:rsidRPr="00B81A28" w:rsidRDefault="002E22C6" w:rsidP="00365F35">
            <w:pPr>
              <w:tabs>
                <w:tab w:val="left" w:pos="1050"/>
              </w:tabs>
              <w:spacing w:before="40" w:after="40" w:line="300" w:lineRule="atLeast"/>
              <w:jc w:val="center"/>
              <w:rPr>
                <w:rFonts w:ascii="Verdana" w:hAnsi="Verdana"/>
                <w:sz w:val="16"/>
                <w:szCs w:val="16"/>
              </w:rPr>
            </w:pPr>
            <w:r>
              <w:rPr>
                <w:rFonts w:ascii="Verdana" w:hAnsi="Verdana"/>
                <w:sz w:val="16"/>
                <w:szCs w:val="16"/>
              </w:rPr>
              <w:t>9,64%</w:t>
            </w:r>
          </w:p>
        </w:tc>
        <w:tc>
          <w:tcPr>
            <w:tcW w:w="1276" w:type="dxa"/>
          </w:tcPr>
          <w:p w14:paraId="7CCE9065" w14:textId="4D671C69"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(4,56%)</w:t>
            </w:r>
          </w:p>
        </w:tc>
        <w:tc>
          <w:tcPr>
            <w:tcW w:w="1134" w:type="dxa"/>
          </w:tcPr>
          <w:p w14:paraId="1B8678E4" w14:textId="50657491"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(3,66%)</w:t>
            </w:r>
          </w:p>
        </w:tc>
        <w:tc>
          <w:tcPr>
            <w:tcW w:w="1134" w:type="dxa"/>
          </w:tcPr>
          <w:p w14:paraId="10D88298" w14:textId="6AB4A8C3"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3,98%</w:t>
            </w:r>
          </w:p>
        </w:tc>
        <w:tc>
          <w:tcPr>
            <w:tcW w:w="1134" w:type="dxa"/>
          </w:tcPr>
          <w:p w14:paraId="5D16CACC" w14:textId="70C4EE95"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3,91%</w:t>
            </w:r>
          </w:p>
        </w:tc>
        <w:tc>
          <w:tcPr>
            <w:tcW w:w="1134" w:type="dxa"/>
            <w:shd w:val="clear" w:color="auto" w:fill="auto"/>
          </w:tcPr>
          <w:p w14:paraId="4E6EDC2F" w14:textId="39243D61"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6,78%</w:t>
            </w:r>
          </w:p>
        </w:tc>
        <w:tc>
          <w:tcPr>
            <w:tcW w:w="1134" w:type="dxa"/>
            <w:shd w:val="clear" w:color="auto" w:fill="auto"/>
          </w:tcPr>
          <w:p w14:paraId="0E01DC61" w14:textId="53D238FD"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(1,51%)</w:t>
            </w:r>
          </w:p>
        </w:tc>
        <w:tc>
          <w:tcPr>
            <w:tcW w:w="1134" w:type="dxa"/>
          </w:tcPr>
          <w:p w14:paraId="78703EE4" w14:textId="09053731"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3,36%</w:t>
            </w:r>
          </w:p>
        </w:tc>
        <w:tc>
          <w:tcPr>
            <w:tcW w:w="1134" w:type="dxa"/>
          </w:tcPr>
          <w:p w14:paraId="05299FE0"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36174796" w14:textId="77777777" w:rsidTr="00365F35">
        <w:tc>
          <w:tcPr>
            <w:tcW w:w="4536" w:type="dxa"/>
          </w:tcPr>
          <w:p w14:paraId="43447AEF"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 NewFunds Value Equity (TR)</w:t>
            </w:r>
          </w:p>
        </w:tc>
        <w:tc>
          <w:tcPr>
            <w:tcW w:w="1134" w:type="dxa"/>
          </w:tcPr>
          <w:p w14:paraId="352D061B" w14:textId="3908D747" w:rsidR="0022723F" w:rsidRPr="00B81A28" w:rsidRDefault="002E22C6" w:rsidP="00365F35">
            <w:pPr>
              <w:tabs>
                <w:tab w:val="left" w:pos="1050"/>
              </w:tabs>
              <w:spacing w:before="40" w:after="40" w:line="300" w:lineRule="atLeast"/>
              <w:jc w:val="center"/>
              <w:rPr>
                <w:rFonts w:ascii="Verdana" w:hAnsi="Verdana"/>
                <w:sz w:val="16"/>
                <w:szCs w:val="16"/>
              </w:rPr>
            </w:pPr>
            <w:r>
              <w:rPr>
                <w:rFonts w:ascii="Verdana" w:hAnsi="Verdana"/>
                <w:sz w:val="16"/>
                <w:szCs w:val="16"/>
              </w:rPr>
              <w:t>3,92%</w:t>
            </w:r>
          </w:p>
        </w:tc>
        <w:tc>
          <w:tcPr>
            <w:tcW w:w="1276" w:type="dxa"/>
          </w:tcPr>
          <w:p w14:paraId="1B500723" w14:textId="145FE4EC"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(2,55%)</w:t>
            </w:r>
          </w:p>
        </w:tc>
        <w:tc>
          <w:tcPr>
            <w:tcW w:w="1134" w:type="dxa"/>
          </w:tcPr>
          <w:p w14:paraId="682E8E92" w14:textId="1D91427D"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(4,17%)</w:t>
            </w:r>
          </w:p>
        </w:tc>
        <w:tc>
          <w:tcPr>
            <w:tcW w:w="1134" w:type="dxa"/>
          </w:tcPr>
          <w:p w14:paraId="5D207478"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120FBFB"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96FA49A"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B0A684F"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95079AA"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F5835DD"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11CC0336" w14:textId="77777777" w:rsidTr="00365F35">
        <w:tc>
          <w:tcPr>
            <w:tcW w:w="4536" w:type="dxa"/>
          </w:tcPr>
          <w:p w14:paraId="36221956"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CoreShares </w:t>
            </w:r>
            <w:r>
              <w:rPr>
                <w:rFonts w:ascii="Verdana" w:hAnsi="Verdana"/>
                <w:sz w:val="16"/>
                <w:szCs w:val="16"/>
              </w:rPr>
              <w:t xml:space="preserve">S&amp;P SA </w:t>
            </w:r>
            <w:r w:rsidRPr="00B81A28">
              <w:rPr>
                <w:rFonts w:ascii="Verdana" w:hAnsi="Verdana"/>
                <w:sz w:val="16"/>
                <w:szCs w:val="16"/>
              </w:rPr>
              <w:t>Dividends Aristocrat</w:t>
            </w:r>
          </w:p>
        </w:tc>
        <w:tc>
          <w:tcPr>
            <w:tcW w:w="1134" w:type="dxa"/>
          </w:tcPr>
          <w:p w14:paraId="5532DBE5" w14:textId="7170B006" w:rsidR="0022723F" w:rsidRPr="00B81A28" w:rsidRDefault="002E22C6" w:rsidP="00365F35">
            <w:pPr>
              <w:tabs>
                <w:tab w:val="left" w:pos="1050"/>
              </w:tabs>
              <w:spacing w:before="40" w:after="40" w:line="300" w:lineRule="atLeast"/>
              <w:jc w:val="center"/>
              <w:rPr>
                <w:rFonts w:ascii="Verdana" w:hAnsi="Verdana"/>
                <w:sz w:val="16"/>
                <w:szCs w:val="16"/>
              </w:rPr>
            </w:pPr>
            <w:r>
              <w:rPr>
                <w:rFonts w:ascii="Verdana" w:hAnsi="Verdana"/>
                <w:sz w:val="16"/>
                <w:szCs w:val="16"/>
              </w:rPr>
              <w:t>(0,50%)</w:t>
            </w:r>
          </w:p>
        </w:tc>
        <w:tc>
          <w:tcPr>
            <w:tcW w:w="1276" w:type="dxa"/>
          </w:tcPr>
          <w:p w14:paraId="1B2AD05D" w14:textId="1ADA0C10"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(3,84%)</w:t>
            </w:r>
          </w:p>
        </w:tc>
        <w:tc>
          <w:tcPr>
            <w:tcW w:w="1134" w:type="dxa"/>
          </w:tcPr>
          <w:p w14:paraId="5488300A" w14:textId="55FC3759"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(1,55%)</w:t>
            </w:r>
          </w:p>
        </w:tc>
        <w:tc>
          <w:tcPr>
            <w:tcW w:w="1134" w:type="dxa"/>
          </w:tcPr>
          <w:p w14:paraId="07A7C894" w14:textId="7FEA9F17"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(11,18%)</w:t>
            </w:r>
          </w:p>
        </w:tc>
        <w:tc>
          <w:tcPr>
            <w:tcW w:w="1134" w:type="dxa"/>
          </w:tcPr>
          <w:p w14:paraId="4AC67A2E" w14:textId="47531782"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(1,66%)</w:t>
            </w:r>
          </w:p>
        </w:tc>
        <w:tc>
          <w:tcPr>
            <w:tcW w:w="1134" w:type="dxa"/>
            <w:shd w:val="clear" w:color="auto" w:fill="auto"/>
          </w:tcPr>
          <w:p w14:paraId="3B4A1B31" w14:textId="5F65C22F"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4,55%</w:t>
            </w:r>
          </w:p>
        </w:tc>
        <w:tc>
          <w:tcPr>
            <w:tcW w:w="1134" w:type="dxa"/>
            <w:shd w:val="clear" w:color="auto" w:fill="auto"/>
          </w:tcPr>
          <w:p w14:paraId="2501F088"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675610E"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0193325"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0E003E08" w14:textId="77777777" w:rsidTr="00365F35">
        <w:tc>
          <w:tcPr>
            <w:tcW w:w="4536" w:type="dxa"/>
          </w:tcPr>
          <w:p w14:paraId="5AA3F054"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Satrix DIVI Plus</w:t>
            </w:r>
          </w:p>
        </w:tc>
        <w:tc>
          <w:tcPr>
            <w:tcW w:w="1134" w:type="dxa"/>
          </w:tcPr>
          <w:p w14:paraId="5E47ABD1" w14:textId="7CC3E188" w:rsidR="0022723F" w:rsidRPr="00B81A28" w:rsidRDefault="002E22C6" w:rsidP="00365F35">
            <w:pPr>
              <w:tabs>
                <w:tab w:val="left" w:pos="1050"/>
              </w:tabs>
              <w:spacing w:before="40" w:after="40" w:line="300" w:lineRule="atLeast"/>
              <w:jc w:val="center"/>
              <w:rPr>
                <w:rFonts w:ascii="Verdana" w:hAnsi="Verdana"/>
                <w:sz w:val="16"/>
                <w:szCs w:val="16"/>
              </w:rPr>
            </w:pPr>
            <w:r>
              <w:rPr>
                <w:rFonts w:ascii="Verdana" w:hAnsi="Verdana"/>
                <w:sz w:val="16"/>
                <w:szCs w:val="16"/>
              </w:rPr>
              <w:t>4,59%</w:t>
            </w:r>
          </w:p>
        </w:tc>
        <w:tc>
          <w:tcPr>
            <w:tcW w:w="1276" w:type="dxa"/>
          </w:tcPr>
          <w:p w14:paraId="7E9760F1" w14:textId="0B97B02E"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(0,82%)</w:t>
            </w:r>
          </w:p>
        </w:tc>
        <w:tc>
          <w:tcPr>
            <w:tcW w:w="1134" w:type="dxa"/>
          </w:tcPr>
          <w:p w14:paraId="106EEC99" w14:textId="24E370E8"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2,94%</w:t>
            </w:r>
          </w:p>
        </w:tc>
        <w:tc>
          <w:tcPr>
            <w:tcW w:w="1134" w:type="dxa"/>
          </w:tcPr>
          <w:p w14:paraId="0A77648E" w14:textId="50C5635A"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(2,08%)</w:t>
            </w:r>
          </w:p>
        </w:tc>
        <w:tc>
          <w:tcPr>
            <w:tcW w:w="1134" w:type="dxa"/>
          </w:tcPr>
          <w:p w14:paraId="21594D31" w14:textId="177B35BB"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11,46%</w:t>
            </w:r>
          </w:p>
        </w:tc>
        <w:tc>
          <w:tcPr>
            <w:tcW w:w="1134" w:type="dxa"/>
            <w:shd w:val="clear" w:color="auto" w:fill="auto"/>
          </w:tcPr>
          <w:p w14:paraId="79F30DB7" w14:textId="30633128"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15,52%</w:t>
            </w:r>
          </w:p>
        </w:tc>
        <w:tc>
          <w:tcPr>
            <w:tcW w:w="1134" w:type="dxa"/>
            <w:shd w:val="clear" w:color="auto" w:fill="auto"/>
          </w:tcPr>
          <w:p w14:paraId="7C62192B" w14:textId="0456A880"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6,05%</w:t>
            </w:r>
          </w:p>
        </w:tc>
        <w:tc>
          <w:tcPr>
            <w:tcW w:w="1134" w:type="dxa"/>
          </w:tcPr>
          <w:p w14:paraId="5A6C71D8" w14:textId="76B11FA9"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8,76%</w:t>
            </w:r>
          </w:p>
        </w:tc>
        <w:tc>
          <w:tcPr>
            <w:tcW w:w="1134" w:type="dxa"/>
          </w:tcPr>
          <w:p w14:paraId="0D58429D" w14:textId="228B5D93"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12,44%</w:t>
            </w:r>
          </w:p>
        </w:tc>
      </w:tr>
      <w:tr w:rsidR="0022723F" w:rsidRPr="00B81A28" w14:paraId="1830B781" w14:textId="77777777" w:rsidTr="00365F35">
        <w:tc>
          <w:tcPr>
            <w:tcW w:w="4536" w:type="dxa"/>
          </w:tcPr>
          <w:p w14:paraId="3A5866D7"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Satrix Quality </w:t>
            </w:r>
          </w:p>
        </w:tc>
        <w:tc>
          <w:tcPr>
            <w:tcW w:w="1134" w:type="dxa"/>
          </w:tcPr>
          <w:p w14:paraId="6C6E06D7" w14:textId="2A3FAD03" w:rsidR="0022723F" w:rsidRPr="00B81A28" w:rsidRDefault="002E22C6" w:rsidP="00365F35">
            <w:pPr>
              <w:tabs>
                <w:tab w:val="left" w:pos="1050"/>
              </w:tabs>
              <w:spacing w:before="40" w:after="40" w:line="300" w:lineRule="atLeast"/>
              <w:jc w:val="center"/>
              <w:rPr>
                <w:rFonts w:ascii="Verdana" w:hAnsi="Verdana"/>
                <w:sz w:val="16"/>
                <w:szCs w:val="16"/>
              </w:rPr>
            </w:pPr>
            <w:r>
              <w:rPr>
                <w:rFonts w:ascii="Verdana" w:hAnsi="Verdana"/>
                <w:sz w:val="16"/>
                <w:szCs w:val="16"/>
              </w:rPr>
              <w:t>0,48%</w:t>
            </w:r>
          </w:p>
        </w:tc>
        <w:tc>
          <w:tcPr>
            <w:tcW w:w="1276" w:type="dxa"/>
          </w:tcPr>
          <w:p w14:paraId="540963E9" w14:textId="35B85808"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0,11%</w:t>
            </w:r>
          </w:p>
        </w:tc>
        <w:tc>
          <w:tcPr>
            <w:tcW w:w="1134" w:type="dxa"/>
          </w:tcPr>
          <w:p w14:paraId="074ABA97" w14:textId="47FE5992"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1,06%</w:t>
            </w:r>
          </w:p>
        </w:tc>
        <w:tc>
          <w:tcPr>
            <w:tcW w:w="1134" w:type="dxa"/>
          </w:tcPr>
          <w:p w14:paraId="58E4D745" w14:textId="0E0F0B05"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(9,64%)</w:t>
            </w:r>
          </w:p>
        </w:tc>
        <w:tc>
          <w:tcPr>
            <w:tcW w:w="1134" w:type="dxa"/>
          </w:tcPr>
          <w:p w14:paraId="5E23568B"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CBC0298"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3BC2A82"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4B773EE"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CE71581"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35F3EA85" w14:textId="77777777" w:rsidTr="00365F35">
        <w:tc>
          <w:tcPr>
            <w:tcW w:w="14884" w:type="dxa"/>
            <w:gridSpan w:val="10"/>
            <w:shd w:val="clear" w:color="auto" w:fill="7583BD"/>
          </w:tcPr>
          <w:p w14:paraId="1FFC87D6" w14:textId="77777777" w:rsidR="0022723F" w:rsidRPr="0046155F" w:rsidRDefault="0022723F" w:rsidP="00365F35">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“Balanced” Portfolios</w:t>
            </w:r>
          </w:p>
        </w:tc>
      </w:tr>
      <w:tr w:rsidR="0022723F" w:rsidRPr="00B81A28" w14:paraId="15554A1B" w14:textId="77777777" w:rsidTr="00365F35">
        <w:tc>
          <w:tcPr>
            <w:tcW w:w="4536" w:type="dxa"/>
          </w:tcPr>
          <w:p w14:paraId="6978B89F"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Protect</w:t>
            </w:r>
          </w:p>
        </w:tc>
        <w:tc>
          <w:tcPr>
            <w:tcW w:w="1134" w:type="dxa"/>
          </w:tcPr>
          <w:p w14:paraId="574F9077" w14:textId="1EA6EB71" w:rsidR="0022723F" w:rsidRPr="00B81A28" w:rsidRDefault="002E22C6" w:rsidP="00365F35">
            <w:pPr>
              <w:tabs>
                <w:tab w:val="left" w:pos="1050"/>
              </w:tabs>
              <w:spacing w:before="40" w:after="40" w:line="300" w:lineRule="atLeast"/>
              <w:jc w:val="center"/>
              <w:rPr>
                <w:rFonts w:ascii="Verdana" w:hAnsi="Verdana"/>
                <w:sz w:val="16"/>
                <w:szCs w:val="16"/>
              </w:rPr>
            </w:pPr>
            <w:r>
              <w:rPr>
                <w:rFonts w:ascii="Verdana" w:hAnsi="Verdana"/>
                <w:sz w:val="16"/>
                <w:szCs w:val="16"/>
              </w:rPr>
              <w:t>1,47%</w:t>
            </w:r>
          </w:p>
        </w:tc>
        <w:tc>
          <w:tcPr>
            <w:tcW w:w="1276" w:type="dxa"/>
          </w:tcPr>
          <w:p w14:paraId="226603DE" w14:textId="1CD22D1B"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(1,35%)</w:t>
            </w:r>
          </w:p>
        </w:tc>
        <w:tc>
          <w:tcPr>
            <w:tcW w:w="1134" w:type="dxa"/>
          </w:tcPr>
          <w:p w14:paraId="3EAF1EEF" w14:textId="28A4ABA3"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(2,71%)</w:t>
            </w:r>
          </w:p>
        </w:tc>
        <w:tc>
          <w:tcPr>
            <w:tcW w:w="1134" w:type="dxa"/>
          </w:tcPr>
          <w:p w14:paraId="5F429502" w14:textId="04379DD1"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(4,13%)</w:t>
            </w:r>
          </w:p>
        </w:tc>
        <w:tc>
          <w:tcPr>
            <w:tcW w:w="1134" w:type="dxa"/>
          </w:tcPr>
          <w:p w14:paraId="185B53EE" w14:textId="29A0EC38"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3,58%</w:t>
            </w:r>
          </w:p>
        </w:tc>
        <w:tc>
          <w:tcPr>
            <w:tcW w:w="1134" w:type="dxa"/>
            <w:shd w:val="clear" w:color="auto" w:fill="auto"/>
          </w:tcPr>
          <w:p w14:paraId="02AFA203" w14:textId="6A317793"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3,78%</w:t>
            </w:r>
          </w:p>
        </w:tc>
        <w:tc>
          <w:tcPr>
            <w:tcW w:w="1134" w:type="dxa"/>
            <w:shd w:val="clear" w:color="auto" w:fill="auto"/>
          </w:tcPr>
          <w:p w14:paraId="26E70AAF" w14:textId="1784C1BA"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5,01%</w:t>
            </w:r>
          </w:p>
        </w:tc>
        <w:tc>
          <w:tcPr>
            <w:tcW w:w="1134" w:type="dxa"/>
          </w:tcPr>
          <w:p w14:paraId="08919AE5" w14:textId="458A6770"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7,59%</w:t>
            </w:r>
          </w:p>
        </w:tc>
        <w:tc>
          <w:tcPr>
            <w:tcW w:w="1134" w:type="dxa"/>
          </w:tcPr>
          <w:p w14:paraId="54EFF9F7"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0F4BCBB1" w14:textId="77777777" w:rsidTr="00365F35">
        <w:tc>
          <w:tcPr>
            <w:tcW w:w="4536" w:type="dxa"/>
          </w:tcPr>
          <w:p w14:paraId="0408AB54"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Growth</w:t>
            </w:r>
          </w:p>
        </w:tc>
        <w:tc>
          <w:tcPr>
            <w:tcW w:w="1134" w:type="dxa"/>
          </w:tcPr>
          <w:p w14:paraId="5BA16DDC" w14:textId="17074546" w:rsidR="0022723F" w:rsidRPr="00B81A28" w:rsidRDefault="002E22C6" w:rsidP="00365F35">
            <w:pPr>
              <w:tabs>
                <w:tab w:val="left" w:pos="1050"/>
              </w:tabs>
              <w:spacing w:before="40" w:after="40" w:line="300" w:lineRule="atLeast"/>
              <w:jc w:val="center"/>
              <w:rPr>
                <w:rFonts w:ascii="Verdana" w:hAnsi="Verdana"/>
                <w:sz w:val="16"/>
                <w:szCs w:val="16"/>
              </w:rPr>
            </w:pPr>
            <w:r>
              <w:rPr>
                <w:rFonts w:ascii="Verdana" w:hAnsi="Verdana"/>
                <w:sz w:val="16"/>
                <w:szCs w:val="16"/>
              </w:rPr>
              <w:t>2,30%</w:t>
            </w:r>
          </w:p>
        </w:tc>
        <w:tc>
          <w:tcPr>
            <w:tcW w:w="1276" w:type="dxa"/>
          </w:tcPr>
          <w:p w14:paraId="5B00818A" w14:textId="14892818"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(3,31%)</w:t>
            </w:r>
          </w:p>
        </w:tc>
        <w:tc>
          <w:tcPr>
            <w:tcW w:w="1134" w:type="dxa"/>
          </w:tcPr>
          <w:p w14:paraId="3D766532" w14:textId="0BD72C8E"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(6,28%)</w:t>
            </w:r>
          </w:p>
        </w:tc>
        <w:tc>
          <w:tcPr>
            <w:tcW w:w="1134" w:type="dxa"/>
          </w:tcPr>
          <w:p w14:paraId="021515BF" w14:textId="63A7C719"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(8,95%)</w:t>
            </w:r>
          </w:p>
        </w:tc>
        <w:tc>
          <w:tcPr>
            <w:tcW w:w="1134" w:type="dxa"/>
          </w:tcPr>
          <w:p w14:paraId="7DEFE70C" w14:textId="0A712C66"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4,08%</w:t>
            </w:r>
          </w:p>
        </w:tc>
        <w:tc>
          <w:tcPr>
            <w:tcW w:w="1134" w:type="dxa"/>
            <w:shd w:val="clear" w:color="auto" w:fill="auto"/>
          </w:tcPr>
          <w:p w14:paraId="777FAD12" w14:textId="7AA63781"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3,14%</w:t>
            </w:r>
          </w:p>
        </w:tc>
        <w:tc>
          <w:tcPr>
            <w:tcW w:w="1134" w:type="dxa"/>
            <w:shd w:val="clear" w:color="auto" w:fill="auto"/>
          </w:tcPr>
          <w:p w14:paraId="781F8A17" w14:textId="16D7D41A"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5,02%</w:t>
            </w:r>
          </w:p>
        </w:tc>
        <w:tc>
          <w:tcPr>
            <w:tcW w:w="1134" w:type="dxa"/>
          </w:tcPr>
          <w:p w14:paraId="6D018C9D" w14:textId="34D5C9F5" w:rsidR="0022723F" w:rsidRPr="00B81A28" w:rsidRDefault="002E22C6" w:rsidP="00365F35">
            <w:pPr>
              <w:spacing w:before="40" w:after="40" w:line="300" w:lineRule="atLeast"/>
              <w:jc w:val="center"/>
              <w:rPr>
                <w:rFonts w:ascii="Verdana" w:hAnsi="Verdana"/>
                <w:sz w:val="16"/>
                <w:szCs w:val="16"/>
              </w:rPr>
            </w:pPr>
            <w:r>
              <w:rPr>
                <w:rFonts w:ascii="Verdana" w:hAnsi="Verdana"/>
                <w:sz w:val="16"/>
                <w:szCs w:val="16"/>
              </w:rPr>
              <w:t>9,04%</w:t>
            </w:r>
          </w:p>
        </w:tc>
        <w:tc>
          <w:tcPr>
            <w:tcW w:w="1134" w:type="dxa"/>
          </w:tcPr>
          <w:p w14:paraId="6F7C5167"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35C08D4C" w14:textId="77777777" w:rsidTr="00365F35">
        <w:tc>
          <w:tcPr>
            <w:tcW w:w="14884" w:type="dxa"/>
            <w:gridSpan w:val="10"/>
            <w:shd w:val="clear" w:color="auto" w:fill="7583BD"/>
          </w:tcPr>
          <w:p w14:paraId="69D1EEBC" w14:textId="77777777" w:rsidR="0022723F" w:rsidRPr="0046155F" w:rsidRDefault="0022723F" w:rsidP="00365F35">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“Fundamental” Value</w:t>
            </w:r>
          </w:p>
        </w:tc>
      </w:tr>
      <w:tr w:rsidR="0022723F" w:rsidRPr="00B81A28" w14:paraId="3D14C334" w14:textId="77777777" w:rsidTr="00365F35">
        <w:tc>
          <w:tcPr>
            <w:tcW w:w="4536" w:type="dxa"/>
          </w:tcPr>
          <w:p w14:paraId="36F95EC6"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FINI </w:t>
            </w:r>
            <w:r>
              <w:rPr>
                <w:rFonts w:ascii="Verdana" w:hAnsi="Verdana"/>
                <w:sz w:val="16"/>
                <w:szCs w:val="16"/>
              </w:rPr>
              <w:t>15</w:t>
            </w:r>
          </w:p>
        </w:tc>
        <w:tc>
          <w:tcPr>
            <w:tcW w:w="1134" w:type="dxa"/>
          </w:tcPr>
          <w:p w14:paraId="17B59452" w14:textId="282DA26C" w:rsidR="0022723F" w:rsidRPr="00B81A28" w:rsidRDefault="00001C11" w:rsidP="00365F35">
            <w:pPr>
              <w:tabs>
                <w:tab w:val="left" w:pos="1050"/>
              </w:tabs>
              <w:spacing w:before="40" w:after="40" w:line="300" w:lineRule="atLeast"/>
              <w:jc w:val="center"/>
              <w:rPr>
                <w:rFonts w:ascii="Verdana" w:hAnsi="Verdana"/>
                <w:sz w:val="16"/>
                <w:szCs w:val="16"/>
              </w:rPr>
            </w:pPr>
            <w:r>
              <w:rPr>
                <w:rFonts w:ascii="Verdana" w:hAnsi="Verdana"/>
                <w:sz w:val="16"/>
                <w:szCs w:val="16"/>
              </w:rPr>
              <w:t>(1,65%)</w:t>
            </w:r>
          </w:p>
        </w:tc>
        <w:tc>
          <w:tcPr>
            <w:tcW w:w="1276" w:type="dxa"/>
          </w:tcPr>
          <w:p w14:paraId="2C07BEB8" w14:textId="008F6162"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(7,70%)</w:t>
            </w:r>
          </w:p>
        </w:tc>
        <w:tc>
          <w:tcPr>
            <w:tcW w:w="1134" w:type="dxa"/>
          </w:tcPr>
          <w:p w14:paraId="402C63C6" w14:textId="1C47DFD0"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(6,68%)</w:t>
            </w:r>
          </w:p>
        </w:tc>
        <w:tc>
          <w:tcPr>
            <w:tcW w:w="1134" w:type="dxa"/>
          </w:tcPr>
          <w:p w14:paraId="01FC6EFC" w14:textId="0A858D67"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(12,63%)</w:t>
            </w:r>
          </w:p>
        </w:tc>
        <w:tc>
          <w:tcPr>
            <w:tcW w:w="1134" w:type="dxa"/>
          </w:tcPr>
          <w:p w14:paraId="4C3A7B09" w14:textId="4B1E224A"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(4,74%)</w:t>
            </w:r>
          </w:p>
        </w:tc>
        <w:tc>
          <w:tcPr>
            <w:tcW w:w="1134" w:type="dxa"/>
            <w:shd w:val="clear" w:color="auto" w:fill="auto"/>
          </w:tcPr>
          <w:p w14:paraId="7A8ED8AB" w14:textId="59E77B53"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(8,23%)</w:t>
            </w:r>
          </w:p>
        </w:tc>
        <w:tc>
          <w:tcPr>
            <w:tcW w:w="1134" w:type="dxa"/>
            <w:shd w:val="clear" w:color="auto" w:fill="auto"/>
          </w:tcPr>
          <w:p w14:paraId="551B0524" w14:textId="623BAEA1"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(0,63%)</w:t>
            </w:r>
          </w:p>
        </w:tc>
        <w:tc>
          <w:tcPr>
            <w:tcW w:w="1134" w:type="dxa"/>
          </w:tcPr>
          <w:p w14:paraId="08A11B03" w14:textId="3F72EE82"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8,12%</w:t>
            </w:r>
          </w:p>
        </w:tc>
        <w:tc>
          <w:tcPr>
            <w:tcW w:w="1134" w:type="dxa"/>
          </w:tcPr>
          <w:p w14:paraId="2795E8E8"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5D82AD23" w14:textId="77777777" w:rsidTr="00365F35">
        <w:tc>
          <w:tcPr>
            <w:tcW w:w="4536" w:type="dxa"/>
          </w:tcPr>
          <w:p w14:paraId="60918133"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INDI</w:t>
            </w:r>
            <w:r>
              <w:rPr>
                <w:rFonts w:ascii="Verdana" w:hAnsi="Verdana"/>
                <w:sz w:val="16"/>
                <w:szCs w:val="16"/>
              </w:rPr>
              <w:t xml:space="preserve"> 25</w:t>
            </w:r>
          </w:p>
        </w:tc>
        <w:tc>
          <w:tcPr>
            <w:tcW w:w="1134" w:type="dxa"/>
          </w:tcPr>
          <w:p w14:paraId="49165D2A" w14:textId="31CBF298" w:rsidR="0022723F" w:rsidRPr="00B81A28" w:rsidRDefault="00AB41F1" w:rsidP="00365F35">
            <w:pPr>
              <w:tabs>
                <w:tab w:val="left" w:pos="1050"/>
              </w:tabs>
              <w:spacing w:before="40" w:after="40" w:line="300" w:lineRule="atLeast"/>
              <w:jc w:val="center"/>
              <w:rPr>
                <w:rFonts w:ascii="Verdana" w:hAnsi="Verdana"/>
                <w:sz w:val="16"/>
                <w:szCs w:val="16"/>
              </w:rPr>
            </w:pPr>
            <w:r>
              <w:rPr>
                <w:rFonts w:ascii="Verdana" w:hAnsi="Verdana"/>
                <w:sz w:val="16"/>
                <w:szCs w:val="16"/>
              </w:rPr>
              <w:t>1,76%</w:t>
            </w:r>
          </w:p>
        </w:tc>
        <w:tc>
          <w:tcPr>
            <w:tcW w:w="1276" w:type="dxa"/>
          </w:tcPr>
          <w:p w14:paraId="7A00F3B7" w14:textId="3DFAF648"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(10,57%)</w:t>
            </w:r>
          </w:p>
        </w:tc>
        <w:tc>
          <w:tcPr>
            <w:tcW w:w="1134" w:type="dxa"/>
          </w:tcPr>
          <w:p w14:paraId="11929D0F" w14:textId="2F397B44"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(16,66%)</w:t>
            </w:r>
          </w:p>
        </w:tc>
        <w:tc>
          <w:tcPr>
            <w:tcW w:w="1134" w:type="dxa"/>
          </w:tcPr>
          <w:p w14:paraId="409FF961" w14:textId="016DBC09"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(22,63%)</w:t>
            </w:r>
          </w:p>
        </w:tc>
        <w:tc>
          <w:tcPr>
            <w:tcW w:w="1134" w:type="dxa"/>
          </w:tcPr>
          <w:p w14:paraId="542EC92A" w14:textId="7470EC99"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(12,31%)</w:t>
            </w:r>
          </w:p>
        </w:tc>
        <w:tc>
          <w:tcPr>
            <w:tcW w:w="1134" w:type="dxa"/>
            <w:shd w:val="clear" w:color="auto" w:fill="auto"/>
          </w:tcPr>
          <w:p w14:paraId="21E842AD" w14:textId="6AAD88AF"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(11,37%)</w:t>
            </w:r>
          </w:p>
        </w:tc>
        <w:tc>
          <w:tcPr>
            <w:tcW w:w="1134" w:type="dxa"/>
            <w:shd w:val="clear" w:color="auto" w:fill="auto"/>
          </w:tcPr>
          <w:p w14:paraId="6652A855" w14:textId="647ECE00"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(0,91%)</w:t>
            </w:r>
          </w:p>
        </w:tc>
        <w:tc>
          <w:tcPr>
            <w:tcW w:w="1134" w:type="dxa"/>
          </w:tcPr>
          <w:p w14:paraId="0C10BBA5" w14:textId="52BE01B0"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6,91%</w:t>
            </w:r>
          </w:p>
        </w:tc>
        <w:tc>
          <w:tcPr>
            <w:tcW w:w="1134" w:type="dxa"/>
          </w:tcPr>
          <w:p w14:paraId="78FB5898"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779EE574" w14:textId="77777777" w:rsidTr="00365F35">
        <w:tc>
          <w:tcPr>
            <w:tcW w:w="4536" w:type="dxa"/>
          </w:tcPr>
          <w:p w14:paraId="79390389"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Top 50</w:t>
            </w:r>
          </w:p>
        </w:tc>
        <w:tc>
          <w:tcPr>
            <w:tcW w:w="1134" w:type="dxa"/>
          </w:tcPr>
          <w:p w14:paraId="1B498739" w14:textId="55164CC6" w:rsidR="0022723F" w:rsidRPr="00B81A28" w:rsidRDefault="00AB41F1" w:rsidP="00365F35">
            <w:pPr>
              <w:tabs>
                <w:tab w:val="left" w:pos="1050"/>
              </w:tabs>
              <w:spacing w:before="40" w:after="40" w:line="300" w:lineRule="atLeast"/>
              <w:jc w:val="center"/>
              <w:rPr>
                <w:rFonts w:ascii="Verdana" w:hAnsi="Verdana"/>
                <w:sz w:val="16"/>
                <w:szCs w:val="16"/>
              </w:rPr>
            </w:pPr>
            <w:r>
              <w:rPr>
                <w:rFonts w:ascii="Verdana" w:hAnsi="Verdana"/>
                <w:sz w:val="16"/>
                <w:szCs w:val="16"/>
              </w:rPr>
              <w:t>5,57%</w:t>
            </w:r>
          </w:p>
        </w:tc>
        <w:tc>
          <w:tcPr>
            <w:tcW w:w="1276" w:type="dxa"/>
          </w:tcPr>
          <w:p w14:paraId="6ED55146" w14:textId="42A31C66"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(8,64%)</w:t>
            </w:r>
          </w:p>
        </w:tc>
        <w:tc>
          <w:tcPr>
            <w:tcW w:w="1134" w:type="dxa"/>
          </w:tcPr>
          <w:p w14:paraId="089BD3C8" w14:textId="2EEEC277"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(10,30%)</w:t>
            </w:r>
          </w:p>
        </w:tc>
        <w:tc>
          <w:tcPr>
            <w:tcW w:w="1134" w:type="dxa"/>
          </w:tcPr>
          <w:p w14:paraId="5D18621E" w14:textId="4A5CE4F3"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(10,72%)</w:t>
            </w:r>
          </w:p>
        </w:tc>
        <w:tc>
          <w:tcPr>
            <w:tcW w:w="1134" w:type="dxa"/>
          </w:tcPr>
          <w:p w14:paraId="0B78F729" w14:textId="0CD514CC"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(4,16%)</w:t>
            </w:r>
          </w:p>
        </w:tc>
        <w:tc>
          <w:tcPr>
            <w:tcW w:w="1134" w:type="dxa"/>
            <w:shd w:val="clear" w:color="auto" w:fill="auto"/>
          </w:tcPr>
          <w:p w14:paraId="3AAEA6B4" w14:textId="1FFEA274"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(5,83%)</w:t>
            </w:r>
          </w:p>
        </w:tc>
        <w:tc>
          <w:tcPr>
            <w:tcW w:w="1134" w:type="dxa"/>
            <w:shd w:val="clear" w:color="auto" w:fill="auto"/>
          </w:tcPr>
          <w:p w14:paraId="593E13D1" w14:textId="2E2ED617"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(1,21%)</w:t>
            </w:r>
          </w:p>
        </w:tc>
        <w:tc>
          <w:tcPr>
            <w:tcW w:w="1134" w:type="dxa"/>
          </w:tcPr>
          <w:p w14:paraId="3D8B1D41" w14:textId="70658E6A"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4,63%</w:t>
            </w:r>
          </w:p>
        </w:tc>
        <w:tc>
          <w:tcPr>
            <w:tcW w:w="1134" w:type="dxa"/>
          </w:tcPr>
          <w:p w14:paraId="1CEE28C6" w14:textId="6D5B4A3A"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8,38%</w:t>
            </w:r>
          </w:p>
        </w:tc>
      </w:tr>
      <w:tr w:rsidR="0022723F" w:rsidRPr="00B81A28" w14:paraId="7C3E2505" w14:textId="77777777" w:rsidTr="00365F35">
        <w:tc>
          <w:tcPr>
            <w:tcW w:w="4536" w:type="dxa"/>
          </w:tcPr>
          <w:p w14:paraId="25D595D1"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RESI </w:t>
            </w:r>
          </w:p>
        </w:tc>
        <w:tc>
          <w:tcPr>
            <w:tcW w:w="1134" w:type="dxa"/>
          </w:tcPr>
          <w:p w14:paraId="0DE14460" w14:textId="21C92FA4" w:rsidR="0022723F" w:rsidRPr="00B81A28" w:rsidRDefault="00AB41F1" w:rsidP="00365F35">
            <w:pPr>
              <w:tabs>
                <w:tab w:val="left" w:pos="1050"/>
              </w:tabs>
              <w:spacing w:before="40" w:after="40" w:line="300" w:lineRule="atLeast"/>
              <w:jc w:val="center"/>
              <w:rPr>
                <w:rFonts w:ascii="Verdana" w:hAnsi="Verdana"/>
                <w:sz w:val="16"/>
                <w:szCs w:val="16"/>
              </w:rPr>
            </w:pPr>
            <w:r>
              <w:rPr>
                <w:rFonts w:ascii="Verdana" w:hAnsi="Verdana"/>
                <w:sz w:val="16"/>
                <w:szCs w:val="16"/>
              </w:rPr>
              <w:t>10,94%</w:t>
            </w:r>
          </w:p>
        </w:tc>
        <w:tc>
          <w:tcPr>
            <w:tcW w:w="1276" w:type="dxa"/>
          </w:tcPr>
          <w:p w14:paraId="1608DB5D" w14:textId="62AA357B"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16,28%</w:t>
            </w:r>
          </w:p>
        </w:tc>
        <w:tc>
          <w:tcPr>
            <w:tcW w:w="1134" w:type="dxa"/>
          </w:tcPr>
          <w:p w14:paraId="6CD43302" w14:textId="7911D92E"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(3,19%)</w:t>
            </w:r>
          </w:p>
        </w:tc>
        <w:tc>
          <w:tcPr>
            <w:tcW w:w="1134" w:type="dxa"/>
          </w:tcPr>
          <w:p w14:paraId="23B5C4B8" w14:textId="4DEE5BD0"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10,54%</w:t>
            </w:r>
          </w:p>
        </w:tc>
        <w:tc>
          <w:tcPr>
            <w:tcW w:w="1134" w:type="dxa"/>
          </w:tcPr>
          <w:p w14:paraId="0F489D64" w14:textId="30D3EA6E"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11,40%</w:t>
            </w:r>
          </w:p>
        </w:tc>
        <w:tc>
          <w:tcPr>
            <w:tcW w:w="1134" w:type="dxa"/>
            <w:shd w:val="clear" w:color="auto" w:fill="auto"/>
          </w:tcPr>
          <w:p w14:paraId="6FCAB0EF" w14:textId="021689A3"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20,56%</w:t>
            </w:r>
          </w:p>
        </w:tc>
        <w:tc>
          <w:tcPr>
            <w:tcW w:w="1134" w:type="dxa"/>
            <w:shd w:val="clear" w:color="auto" w:fill="auto"/>
          </w:tcPr>
          <w:p w14:paraId="4DF2B616" w14:textId="77F43450"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8,89%</w:t>
            </w:r>
          </w:p>
        </w:tc>
        <w:tc>
          <w:tcPr>
            <w:tcW w:w="1134" w:type="dxa"/>
          </w:tcPr>
          <w:p w14:paraId="73404E2B" w14:textId="24199660"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9,00%</w:t>
            </w:r>
          </w:p>
        </w:tc>
        <w:tc>
          <w:tcPr>
            <w:tcW w:w="1134" w:type="dxa"/>
          </w:tcPr>
          <w:p w14:paraId="0503C235"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5923A621" w14:textId="77777777" w:rsidTr="00365F35">
        <w:tc>
          <w:tcPr>
            <w:tcW w:w="4536" w:type="dxa"/>
          </w:tcPr>
          <w:p w14:paraId="771F32BD"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Satrix RAFI Total Return</w:t>
            </w:r>
          </w:p>
        </w:tc>
        <w:tc>
          <w:tcPr>
            <w:tcW w:w="1134" w:type="dxa"/>
          </w:tcPr>
          <w:p w14:paraId="02EA7BAB" w14:textId="454E0D59" w:rsidR="0022723F" w:rsidRPr="00B81A28" w:rsidRDefault="00AB41F1" w:rsidP="00365F35">
            <w:pPr>
              <w:tabs>
                <w:tab w:val="left" w:pos="1050"/>
              </w:tabs>
              <w:spacing w:before="40" w:after="40" w:line="300" w:lineRule="atLeast"/>
              <w:jc w:val="center"/>
              <w:rPr>
                <w:rFonts w:ascii="Verdana" w:hAnsi="Verdana"/>
                <w:sz w:val="16"/>
                <w:szCs w:val="16"/>
              </w:rPr>
            </w:pPr>
            <w:r>
              <w:rPr>
                <w:rFonts w:ascii="Verdana" w:hAnsi="Verdana"/>
                <w:sz w:val="16"/>
                <w:szCs w:val="16"/>
              </w:rPr>
              <w:t>5,61%</w:t>
            </w:r>
          </w:p>
        </w:tc>
        <w:tc>
          <w:tcPr>
            <w:tcW w:w="1276" w:type="dxa"/>
          </w:tcPr>
          <w:p w14:paraId="7896FE19" w14:textId="64B2D4A8"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(4,33%)</w:t>
            </w:r>
          </w:p>
        </w:tc>
        <w:tc>
          <w:tcPr>
            <w:tcW w:w="1134" w:type="dxa"/>
          </w:tcPr>
          <w:p w14:paraId="539F0104" w14:textId="588C30F4"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(3,76%)</w:t>
            </w:r>
          </w:p>
        </w:tc>
        <w:tc>
          <w:tcPr>
            <w:tcW w:w="1134" w:type="dxa"/>
          </w:tcPr>
          <w:p w14:paraId="15F6D1A5" w14:textId="081B60F2"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(3,45%)</w:t>
            </w:r>
          </w:p>
        </w:tc>
        <w:tc>
          <w:tcPr>
            <w:tcW w:w="1134" w:type="dxa"/>
          </w:tcPr>
          <w:p w14:paraId="38D55C97" w14:textId="524E7C03"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5,96%</w:t>
            </w:r>
          </w:p>
        </w:tc>
        <w:tc>
          <w:tcPr>
            <w:tcW w:w="1134" w:type="dxa"/>
            <w:shd w:val="clear" w:color="auto" w:fill="auto"/>
          </w:tcPr>
          <w:p w14:paraId="6C4DE8CA" w14:textId="0655EC27"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10,41%</w:t>
            </w:r>
          </w:p>
        </w:tc>
        <w:tc>
          <w:tcPr>
            <w:tcW w:w="1134" w:type="dxa"/>
            <w:shd w:val="clear" w:color="auto" w:fill="auto"/>
          </w:tcPr>
          <w:p w14:paraId="03E888B8" w14:textId="5A45A5A1" w:rsidR="0022723F" w:rsidRPr="00B81A28" w:rsidRDefault="00AB41F1" w:rsidP="00365F35">
            <w:pPr>
              <w:spacing w:before="40" w:after="40" w:line="300" w:lineRule="atLeast"/>
              <w:jc w:val="center"/>
              <w:rPr>
                <w:rFonts w:ascii="Verdana" w:hAnsi="Verdana"/>
                <w:sz w:val="16"/>
                <w:szCs w:val="16"/>
              </w:rPr>
            </w:pPr>
            <w:r>
              <w:rPr>
                <w:rFonts w:ascii="Verdana" w:hAnsi="Verdana"/>
                <w:sz w:val="16"/>
                <w:szCs w:val="16"/>
              </w:rPr>
              <w:t>5,49%</w:t>
            </w:r>
          </w:p>
        </w:tc>
        <w:tc>
          <w:tcPr>
            <w:tcW w:w="1134" w:type="dxa"/>
          </w:tcPr>
          <w:p w14:paraId="0AD1ADB9" w14:textId="482639FB" w:rsidR="0022723F" w:rsidRPr="00B81A28" w:rsidRDefault="00B00451" w:rsidP="00365F35">
            <w:pPr>
              <w:spacing w:before="40" w:after="40" w:line="300" w:lineRule="atLeast"/>
              <w:jc w:val="center"/>
              <w:rPr>
                <w:rFonts w:ascii="Verdana" w:hAnsi="Verdana"/>
                <w:sz w:val="16"/>
                <w:szCs w:val="16"/>
              </w:rPr>
            </w:pPr>
            <w:r>
              <w:rPr>
                <w:rFonts w:ascii="Verdana" w:hAnsi="Verdana"/>
                <w:sz w:val="16"/>
                <w:szCs w:val="16"/>
              </w:rPr>
              <w:t>9,35%</w:t>
            </w:r>
          </w:p>
        </w:tc>
        <w:tc>
          <w:tcPr>
            <w:tcW w:w="1134" w:type="dxa"/>
          </w:tcPr>
          <w:p w14:paraId="2902527F" w14:textId="38985AD4" w:rsidR="0022723F" w:rsidRPr="00B81A28" w:rsidRDefault="00B00451" w:rsidP="00365F35">
            <w:pPr>
              <w:spacing w:before="40" w:after="40" w:line="300" w:lineRule="atLeast"/>
              <w:jc w:val="center"/>
              <w:rPr>
                <w:rFonts w:ascii="Verdana" w:hAnsi="Verdana"/>
                <w:sz w:val="16"/>
                <w:szCs w:val="16"/>
              </w:rPr>
            </w:pPr>
            <w:r>
              <w:rPr>
                <w:rFonts w:ascii="Verdana" w:hAnsi="Verdana"/>
                <w:sz w:val="16"/>
                <w:szCs w:val="16"/>
              </w:rPr>
              <w:t>11,93%</w:t>
            </w:r>
          </w:p>
        </w:tc>
      </w:tr>
    </w:tbl>
    <w:p w14:paraId="47A93194" w14:textId="77777777" w:rsidR="0022723F" w:rsidRPr="00B81A28" w:rsidRDefault="0022723F" w:rsidP="0022723F">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0A1E19B6" wp14:editId="3FCD1603">
            <wp:extent cx="3057525" cy="642486"/>
            <wp:effectExtent l="0" t="0" r="0" b="5715"/>
            <wp:docPr id="13" name="Picture 13"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2723F" w:rsidRPr="00B81A28" w14:paraId="647160BF" w14:textId="77777777" w:rsidTr="00365F35">
        <w:tc>
          <w:tcPr>
            <w:tcW w:w="14884" w:type="dxa"/>
            <w:gridSpan w:val="10"/>
            <w:shd w:val="clear" w:color="auto" w:fill="CB2229"/>
            <w:vAlign w:val="center"/>
          </w:tcPr>
          <w:p w14:paraId="40DFE2B1"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80877AA"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w:t>
            </w:r>
            <w:r w:rsidRPr="00B81A28">
              <w:rPr>
                <w:rFonts w:ascii="Verdana" w:hAnsi="Verdana"/>
                <w:b/>
                <w:color w:val="FFFFFF"/>
                <w:sz w:val="20"/>
                <w:szCs w:val="20"/>
              </w:rPr>
              <w:t xml:space="preserve"> 2018</w:t>
            </w:r>
          </w:p>
          <w:p w14:paraId="27E3AD05"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2723F" w:rsidRPr="00B81A28" w14:paraId="474DC14F" w14:textId="77777777" w:rsidTr="00365F35">
        <w:tc>
          <w:tcPr>
            <w:tcW w:w="4536" w:type="dxa"/>
            <w:shd w:val="clear" w:color="auto" w:fill="4C4C4C"/>
          </w:tcPr>
          <w:p w14:paraId="6C99679C" w14:textId="77777777" w:rsidR="0022723F" w:rsidRPr="0067766B" w:rsidRDefault="0022723F" w:rsidP="00365F35">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5428BEE9"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3A30D892"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7EF13067"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05DAD7AF"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3790F638"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4F428B2C"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46E2061A"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6810FB98"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6E90E27D"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2723F" w:rsidRPr="00B81A28" w14:paraId="7D3F15C5" w14:textId="77777777" w:rsidTr="00365F35">
        <w:tc>
          <w:tcPr>
            <w:tcW w:w="14884" w:type="dxa"/>
            <w:gridSpan w:val="10"/>
            <w:shd w:val="clear" w:color="auto" w:fill="7583BD"/>
          </w:tcPr>
          <w:p w14:paraId="0CFDBCC2" w14:textId="77777777" w:rsidR="0022723F" w:rsidRPr="00971C8D" w:rsidRDefault="0022723F" w:rsidP="00365F35">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Broad Equity Market Access</w:t>
            </w:r>
          </w:p>
        </w:tc>
      </w:tr>
      <w:tr w:rsidR="0022723F" w:rsidRPr="00CE5E68" w14:paraId="4A1F3D46" w14:textId="77777777" w:rsidTr="00365F35">
        <w:tc>
          <w:tcPr>
            <w:tcW w:w="4536" w:type="dxa"/>
          </w:tcPr>
          <w:p w14:paraId="783328B7" w14:textId="77777777" w:rsidR="0022723F" w:rsidRPr="00CE5E68" w:rsidRDefault="0022723F" w:rsidP="00365F35">
            <w:pPr>
              <w:spacing w:before="40" w:after="40" w:line="300" w:lineRule="atLeast"/>
              <w:rPr>
                <w:rFonts w:ascii="Verdana" w:hAnsi="Verdana"/>
                <w:b/>
                <w:sz w:val="16"/>
                <w:szCs w:val="16"/>
              </w:rPr>
            </w:pPr>
            <w:r>
              <w:rPr>
                <w:rFonts w:ascii="Verdana" w:hAnsi="Verdana"/>
                <w:b/>
                <w:sz w:val="16"/>
                <w:szCs w:val="16"/>
              </w:rPr>
              <w:t>MSCI World Index (Rands)</w:t>
            </w:r>
          </w:p>
        </w:tc>
        <w:tc>
          <w:tcPr>
            <w:tcW w:w="1134" w:type="dxa"/>
            <w:vAlign w:val="center"/>
          </w:tcPr>
          <w:p w14:paraId="5DADE1F3" w14:textId="782242E9" w:rsidR="0022723F" w:rsidRPr="00CE5E68" w:rsidRDefault="002B119C" w:rsidP="00365F35">
            <w:pPr>
              <w:tabs>
                <w:tab w:val="left" w:pos="1050"/>
              </w:tabs>
              <w:spacing w:before="40" w:after="40" w:line="300" w:lineRule="atLeast"/>
              <w:jc w:val="center"/>
              <w:rPr>
                <w:rFonts w:ascii="Verdana" w:hAnsi="Verdana"/>
                <w:b/>
                <w:sz w:val="16"/>
                <w:szCs w:val="16"/>
              </w:rPr>
            </w:pPr>
            <w:r>
              <w:rPr>
                <w:rFonts w:ascii="Verdana" w:hAnsi="Verdana"/>
                <w:b/>
                <w:sz w:val="16"/>
                <w:szCs w:val="16"/>
              </w:rPr>
              <w:t>(3,94%)</w:t>
            </w:r>
          </w:p>
        </w:tc>
        <w:tc>
          <w:tcPr>
            <w:tcW w:w="1276" w:type="dxa"/>
            <w:vAlign w:val="center"/>
          </w:tcPr>
          <w:p w14:paraId="72C20FA6" w14:textId="41EC0FB7" w:rsidR="0022723F" w:rsidRPr="00CE5E68" w:rsidRDefault="002B119C" w:rsidP="00365F35">
            <w:pPr>
              <w:spacing w:before="40" w:after="40" w:line="300" w:lineRule="atLeast"/>
              <w:jc w:val="center"/>
              <w:rPr>
                <w:rFonts w:ascii="Verdana" w:hAnsi="Verdana"/>
                <w:b/>
                <w:sz w:val="16"/>
                <w:szCs w:val="16"/>
              </w:rPr>
            </w:pPr>
            <w:r>
              <w:rPr>
                <w:rFonts w:ascii="Verdana" w:hAnsi="Verdana"/>
                <w:b/>
                <w:sz w:val="16"/>
                <w:szCs w:val="16"/>
              </w:rPr>
              <w:t>(12,37%)</w:t>
            </w:r>
          </w:p>
        </w:tc>
        <w:tc>
          <w:tcPr>
            <w:tcW w:w="1134" w:type="dxa"/>
            <w:vAlign w:val="center"/>
          </w:tcPr>
          <w:p w14:paraId="19DF547C" w14:textId="4538E05B" w:rsidR="0022723F" w:rsidRPr="00CE5E68" w:rsidRDefault="002B119C" w:rsidP="00365F35">
            <w:pPr>
              <w:spacing w:before="40" w:after="40" w:line="300" w:lineRule="atLeast"/>
              <w:jc w:val="center"/>
              <w:rPr>
                <w:rFonts w:ascii="Verdana" w:hAnsi="Verdana"/>
                <w:b/>
                <w:sz w:val="16"/>
                <w:szCs w:val="16"/>
              </w:rPr>
            </w:pPr>
            <w:r>
              <w:rPr>
                <w:rFonts w:ascii="Verdana" w:hAnsi="Verdana"/>
                <w:b/>
                <w:sz w:val="16"/>
                <w:szCs w:val="16"/>
              </w:rPr>
              <w:t>(5,01%)</w:t>
            </w:r>
          </w:p>
        </w:tc>
        <w:tc>
          <w:tcPr>
            <w:tcW w:w="1134" w:type="dxa"/>
            <w:vAlign w:val="center"/>
          </w:tcPr>
          <w:p w14:paraId="27B8D238" w14:textId="2A7AA9A0" w:rsidR="0022723F" w:rsidRPr="00CE5E68" w:rsidRDefault="002B119C" w:rsidP="00365F35">
            <w:pPr>
              <w:spacing w:before="40" w:after="40" w:line="300" w:lineRule="atLeast"/>
              <w:jc w:val="center"/>
              <w:rPr>
                <w:rFonts w:ascii="Verdana" w:hAnsi="Verdana"/>
                <w:b/>
                <w:sz w:val="16"/>
                <w:szCs w:val="16"/>
              </w:rPr>
            </w:pPr>
            <w:r>
              <w:rPr>
                <w:rFonts w:ascii="Verdana" w:hAnsi="Verdana"/>
                <w:b/>
                <w:sz w:val="16"/>
                <w:szCs w:val="16"/>
              </w:rPr>
              <w:t>4,13%</w:t>
            </w:r>
          </w:p>
        </w:tc>
        <w:tc>
          <w:tcPr>
            <w:tcW w:w="1134" w:type="dxa"/>
            <w:vAlign w:val="center"/>
          </w:tcPr>
          <w:p w14:paraId="78657885" w14:textId="60B265B3" w:rsidR="0022723F" w:rsidRPr="00CE5E68" w:rsidRDefault="002B119C" w:rsidP="00365F35">
            <w:pPr>
              <w:spacing w:before="40" w:after="40" w:line="300" w:lineRule="atLeast"/>
              <w:jc w:val="center"/>
              <w:rPr>
                <w:rFonts w:ascii="Verdana" w:hAnsi="Verdana"/>
                <w:b/>
                <w:sz w:val="16"/>
                <w:szCs w:val="16"/>
              </w:rPr>
            </w:pPr>
            <w:r>
              <w:rPr>
                <w:rFonts w:ascii="Verdana" w:hAnsi="Verdana"/>
                <w:b/>
                <w:sz w:val="16"/>
                <w:szCs w:val="16"/>
              </w:rPr>
              <w:t>6,70%</w:t>
            </w:r>
          </w:p>
        </w:tc>
        <w:tc>
          <w:tcPr>
            <w:tcW w:w="1134" w:type="dxa"/>
            <w:shd w:val="clear" w:color="auto" w:fill="auto"/>
          </w:tcPr>
          <w:p w14:paraId="67CD7FC6" w14:textId="20A827E9" w:rsidR="0022723F" w:rsidRPr="00CE5E68" w:rsidRDefault="002B119C" w:rsidP="00365F35">
            <w:pPr>
              <w:spacing w:before="40" w:after="40" w:line="300" w:lineRule="atLeast"/>
              <w:jc w:val="center"/>
              <w:rPr>
                <w:rFonts w:ascii="Verdana" w:hAnsi="Verdana"/>
                <w:b/>
                <w:sz w:val="16"/>
                <w:szCs w:val="16"/>
              </w:rPr>
            </w:pPr>
            <w:r>
              <w:rPr>
                <w:rFonts w:ascii="Verdana" w:hAnsi="Verdana"/>
                <w:b/>
                <w:sz w:val="16"/>
                <w:szCs w:val="16"/>
              </w:rPr>
              <w:t>1,38%</w:t>
            </w:r>
          </w:p>
        </w:tc>
        <w:tc>
          <w:tcPr>
            <w:tcW w:w="1134" w:type="dxa"/>
            <w:shd w:val="clear" w:color="auto" w:fill="auto"/>
          </w:tcPr>
          <w:p w14:paraId="51ABB9B4" w14:textId="11C2FABC" w:rsidR="0022723F" w:rsidRPr="00CE5E68" w:rsidRDefault="002B119C" w:rsidP="00365F35">
            <w:pPr>
              <w:spacing w:before="40" w:after="40" w:line="300" w:lineRule="atLeast"/>
              <w:jc w:val="center"/>
              <w:rPr>
                <w:rFonts w:ascii="Verdana" w:hAnsi="Verdana"/>
                <w:b/>
                <w:sz w:val="16"/>
                <w:szCs w:val="16"/>
              </w:rPr>
            </w:pPr>
            <w:r>
              <w:rPr>
                <w:rFonts w:ascii="Verdana" w:hAnsi="Verdana"/>
                <w:b/>
                <w:sz w:val="16"/>
                <w:szCs w:val="16"/>
              </w:rPr>
              <w:t>9,51%</w:t>
            </w:r>
          </w:p>
        </w:tc>
        <w:tc>
          <w:tcPr>
            <w:tcW w:w="1134" w:type="dxa"/>
          </w:tcPr>
          <w:p w14:paraId="44000203" w14:textId="6A99E8F7" w:rsidR="0022723F" w:rsidRPr="00CE5E68" w:rsidRDefault="002B119C" w:rsidP="00365F35">
            <w:pPr>
              <w:spacing w:before="40" w:after="40" w:line="300" w:lineRule="atLeast"/>
              <w:jc w:val="center"/>
              <w:rPr>
                <w:rFonts w:ascii="Verdana" w:hAnsi="Verdana"/>
                <w:b/>
                <w:sz w:val="16"/>
                <w:szCs w:val="16"/>
              </w:rPr>
            </w:pPr>
            <w:r>
              <w:rPr>
                <w:rFonts w:ascii="Verdana" w:hAnsi="Verdana"/>
                <w:b/>
                <w:sz w:val="16"/>
                <w:szCs w:val="16"/>
              </w:rPr>
              <w:t>16,00%</w:t>
            </w:r>
          </w:p>
        </w:tc>
        <w:tc>
          <w:tcPr>
            <w:tcW w:w="1134" w:type="dxa"/>
          </w:tcPr>
          <w:p w14:paraId="4F59FBD7" w14:textId="06260E1B" w:rsidR="0022723F" w:rsidRPr="00CE5E68" w:rsidRDefault="002B119C" w:rsidP="00365F35">
            <w:pPr>
              <w:spacing w:before="40" w:after="40" w:line="300" w:lineRule="atLeast"/>
              <w:jc w:val="center"/>
              <w:rPr>
                <w:rFonts w:ascii="Verdana" w:hAnsi="Verdana"/>
                <w:b/>
                <w:sz w:val="16"/>
                <w:szCs w:val="16"/>
              </w:rPr>
            </w:pPr>
            <w:r>
              <w:rPr>
                <w:rFonts w:ascii="Verdana" w:hAnsi="Verdana"/>
                <w:b/>
                <w:sz w:val="16"/>
                <w:szCs w:val="16"/>
              </w:rPr>
              <w:t>12,24%</w:t>
            </w:r>
          </w:p>
        </w:tc>
      </w:tr>
      <w:tr w:rsidR="0022723F" w:rsidRPr="00B81A28" w14:paraId="57C6BC17" w14:textId="77777777" w:rsidTr="00365F35">
        <w:tc>
          <w:tcPr>
            <w:tcW w:w="4536" w:type="dxa"/>
          </w:tcPr>
          <w:p w14:paraId="2B7E7BED"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Ashburton Global 1200 E</w:t>
            </w:r>
            <w:r>
              <w:rPr>
                <w:rFonts w:ascii="Verdana" w:hAnsi="Verdana"/>
                <w:sz w:val="16"/>
                <w:szCs w:val="16"/>
              </w:rPr>
              <w:t>quity</w:t>
            </w:r>
          </w:p>
        </w:tc>
        <w:tc>
          <w:tcPr>
            <w:tcW w:w="1134" w:type="dxa"/>
            <w:vAlign w:val="center"/>
          </w:tcPr>
          <w:p w14:paraId="2E64F03E" w14:textId="7569D21B" w:rsidR="0022723F" w:rsidRPr="00B81A28" w:rsidRDefault="002B119C" w:rsidP="00365F35">
            <w:pPr>
              <w:tabs>
                <w:tab w:val="left" w:pos="1050"/>
              </w:tabs>
              <w:spacing w:before="40" w:after="40" w:line="300" w:lineRule="atLeast"/>
              <w:jc w:val="center"/>
              <w:rPr>
                <w:rFonts w:ascii="Verdana" w:hAnsi="Verdana"/>
                <w:sz w:val="16"/>
                <w:szCs w:val="16"/>
              </w:rPr>
            </w:pPr>
            <w:r>
              <w:rPr>
                <w:rFonts w:ascii="Verdana" w:hAnsi="Verdana"/>
                <w:sz w:val="16"/>
                <w:szCs w:val="16"/>
              </w:rPr>
              <w:t>(3,51%)</w:t>
            </w:r>
          </w:p>
        </w:tc>
        <w:tc>
          <w:tcPr>
            <w:tcW w:w="1276" w:type="dxa"/>
            <w:vAlign w:val="center"/>
          </w:tcPr>
          <w:p w14:paraId="71613663" w14:textId="7B24CC75"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(12,33%)</w:t>
            </w:r>
          </w:p>
        </w:tc>
        <w:tc>
          <w:tcPr>
            <w:tcW w:w="1134" w:type="dxa"/>
            <w:vAlign w:val="center"/>
          </w:tcPr>
          <w:p w14:paraId="39707930" w14:textId="48D9762F"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(5,93%)</w:t>
            </w:r>
          </w:p>
        </w:tc>
        <w:tc>
          <w:tcPr>
            <w:tcW w:w="1134" w:type="dxa"/>
            <w:vAlign w:val="center"/>
          </w:tcPr>
          <w:p w14:paraId="2AE5FEC8" w14:textId="75C260E4"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4,37%</w:t>
            </w:r>
          </w:p>
        </w:tc>
        <w:tc>
          <w:tcPr>
            <w:tcW w:w="1134" w:type="dxa"/>
            <w:vAlign w:val="center"/>
          </w:tcPr>
          <w:p w14:paraId="546BF80D"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D17E9CE"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97170EF"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0064649"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BC3209C"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62013F4E" w14:textId="77777777" w:rsidTr="00365F35">
        <w:tc>
          <w:tcPr>
            <w:tcW w:w="4536" w:type="dxa"/>
          </w:tcPr>
          <w:p w14:paraId="7E2AA76C"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Cloud Atlas AMI Big50 ex-SA </w:t>
            </w:r>
          </w:p>
        </w:tc>
        <w:tc>
          <w:tcPr>
            <w:tcW w:w="1134" w:type="dxa"/>
            <w:vAlign w:val="center"/>
          </w:tcPr>
          <w:p w14:paraId="4565C588" w14:textId="6D768389" w:rsidR="0022723F" w:rsidRPr="00B81A28" w:rsidRDefault="002B119C" w:rsidP="00365F35">
            <w:pPr>
              <w:tabs>
                <w:tab w:val="left" w:pos="1050"/>
              </w:tabs>
              <w:spacing w:before="40" w:after="40" w:line="300" w:lineRule="atLeast"/>
              <w:jc w:val="center"/>
              <w:rPr>
                <w:rFonts w:ascii="Verdana" w:hAnsi="Verdana"/>
                <w:sz w:val="16"/>
                <w:szCs w:val="16"/>
              </w:rPr>
            </w:pPr>
            <w:r>
              <w:rPr>
                <w:rFonts w:ascii="Verdana" w:hAnsi="Verdana"/>
                <w:sz w:val="16"/>
                <w:szCs w:val="16"/>
              </w:rPr>
              <w:t>14,17%</w:t>
            </w:r>
          </w:p>
        </w:tc>
        <w:tc>
          <w:tcPr>
            <w:tcW w:w="1276" w:type="dxa"/>
            <w:vAlign w:val="center"/>
          </w:tcPr>
          <w:p w14:paraId="6C57D070" w14:textId="750AFFD8"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7,39%</w:t>
            </w:r>
          </w:p>
        </w:tc>
        <w:tc>
          <w:tcPr>
            <w:tcW w:w="1134" w:type="dxa"/>
            <w:vAlign w:val="center"/>
          </w:tcPr>
          <w:p w14:paraId="7FE45750" w14:textId="29650BC2"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5,95%</w:t>
            </w:r>
          </w:p>
        </w:tc>
        <w:tc>
          <w:tcPr>
            <w:tcW w:w="1134" w:type="dxa"/>
            <w:vAlign w:val="center"/>
          </w:tcPr>
          <w:p w14:paraId="75F6975D" w14:textId="2AD135B4"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10,18%</w:t>
            </w:r>
          </w:p>
        </w:tc>
        <w:tc>
          <w:tcPr>
            <w:tcW w:w="1134" w:type="dxa"/>
            <w:vAlign w:val="center"/>
          </w:tcPr>
          <w:p w14:paraId="1019BC01"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64E3786"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1B4DC42"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2729BE1"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1D2E0A8"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05F59711" w14:textId="77777777" w:rsidTr="00365F35">
        <w:tc>
          <w:tcPr>
            <w:tcW w:w="4536" w:type="dxa"/>
          </w:tcPr>
          <w:p w14:paraId="64E68EF7"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CoreShares S&amp;P 500 </w:t>
            </w:r>
          </w:p>
        </w:tc>
        <w:tc>
          <w:tcPr>
            <w:tcW w:w="1134" w:type="dxa"/>
            <w:vAlign w:val="center"/>
          </w:tcPr>
          <w:p w14:paraId="7C078EB1" w14:textId="52C9FF8F" w:rsidR="0022723F" w:rsidRPr="00B81A28" w:rsidRDefault="002B119C" w:rsidP="00365F35">
            <w:pPr>
              <w:tabs>
                <w:tab w:val="left" w:pos="1050"/>
              </w:tabs>
              <w:spacing w:before="40" w:after="40" w:line="300" w:lineRule="atLeast"/>
              <w:jc w:val="center"/>
              <w:rPr>
                <w:rFonts w:ascii="Verdana" w:hAnsi="Verdana"/>
                <w:sz w:val="16"/>
                <w:szCs w:val="16"/>
              </w:rPr>
            </w:pPr>
            <w:r>
              <w:rPr>
                <w:rFonts w:ascii="Verdana" w:hAnsi="Verdana"/>
                <w:sz w:val="16"/>
                <w:szCs w:val="16"/>
              </w:rPr>
              <w:t>(4,20%)</w:t>
            </w:r>
          </w:p>
        </w:tc>
        <w:tc>
          <w:tcPr>
            <w:tcW w:w="1276" w:type="dxa"/>
            <w:vAlign w:val="center"/>
          </w:tcPr>
          <w:p w14:paraId="48FA0AE5" w14:textId="726227D3"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(12,92%)</w:t>
            </w:r>
          </w:p>
        </w:tc>
        <w:tc>
          <w:tcPr>
            <w:tcW w:w="1134" w:type="dxa"/>
            <w:vAlign w:val="center"/>
          </w:tcPr>
          <w:p w14:paraId="3B80D0ED" w14:textId="2BEB9E25"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(4,13%)</w:t>
            </w:r>
          </w:p>
        </w:tc>
        <w:tc>
          <w:tcPr>
            <w:tcW w:w="1134" w:type="dxa"/>
            <w:vAlign w:val="center"/>
          </w:tcPr>
          <w:p w14:paraId="57DBF6DA" w14:textId="213C70D5"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9,76%</w:t>
            </w:r>
          </w:p>
        </w:tc>
        <w:tc>
          <w:tcPr>
            <w:tcW w:w="1134" w:type="dxa"/>
            <w:vAlign w:val="center"/>
          </w:tcPr>
          <w:p w14:paraId="2C99F279" w14:textId="3F50600C"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9,15%</w:t>
            </w:r>
          </w:p>
        </w:tc>
        <w:tc>
          <w:tcPr>
            <w:tcW w:w="1134" w:type="dxa"/>
            <w:shd w:val="clear" w:color="auto" w:fill="auto"/>
          </w:tcPr>
          <w:p w14:paraId="28F7C74D"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4A5A96B"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2613C8C"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75C9610"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481F096B" w14:textId="77777777" w:rsidTr="00365F35">
        <w:tc>
          <w:tcPr>
            <w:tcW w:w="4536" w:type="dxa"/>
          </w:tcPr>
          <w:p w14:paraId="39B123F1"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Satrix MSCI Emerging Markets </w:t>
            </w:r>
          </w:p>
        </w:tc>
        <w:tc>
          <w:tcPr>
            <w:tcW w:w="1134" w:type="dxa"/>
            <w:vAlign w:val="center"/>
          </w:tcPr>
          <w:p w14:paraId="5BBCBA4D" w14:textId="0E2BA7A5" w:rsidR="0022723F" w:rsidRPr="00B81A28" w:rsidRDefault="002B119C" w:rsidP="00365F35">
            <w:pPr>
              <w:tabs>
                <w:tab w:val="left" w:pos="1050"/>
              </w:tabs>
              <w:spacing w:before="40" w:after="40" w:line="300" w:lineRule="atLeast"/>
              <w:jc w:val="center"/>
              <w:rPr>
                <w:rFonts w:ascii="Verdana" w:hAnsi="Verdana"/>
                <w:sz w:val="16"/>
                <w:szCs w:val="16"/>
              </w:rPr>
            </w:pPr>
            <w:r>
              <w:rPr>
                <w:rFonts w:ascii="Verdana" w:hAnsi="Verdana"/>
                <w:sz w:val="16"/>
                <w:szCs w:val="16"/>
              </w:rPr>
              <w:t>2,11%</w:t>
            </w:r>
          </w:p>
        </w:tc>
        <w:tc>
          <w:tcPr>
            <w:tcW w:w="1276" w:type="dxa"/>
            <w:vAlign w:val="center"/>
          </w:tcPr>
          <w:p w14:paraId="72440F6F" w14:textId="12074E6D"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(5,11%)</w:t>
            </w:r>
          </w:p>
        </w:tc>
        <w:tc>
          <w:tcPr>
            <w:tcW w:w="1134" w:type="dxa"/>
            <w:vAlign w:val="center"/>
          </w:tcPr>
          <w:p w14:paraId="38111201" w14:textId="0000D12B"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(2,99%)</w:t>
            </w:r>
          </w:p>
        </w:tc>
        <w:tc>
          <w:tcPr>
            <w:tcW w:w="1134" w:type="dxa"/>
            <w:vAlign w:val="center"/>
          </w:tcPr>
          <w:p w14:paraId="01EC93CC" w14:textId="5542B29F"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(0,51%)</w:t>
            </w:r>
          </w:p>
        </w:tc>
        <w:tc>
          <w:tcPr>
            <w:tcW w:w="1134" w:type="dxa"/>
            <w:vAlign w:val="center"/>
          </w:tcPr>
          <w:p w14:paraId="6BEEAE02"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3E9665B6"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2AC8BF93"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26A36AD"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FC0879A"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434E97A8" w14:textId="77777777" w:rsidTr="00365F35">
        <w:tc>
          <w:tcPr>
            <w:tcW w:w="4536" w:type="dxa"/>
          </w:tcPr>
          <w:p w14:paraId="69B92C0E"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Satrix MSCI World </w:t>
            </w:r>
            <w:r>
              <w:rPr>
                <w:rFonts w:ascii="Verdana" w:hAnsi="Verdana"/>
                <w:sz w:val="16"/>
                <w:szCs w:val="16"/>
              </w:rPr>
              <w:t>Equity Feeder</w:t>
            </w:r>
          </w:p>
        </w:tc>
        <w:tc>
          <w:tcPr>
            <w:tcW w:w="1134" w:type="dxa"/>
            <w:vAlign w:val="center"/>
          </w:tcPr>
          <w:p w14:paraId="7FDBFB49" w14:textId="2622460B" w:rsidR="0022723F" w:rsidRPr="00B81A28" w:rsidRDefault="002B119C" w:rsidP="00365F35">
            <w:pPr>
              <w:tabs>
                <w:tab w:val="left" w:pos="1050"/>
              </w:tabs>
              <w:spacing w:before="40" w:after="40" w:line="300" w:lineRule="atLeast"/>
              <w:jc w:val="center"/>
              <w:rPr>
                <w:rFonts w:ascii="Verdana" w:hAnsi="Verdana"/>
                <w:sz w:val="16"/>
                <w:szCs w:val="16"/>
              </w:rPr>
            </w:pPr>
            <w:r>
              <w:rPr>
                <w:rFonts w:ascii="Verdana" w:hAnsi="Verdana"/>
                <w:sz w:val="16"/>
                <w:szCs w:val="16"/>
              </w:rPr>
              <w:t>(3,39%)</w:t>
            </w:r>
          </w:p>
        </w:tc>
        <w:tc>
          <w:tcPr>
            <w:tcW w:w="1276" w:type="dxa"/>
            <w:vAlign w:val="center"/>
          </w:tcPr>
          <w:p w14:paraId="3544166F" w14:textId="74CD3E7E"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(12,00%)</w:t>
            </w:r>
          </w:p>
        </w:tc>
        <w:tc>
          <w:tcPr>
            <w:tcW w:w="1134" w:type="dxa"/>
            <w:vAlign w:val="center"/>
          </w:tcPr>
          <w:p w14:paraId="101D5DFE" w14:textId="22153A78"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(4,89%)</w:t>
            </w:r>
          </w:p>
        </w:tc>
        <w:tc>
          <w:tcPr>
            <w:tcW w:w="1134" w:type="dxa"/>
            <w:vAlign w:val="center"/>
          </w:tcPr>
          <w:p w14:paraId="51AB9F8E" w14:textId="48502C65" w:rsidR="0022723F" w:rsidRPr="00B81A28" w:rsidRDefault="002B119C" w:rsidP="00365F35">
            <w:pPr>
              <w:spacing w:before="40" w:after="40" w:line="300" w:lineRule="atLeast"/>
              <w:jc w:val="center"/>
              <w:rPr>
                <w:rFonts w:ascii="Verdana" w:hAnsi="Verdana"/>
                <w:sz w:val="16"/>
                <w:szCs w:val="16"/>
              </w:rPr>
            </w:pPr>
            <w:r>
              <w:rPr>
                <w:rFonts w:ascii="Verdana" w:hAnsi="Verdana"/>
                <w:sz w:val="16"/>
                <w:szCs w:val="16"/>
              </w:rPr>
              <w:t>5,54%</w:t>
            </w:r>
          </w:p>
        </w:tc>
        <w:tc>
          <w:tcPr>
            <w:tcW w:w="1134" w:type="dxa"/>
            <w:vAlign w:val="center"/>
          </w:tcPr>
          <w:p w14:paraId="4014F2F6"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EB9A22D"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328F9E3F"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AB6A124"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B50BC24"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09FE2854" w14:textId="77777777" w:rsidTr="00365F35">
        <w:tc>
          <w:tcPr>
            <w:tcW w:w="4536" w:type="dxa"/>
          </w:tcPr>
          <w:p w14:paraId="391CD50F" w14:textId="77777777" w:rsidR="0022723F" w:rsidRPr="00F14A55" w:rsidRDefault="0022723F" w:rsidP="00365F35">
            <w:pPr>
              <w:spacing w:before="40" w:after="40" w:line="300" w:lineRule="atLeast"/>
              <w:rPr>
                <w:rFonts w:ascii="Verdana" w:hAnsi="Verdana"/>
                <w:color w:val="000000" w:themeColor="text1"/>
                <w:sz w:val="16"/>
                <w:szCs w:val="16"/>
              </w:rPr>
            </w:pPr>
            <w:r w:rsidRPr="00B81A28">
              <w:rPr>
                <w:rFonts w:ascii="Verdana" w:hAnsi="Verdana"/>
                <w:sz w:val="16"/>
                <w:szCs w:val="16"/>
              </w:rPr>
              <w:t xml:space="preserve">Satrix S&amp;P 500 </w:t>
            </w:r>
          </w:p>
        </w:tc>
        <w:tc>
          <w:tcPr>
            <w:tcW w:w="1134" w:type="dxa"/>
            <w:vAlign w:val="center"/>
          </w:tcPr>
          <w:p w14:paraId="22266FCD" w14:textId="5AF310D6" w:rsidR="0022723F" w:rsidRPr="00B81A28" w:rsidRDefault="00C3281D" w:rsidP="00365F35">
            <w:pPr>
              <w:tabs>
                <w:tab w:val="left" w:pos="1050"/>
              </w:tabs>
              <w:spacing w:before="40" w:after="40" w:line="300" w:lineRule="atLeast"/>
              <w:jc w:val="center"/>
              <w:rPr>
                <w:rFonts w:ascii="Verdana" w:hAnsi="Verdana"/>
                <w:sz w:val="16"/>
                <w:szCs w:val="16"/>
              </w:rPr>
            </w:pPr>
            <w:r>
              <w:rPr>
                <w:rFonts w:ascii="Verdana" w:hAnsi="Verdana"/>
                <w:sz w:val="16"/>
                <w:szCs w:val="16"/>
              </w:rPr>
              <w:t>(4,81%)</w:t>
            </w:r>
          </w:p>
        </w:tc>
        <w:tc>
          <w:tcPr>
            <w:tcW w:w="1276" w:type="dxa"/>
            <w:vAlign w:val="center"/>
          </w:tcPr>
          <w:p w14:paraId="379BCCA9" w14:textId="1249BE56"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(12,31%)</w:t>
            </w:r>
          </w:p>
        </w:tc>
        <w:tc>
          <w:tcPr>
            <w:tcW w:w="1134" w:type="dxa"/>
            <w:vAlign w:val="center"/>
          </w:tcPr>
          <w:p w14:paraId="6F074A48" w14:textId="6F39F65F"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(3,19%)</w:t>
            </w:r>
          </w:p>
        </w:tc>
        <w:tc>
          <w:tcPr>
            <w:tcW w:w="1134" w:type="dxa"/>
            <w:vAlign w:val="center"/>
          </w:tcPr>
          <w:p w14:paraId="05B992A9" w14:textId="356FB2D0"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9,37%</w:t>
            </w:r>
          </w:p>
        </w:tc>
        <w:tc>
          <w:tcPr>
            <w:tcW w:w="1134" w:type="dxa"/>
            <w:vAlign w:val="center"/>
          </w:tcPr>
          <w:p w14:paraId="3B3C2374"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D28EC9D"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60A03D8"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9427A3D"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6587145"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065CE84F" w14:textId="77777777" w:rsidTr="00365F35">
        <w:tc>
          <w:tcPr>
            <w:tcW w:w="4536" w:type="dxa"/>
          </w:tcPr>
          <w:p w14:paraId="765DE432" w14:textId="77777777" w:rsidR="0022723F" w:rsidRPr="00F14A55" w:rsidRDefault="0022723F" w:rsidP="00365F35">
            <w:pPr>
              <w:spacing w:before="40" w:after="40" w:line="300" w:lineRule="atLeast"/>
              <w:rPr>
                <w:rFonts w:ascii="Verdana" w:hAnsi="Verdana"/>
                <w:color w:val="000000" w:themeColor="text1"/>
                <w:sz w:val="16"/>
                <w:szCs w:val="16"/>
              </w:rPr>
            </w:pPr>
            <w:r w:rsidRPr="00F14A55">
              <w:rPr>
                <w:rFonts w:ascii="Verdana" w:hAnsi="Verdana"/>
                <w:color w:val="000000" w:themeColor="text1"/>
                <w:sz w:val="16"/>
                <w:szCs w:val="16"/>
              </w:rPr>
              <w:t>Satrix Nasdaq 100</w:t>
            </w:r>
          </w:p>
        </w:tc>
        <w:tc>
          <w:tcPr>
            <w:tcW w:w="1134" w:type="dxa"/>
            <w:vAlign w:val="center"/>
          </w:tcPr>
          <w:p w14:paraId="0B084F86" w14:textId="21F89694" w:rsidR="0022723F" w:rsidRPr="00B81A28" w:rsidRDefault="00C3281D" w:rsidP="00365F35">
            <w:pPr>
              <w:tabs>
                <w:tab w:val="left" w:pos="1050"/>
              </w:tabs>
              <w:spacing w:before="40" w:after="40" w:line="300" w:lineRule="atLeast"/>
              <w:jc w:val="center"/>
              <w:rPr>
                <w:rFonts w:ascii="Verdana" w:hAnsi="Verdana"/>
                <w:sz w:val="16"/>
                <w:szCs w:val="16"/>
              </w:rPr>
            </w:pPr>
            <w:r>
              <w:rPr>
                <w:rFonts w:ascii="Verdana" w:hAnsi="Verdana"/>
                <w:sz w:val="16"/>
                <w:szCs w:val="16"/>
              </w:rPr>
              <w:t>(4,41%)</w:t>
            </w:r>
          </w:p>
        </w:tc>
        <w:tc>
          <w:tcPr>
            <w:tcW w:w="1276" w:type="dxa"/>
            <w:vAlign w:val="center"/>
          </w:tcPr>
          <w:p w14:paraId="58DF76CF" w14:textId="2DF70331"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(15,38%)</w:t>
            </w:r>
          </w:p>
        </w:tc>
        <w:tc>
          <w:tcPr>
            <w:tcW w:w="1134" w:type="dxa"/>
            <w:vAlign w:val="center"/>
          </w:tcPr>
          <w:p w14:paraId="0FDDC6B5" w14:textId="63ECE6BF"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(6,52%)</w:t>
            </w:r>
          </w:p>
        </w:tc>
        <w:tc>
          <w:tcPr>
            <w:tcW w:w="1134" w:type="dxa"/>
            <w:vAlign w:val="center"/>
          </w:tcPr>
          <w:p w14:paraId="4A1CC99F"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4D6FB79F"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1E426F4"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8B73077"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6CB0631"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5B97226"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758AF8E0" w14:textId="77777777" w:rsidTr="00365F35">
        <w:tc>
          <w:tcPr>
            <w:tcW w:w="4536" w:type="dxa"/>
          </w:tcPr>
          <w:p w14:paraId="3548E3A2"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Stanlib MSCI World Index Feeder</w:t>
            </w:r>
          </w:p>
        </w:tc>
        <w:tc>
          <w:tcPr>
            <w:tcW w:w="1134" w:type="dxa"/>
          </w:tcPr>
          <w:p w14:paraId="48519BE3" w14:textId="47264B18" w:rsidR="0022723F" w:rsidRPr="00B81A28" w:rsidRDefault="00C3281D" w:rsidP="00365F35">
            <w:pPr>
              <w:tabs>
                <w:tab w:val="left" w:pos="1050"/>
              </w:tabs>
              <w:spacing w:before="40" w:after="40" w:line="300" w:lineRule="atLeast"/>
              <w:jc w:val="center"/>
              <w:rPr>
                <w:rFonts w:ascii="Verdana" w:hAnsi="Verdana"/>
                <w:sz w:val="16"/>
                <w:szCs w:val="16"/>
              </w:rPr>
            </w:pPr>
            <w:r>
              <w:rPr>
                <w:rFonts w:ascii="Verdana" w:hAnsi="Verdana"/>
                <w:sz w:val="16"/>
                <w:szCs w:val="16"/>
              </w:rPr>
              <w:t>(3,74%)</w:t>
            </w:r>
          </w:p>
        </w:tc>
        <w:tc>
          <w:tcPr>
            <w:tcW w:w="1276" w:type="dxa"/>
          </w:tcPr>
          <w:p w14:paraId="7DD62BBA" w14:textId="30600545"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(12,09%)</w:t>
            </w:r>
          </w:p>
        </w:tc>
        <w:tc>
          <w:tcPr>
            <w:tcW w:w="1134" w:type="dxa"/>
          </w:tcPr>
          <w:p w14:paraId="1C587DBA" w14:textId="37712799"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(5,19%)</w:t>
            </w:r>
          </w:p>
        </w:tc>
        <w:tc>
          <w:tcPr>
            <w:tcW w:w="1134" w:type="dxa"/>
          </w:tcPr>
          <w:p w14:paraId="09DC057E"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8CB59BC"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C3E6C86"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1D60162"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9FFE8FE"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99A0A54"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2CE3EA41" w14:textId="77777777" w:rsidTr="00365F35">
        <w:tc>
          <w:tcPr>
            <w:tcW w:w="4536" w:type="dxa"/>
          </w:tcPr>
          <w:p w14:paraId="6F7AAAB3"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Stanlib S&amp;P 500 Index Feeder</w:t>
            </w:r>
          </w:p>
        </w:tc>
        <w:tc>
          <w:tcPr>
            <w:tcW w:w="1134" w:type="dxa"/>
          </w:tcPr>
          <w:p w14:paraId="4FF382A6" w14:textId="5095F93B" w:rsidR="0022723F" w:rsidRPr="00B81A28" w:rsidRDefault="00C3281D" w:rsidP="00365F35">
            <w:pPr>
              <w:tabs>
                <w:tab w:val="left" w:pos="1050"/>
              </w:tabs>
              <w:spacing w:before="40" w:after="40" w:line="300" w:lineRule="atLeast"/>
              <w:jc w:val="center"/>
              <w:rPr>
                <w:rFonts w:ascii="Verdana" w:hAnsi="Verdana"/>
                <w:sz w:val="16"/>
                <w:szCs w:val="16"/>
              </w:rPr>
            </w:pPr>
            <w:r>
              <w:rPr>
                <w:rFonts w:ascii="Verdana" w:hAnsi="Verdana"/>
                <w:sz w:val="16"/>
                <w:szCs w:val="16"/>
              </w:rPr>
              <w:t>(5,09%)</w:t>
            </w:r>
          </w:p>
        </w:tc>
        <w:tc>
          <w:tcPr>
            <w:tcW w:w="1276" w:type="dxa"/>
          </w:tcPr>
          <w:p w14:paraId="4BE7EA41" w14:textId="6E833573"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(12,25%)</w:t>
            </w:r>
          </w:p>
        </w:tc>
        <w:tc>
          <w:tcPr>
            <w:tcW w:w="1134" w:type="dxa"/>
          </w:tcPr>
          <w:p w14:paraId="1B129230" w14:textId="48615C96"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(3,37%)</w:t>
            </w:r>
          </w:p>
        </w:tc>
        <w:tc>
          <w:tcPr>
            <w:tcW w:w="1134" w:type="dxa"/>
          </w:tcPr>
          <w:p w14:paraId="327EF55C"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B978D8F"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01E7733"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BCFA79B"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85DDB78"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3B975AA"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49B5B55C" w14:textId="77777777" w:rsidTr="00365F35">
        <w:tc>
          <w:tcPr>
            <w:tcW w:w="4536" w:type="dxa"/>
          </w:tcPr>
          <w:p w14:paraId="3E9E7DE1"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Sygnia/Itrix S&amp;P 500</w:t>
            </w:r>
          </w:p>
        </w:tc>
        <w:tc>
          <w:tcPr>
            <w:tcW w:w="1134" w:type="dxa"/>
            <w:vAlign w:val="center"/>
          </w:tcPr>
          <w:p w14:paraId="614FF867" w14:textId="7F932102" w:rsidR="0022723F" w:rsidRPr="00B81A28" w:rsidRDefault="00C3281D" w:rsidP="00365F35">
            <w:pPr>
              <w:tabs>
                <w:tab w:val="left" w:pos="1050"/>
              </w:tabs>
              <w:spacing w:before="40" w:after="40" w:line="300" w:lineRule="atLeast"/>
              <w:jc w:val="center"/>
              <w:rPr>
                <w:rFonts w:ascii="Verdana" w:hAnsi="Verdana"/>
                <w:sz w:val="16"/>
                <w:szCs w:val="16"/>
              </w:rPr>
            </w:pPr>
            <w:r>
              <w:rPr>
                <w:rFonts w:ascii="Verdana" w:hAnsi="Verdana"/>
                <w:sz w:val="16"/>
                <w:szCs w:val="16"/>
              </w:rPr>
              <w:t>(5,58%)</w:t>
            </w:r>
          </w:p>
        </w:tc>
        <w:tc>
          <w:tcPr>
            <w:tcW w:w="1276" w:type="dxa"/>
            <w:vAlign w:val="center"/>
          </w:tcPr>
          <w:p w14:paraId="53F97530" w14:textId="2D0F1C63"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(11,99%)</w:t>
            </w:r>
          </w:p>
        </w:tc>
        <w:tc>
          <w:tcPr>
            <w:tcW w:w="1134" w:type="dxa"/>
            <w:vAlign w:val="center"/>
          </w:tcPr>
          <w:p w14:paraId="24119040" w14:textId="676A8189"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(2,13%)</w:t>
            </w:r>
          </w:p>
        </w:tc>
        <w:tc>
          <w:tcPr>
            <w:tcW w:w="1134" w:type="dxa"/>
            <w:vAlign w:val="center"/>
          </w:tcPr>
          <w:p w14:paraId="50D7AA9C" w14:textId="525A15D9"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10,81%</w:t>
            </w:r>
          </w:p>
        </w:tc>
        <w:tc>
          <w:tcPr>
            <w:tcW w:w="1134" w:type="dxa"/>
            <w:vAlign w:val="center"/>
          </w:tcPr>
          <w:p w14:paraId="7CB907D2"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616E0BBB"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55C4FC4B"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10FB0A7"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1F89D41"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336DF193" w14:textId="77777777" w:rsidTr="00365F35">
        <w:tc>
          <w:tcPr>
            <w:tcW w:w="4536" w:type="dxa"/>
          </w:tcPr>
          <w:p w14:paraId="5AFB5B31"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Sygnia/Itrix Eurostoxx 50 </w:t>
            </w:r>
          </w:p>
        </w:tc>
        <w:tc>
          <w:tcPr>
            <w:tcW w:w="1134" w:type="dxa"/>
          </w:tcPr>
          <w:p w14:paraId="77E65FA8" w14:textId="2A3692BC" w:rsidR="0022723F" w:rsidRPr="00B81A28" w:rsidRDefault="00C3281D" w:rsidP="00365F35">
            <w:pPr>
              <w:tabs>
                <w:tab w:val="left" w:pos="1050"/>
              </w:tabs>
              <w:spacing w:before="40" w:after="40" w:line="300" w:lineRule="atLeast"/>
              <w:jc w:val="center"/>
              <w:rPr>
                <w:rFonts w:ascii="Verdana" w:hAnsi="Verdana"/>
                <w:sz w:val="16"/>
                <w:szCs w:val="16"/>
              </w:rPr>
            </w:pPr>
            <w:r>
              <w:rPr>
                <w:rFonts w:ascii="Verdana" w:hAnsi="Verdana"/>
                <w:sz w:val="16"/>
                <w:szCs w:val="16"/>
              </w:rPr>
              <w:t>(0,85%)</w:t>
            </w:r>
          </w:p>
        </w:tc>
        <w:tc>
          <w:tcPr>
            <w:tcW w:w="1276" w:type="dxa"/>
          </w:tcPr>
          <w:p w14:paraId="5BF0AFB5" w14:textId="569D364A"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(11,62%)</w:t>
            </w:r>
          </w:p>
        </w:tc>
        <w:tc>
          <w:tcPr>
            <w:tcW w:w="1134" w:type="dxa"/>
          </w:tcPr>
          <w:p w14:paraId="3B91A060" w14:textId="4B8840E6"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(9,10%)</w:t>
            </w:r>
          </w:p>
        </w:tc>
        <w:tc>
          <w:tcPr>
            <w:tcW w:w="1134" w:type="dxa"/>
          </w:tcPr>
          <w:p w14:paraId="5CC252BF" w14:textId="5785029D"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(3,46%)</w:t>
            </w:r>
          </w:p>
        </w:tc>
        <w:tc>
          <w:tcPr>
            <w:tcW w:w="1134" w:type="dxa"/>
          </w:tcPr>
          <w:p w14:paraId="25ED5B5B" w14:textId="6D89CD7F"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4,61%</w:t>
            </w:r>
          </w:p>
        </w:tc>
        <w:tc>
          <w:tcPr>
            <w:tcW w:w="1134" w:type="dxa"/>
            <w:shd w:val="clear" w:color="auto" w:fill="auto"/>
          </w:tcPr>
          <w:p w14:paraId="1DD6701A" w14:textId="1C55FCDC"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(0,67%)</w:t>
            </w:r>
          </w:p>
        </w:tc>
        <w:tc>
          <w:tcPr>
            <w:tcW w:w="1134" w:type="dxa"/>
            <w:shd w:val="clear" w:color="auto" w:fill="auto"/>
          </w:tcPr>
          <w:p w14:paraId="46975835" w14:textId="33676399"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4,44%</w:t>
            </w:r>
          </w:p>
        </w:tc>
        <w:tc>
          <w:tcPr>
            <w:tcW w:w="1134" w:type="dxa"/>
          </w:tcPr>
          <w:p w14:paraId="371FBD06" w14:textId="1205C9B8"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13,37%</w:t>
            </w:r>
          </w:p>
        </w:tc>
        <w:tc>
          <w:tcPr>
            <w:tcW w:w="1134" w:type="dxa"/>
          </w:tcPr>
          <w:p w14:paraId="57A36BDD" w14:textId="7D377904"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7,08%</w:t>
            </w:r>
          </w:p>
        </w:tc>
      </w:tr>
      <w:tr w:rsidR="0022723F" w:rsidRPr="00B81A28" w14:paraId="375A750B" w14:textId="77777777" w:rsidTr="00365F35">
        <w:tc>
          <w:tcPr>
            <w:tcW w:w="4536" w:type="dxa"/>
          </w:tcPr>
          <w:p w14:paraId="1BD96AA6"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Sygnia/Itrix FTSE 100 </w:t>
            </w:r>
          </w:p>
        </w:tc>
        <w:tc>
          <w:tcPr>
            <w:tcW w:w="1134" w:type="dxa"/>
          </w:tcPr>
          <w:p w14:paraId="7EDD1866" w14:textId="0BDBD63E" w:rsidR="0022723F" w:rsidRPr="00B81A28" w:rsidRDefault="00033094" w:rsidP="00365F35">
            <w:pPr>
              <w:tabs>
                <w:tab w:val="left" w:pos="1050"/>
              </w:tabs>
              <w:spacing w:before="40" w:after="40" w:line="300" w:lineRule="atLeast"/>
              <w:jc w:val="center"/>
              <w:rPr>
                <w:rFonts w:ascii="Verdana" w:hAnsi="Verdana"/>
                <w:sz w:val="16"/>
                <w:szCs w:val="16"/>
              </w:rPr>
            </w:pPr>
            <w:r>
              <w:rPr>
                <w:rFonts w:ascii="Verdana" w:hAnsi="Verdana"/>
                <w:sz w:val="16"/>
                <w:szCs w:val="16"/>
              </w:rPr>
              <w:t>(</w:t>
            </w:r>
            <w:r w:rsidR="00C3281D">
              <w:rPr>
                <w:rFonts w:ascii="Verdana" w:hAnsi="Verdana"/>
                <w:sz w:val="16"/>
                <w:szCs w:val="16"/>
              </w:rPr>
              <w:t>0,07%</w:t>
            </w:r>
            <w:r>
              <w:rPr>
                <w:rFonts w:ascii="Verdana" w:hAnsi="Verdana"/>
                <w:sz w:val="16"/>
                <w:szCs w:val="16"/>
              </w:rPr>
              <w:t>)</w:t>
            </w:r>
          </w:p>
        </w:tc>
        <w:tc>
          <w:tcPr>
            <w:tcW w:w="1276" w:type="dxa"/>
          </w:tcPr>
          <w:p w14:paraId="02FE06CE" w14:textId="09E892BB"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(10,31%)</w:t>
            </w:r>
          </w:p>
        </w:tc>
        <w:tc>
          <w:tcPr>
            <w:tcW w:w="1134" w:type="dxa"/>
          </w:tcPr>
          <w:p w14:paraId="6657C927" w14:textId="6C8FDED0"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(9,31%)</w:t>
            </w:r>
          </w:p>
        </w:tc>
        <w:tc>
          <w:tcPr>
            <w:tcW w:w="1134" w:type="dxa"/>
          </w:tcPr>
          <w:p w14:paraId="50CCBF7A" w14:textId="1CC876F3"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(0,91%)</w:t>
            </w:r>
          </w:p>
        </w:tc>
        <w:tc>
          <w:tcPr>
            <w:tcW w:w="1134" w:type="dxa"/>
          </w:tcPr>
          <w:p w14:paraId="59DA81C9" w14:textId="5A5BEDF2"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4,97%</w:t>
            </w:r>
          </w:p>
        </w:tc>
        <w:tc>
          <w:tcPr>
            <w:tcW w:w="1134" w:type="dxa"/>
            <w:shd w:val="clear" w:color="auto" w:fill="auto"/>
          </w:tcPr>
          <w:p w14:paraId="2EB1ED63" w14:textId="2B7EA65E"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(1,70%)</w:t>
            </w:r>
          </w:p>
        </w:tc>
        <w:tc>
          <w:tcPr>
            <w:tcW w:w="1134" w:type="dxa"/>
            <w:shd w:val="clear" w:color="auto" w:fill="auto"/>
          </w:tcPr>
          <w:p w14:paraId="7AECC1FB" w14:textId="47C5020F"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4,10%</w:t>
            </w:r>
          </w:p>
        </w:tc>
        <w:tc>
          <w:tcPr>
            <w:tcW w:w="1134" w:type="dxa"/>
          </w:tcPr>
          <w:p w14:paraId="67DAC446" w14:textId="7E941E33"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11,60%</w:t>
            </w:r>
          </w:p>
        </w:tc>
        <w:tc>
          <w:tcPr>
            <w:tcW w:w="1134" w:type="dxa"/>
          </w:tcPr>
          <w:p w14:paraId="4EA8A8A4" w14:textId="5F59CF0B"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10,62%</w:t>
            </w:r>
          </w:p>
        </w:tc>
      </w:tr>
      <w:tr w:rsidR="0022723F" w:rsidRPr="00B81A28" w14:paraId="5CCC9B49" w14:textId="77777777" w:rsidTr="00365F35">
        <w:tc>
          <w:tcPr>
            <w:tcW w:w="4536" w:type="dxa"/>
          </w:tcPr>
          <w:p w14:paraId="2448FC31"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Sygnia/Itrix MSCI USA </w:t>
            </w:r>
          </w:p>
        </w:tc>
        <w:tc>
          <w:tcPr>
            <w:tcW w:w="1134" w:type="dxa"/>
          </w:tcPr>
          <w:p w14:paraId="1EFFAB6F" w14:textId="58F25101" w:rsidR="0022723F" w:rsidRPr="00B81A28" w:rsidRDefault="00C3281D" w:rsidP="00365F35">
            <w:pPr>
              <w:tabs>
                <w:tab w:val="left" w:pos="1050"/>
              </w:tabs>
              <w:spacing w:before="40" w:after="40" w:line="300" w:lineRule="atLeast"/>
              <w:jc w:val="center"/>
              <w:rPr>
                <w:rFonts w:ascii="Verdana" w:hAnsi="Verdana"/>
                <w:sz w:val="16"/>
                <w:szCs w:val="16"/>
              </w:rPr>
            </w:pPr>
            <w:r>
              <w:rPr>
                <w:rFonts w:ascii="Verdana" w:hAnsi="Verdana"/>
                <w:sz w:val="16"/>
                <w:szCs w:val="16"/>
              </w:rPr>
              <w:t>(5,67%)</w:t>
            </w:r>
          </w:p>
        </w:tc>
        <w:tc>
          <w:tcPr>
            <w:tcW w:w="1276" w:type="dxa"/>
          </w:tcPr>
          <w:p w14:paraId="51608DAD" w14:textId="041AAE07"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(12,47%)</w:t>
            </w:r>
          </w:p>
        </w:tc>
        <w:tc>
          <w:tcPr>
            <w:tcW w:w="1134" w:type="dxa"/>
          </w:tcPr>
          <w:p w14:paraId="00280336" w14:textId="08A8C107"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(3,15%)</w:t>
            </w:r>
          </w:p>
        </w:tc>
        <w:tc>
          <w:tcPr>
            <w:tcW w:w="1134" w:type="dxa"/>
          </w:tcPr>
          <w:p w14:paraId="1A0FEE89" w14:textId="57D3AAD9"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9,70%</w:t>
            </w:r>
          </w:p>
        </w:tc>
        <w:tc>
          <w:tcPr>
            <w:tcW w:w="1134" w:type="dxa"/>
          </w:tcPr>
          <w:p w14:paraId="703EAEEC" w14:textId="7F25BD56"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9</w:t>
            </w:r>
            <w:r w:rsidR="00033094">
              <w:rPr>
                <w:rFonts w:ascii="Verdana" w:hAnsi="Verdana"/>
                <w:sz w:val="16"/>
                <w:szCs w:val="16"/>
              </w:rPr>
              <w:t>,</w:t>
            </w:r>
            <w:r>
              <w:rPr>
                <w:rFonts w:ascii="Verdana" w:hAnsi="Verdana"/>
                <w:sz w:val="16"/>
                <w:szCs w:val="16"/>
              </w:rPr>
              <w:t>97%</w:t>
            </w:r>
          </w:p>
        </w:tc>
        <w:tc>
          <w:tcPr>
            <w:tcW w:w="1134" w:type="dxa"/>
            <w:shd w:val="clear" w:color="auto" w:fill="auto"/>
          </w:tcPr>
          <w:p w14:paraId="2FC981F0" w14:textId="70F57B2F"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5,57%</w:t>
            </w:r>
          </w:p>
        </w:tc>
        <w:tc>
          <w:tcPr>
            <w:tcW w:w="1134" w:type="dxa"/>
            <w:shd w:val="clear" w:color="auto" w:fill="auto"/>
          </w:tcPr>
          <w:p w14:paraId="608A96F2" w14:textId="09E56D4B"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14,32%</w:t>
            </w:r>
          </w:p>
        </w:tc>
        <w:tc>
          <w:tcPr>
            <w:tcW w:w="1134" w:type="dxa"/>
          </w:tcPr>
          <w:p w14:paraId="3FCDBC0C" w14:textId="23922EF5"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20,97%</w:t>
            </w:r>
          </w:p>
        </w:tc>
        <w:tc>
          <w:tcPr>
            <w:tcW w:w="1134" w:type="dxa"/>
          </w:tcPr>
          <w:p w14:paraId="52B3F50B" w14:textId="0ECBC7A4"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16,83%</w:t>
            </w:r>
          </w:p>
        </w:tc>
      </w:tr>
      <w:tr w:rsidR="0022723F" w:rsidRPr="00B81A28" w14:paraId="34DD5547" w14:textId="77777777" w:rsidTr="00365F35">
        <w:tc>
          <w:tcPr>
            <w:tcW w:w="4536" w:type="dxa"/>
          </w:tcPr>
          <w:p w14:paraId="306E15C3"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Sygnia/Itrix MSCI Japan</w:t>
            </w:r>
          </w:p>
        </w:tc>
        <w:tc>
          <w:tcPr>
            <w:tcW w:w="1134" w:type="dxa"/>
            <w:vAlign w:val="center"/>
          </w:tcPr>
          <w:p w14:paraId="0A45B64E" w14:textId="11026F9C" w:rsidR="0022723F" w:rsidRPr="00B81A28" w:rsidRDefault="00C3281D" w:rsidP="00365F35">
            <w:pPr>
              <w:tabs>
                <w:tab w:val="left" w:pos="1050"/>
              </w:tabs>
              <w:spacing w:before="40" w:after="40" w:line="300" w:lineRule="atLeast"/>
              <w:jc w:val="center"/>
              <w:rPr>
                <w:rFonts w:ascii="Verdana" w:hAnsi="Verdana"/>
                <w:sz w:val="16"/>
                <w:szCs w:val="16"/>
              </w:rPr>
            </w:pPr>
            <w:r>
              <w:rPr>
                <w:rFonts w:ascii="Verdana" w:hAnsi="Verdana"/>
                <w:sz w:val="16"/>
                <w:szCs w:val="16"/>
              </w:rPr>
              <w:t>(2,73%)</w:t>
            </w:r>
          </w:p>
        </w:tc>
        <w:tc>
          <w:tcPr>
            <w:tcW w:w="1276" w:type="dxa"/>
            <w:vAlign w:val="center"/>
          </w:tcPr>
          <w:p w14:paraId="2F6F875C" w14:textId="17ECAF30"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(13,37%)</w:t>
            </w:r>
          </w:p>
        </w:tc>
        <w:tc>
          <w:tcPr>
            <w:tcW w:w="1134" w:type="dxa"/>
            <w:vAlign w:val="center"/>
          </w:tcPr>
          <w:p w14:paraId="64A890AA" w14:textId="72980D3A"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(7,47%)</w:t>
            </w:r>
          </w:p>
        </w:tc>
        <w:tc>
          <w:tcPr>
            <w:tcW w:w="1134" w:type="dxa"/>
            <w:vAlign w:val="center"/>
          </w:tcPr>
          <w:p w14:paraId="31C2A519" w14:textId="315ED030"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0,74%</w:t>
            </w:r>
          </w:p>
        </w:tc>
        <w:tc>
          <w:tcPr>
            <w:tcW w:w="1134" w:type="dxa"/>
            <w:vAlign w:val="center"/>
          </w:tcPr>
          <w:p w14:paraId="134473AC" w14:textId="73B545F3"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5,88%</w:t>
            </w:r>
          </w:p>
        </w:tc>
        <w:tc>
          <w:tcPr>
            <w:tcW w:w="1134" w:type="dxa"/>
            <w:shd w:val="clear" w:color="auto" w:fill="auto"/>
          </w:tcPr>
          <w:p w14:paraId="44163AD1" w14:textId="21A892A2"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0,49%</w:t>
            </w:r>
          </w:p>
        </w:tc>
        <w:tc>
          <w:tcPr>
            <w:tcW w:w="1134" w:type="dxa"/>
            <w:shd w:val="clear" w:color="auto" w:fill="auto"/>
          </w:tcPr>
          <w:p w14:paraId="23DB39A5" w14:textId="7D127848"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9,22%</w:t>
            </w:r>
          </w:p>
        </w:tc>
        <w:tc>
          <w:tcPr>
            <w:tcW w:w="1134" w:type="dxa"/>
          </w:tcPr>
          <w:p w14:paraId="2C3F40FD" w14:textId="16A13CBB"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15,38%</w:t>
            </w:r>
          </w:p>
        </w:tc>
        <w:tc>
          <w:tcPr>
            <w:tcW w:w="1134" w:type="dxa"/>
          </w:tcPr>
          <w:p w14:paraId="11ACFFC8" w14:textId="7EDFC9AE"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9,14%</w:t>
            </w:r>
          </w:p>
        </w:tc>
      </w:tr>
      <w:tr w:rsidR="0022723F" w:rsidRPr="00B81A28" w14:paraId="12A20CA7" w14:textId="77777777" w:rsidTr="00365F35">
        <w:tc>
          <w:tcPr>
            <w:tcW w:w="4536" w:type="dxa"/>
          </w:tcPr>
          <w:p w14:paraId="2A1D526C"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Sygnia/Itrix MSCI World </w:t>
            </w:r>
          </w:p>
        </w:tc>
        <w:tc>
          <w:tcPr>
            <w:tcW w:w="1134" w:type="dxa"/>
            <w:vAlign w:val="center"/>
          </w:tcPr>
          <w:p w14:paraId="41EFB39B" w14:textId="6AF433E4" w:rsidR="0022723F" w:rsidRPr="00B81A28" w:rsidRDefault="00C3281D" w:rsidP="00365F35">
            <w:pPr>
              <w:tabs>
                <w:tab w:val="left" w:pos="1050"/>
              </w:tabs>
              <w:spacing w:before="40" w:after="40" w:line="300" w:lineRule="atLeast"/>
              <w:jc w:val="center"/>
              <w:rPr>
                <w:rFonts w:ascii="Verdana" w:hAnsi="Verdana"/>
                <w:sz w:val="16"/>
                <w:szCs w:val="16"/>
              </w:rPr>
            </w:pPr>
            <w:r>
              <w:rPr>
                <w:rFonts w:ascii="Verdana" w:hAnsi="Verdana"/>
                <w:sz w:val="16"/>
                <w:szCs w:val="16"/>
              </w:rPr>
              <w:t>(4,15%)</w:t>
            </w:r>
          </w:p>
        </w:tc>
        <w:tc>
          <w:tcPr>
            <w:tcW w:w="1276" w:type="dxa"/>
            <w:vAlign w:val="center"/>
          </w:tcPr>
          <w:p w14:paraId="23CA07E5" w14:textId="2CD5FC84"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(11,93%)</w:t>
            </w:r>
          </w:p>
        </w:tc>
        <w:tc>
          <w:tcPr>
            <w:tcW w:w="1134" w:type="dxa"/>
            <w:vAlign w:val="center"/>
          </w:tcPr>
          <w:p w14:paraId="189D93B7" w14:textId="2B711347"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(4,58%)</w:t>
            </w:r>
          </w:p>
        </w:tc>
        <w:tc>
          <w:tcPr>
            <w:tcW w:w="1134" w:type="dxa"/>
            <w:vAlign w:val="center"/>
          </w:tcPr>
          <w:p w14:paraId="70389DCF" w14:textId="482DFB8A"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6,07%</w:t>
            </w:r>
          </w:p>
        </w:tc>
        <w:tc>
          <w:tcPr>
            <w:tcW w:w="1134" w:type="dxa"/>
            <w:vAlign w:val="center"/>
          </w:tcPr>
          <w:p w14:paraId="470AEF3B" w14:textId="15169138"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8,58%</w:t>
            </w:r>
          </w:p>
        </w:tc>
        <w:tc>
          <w:tcPr>
            <w:tcW w:w="1134" w:type="dxa"/>
            <w:shd w:val="clear" w:color="auto" w:fill="auto"/>
          </w:tcPr>
          <w:p w14:paraId="09888CF8" w14:textId="5A052C25"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3,56%</w:t>
            </w:r>
          </w:p>
        </w:tc>
        <w:tc>
          <w:tcPr>
            <w:tcW w:w="1134" w:type="dxa"/>
            <w:shd w:val="clear" w:color="auto" w:fill="auto"/>
          </w:tcPr>
          <w:p w14:paraId="5694B419" w14:textId="059DB730"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11,10%</w:t>
            </w:r>
          </w:p>
        </w:tc>
        <w:tc>
          <w:tcPr>
            <w:tcW w:w="1134" w:type="dxa"/>
          </w:tcPr>
          <w:p w14:paraId="21CE1127" w14:textId="3E090FFA"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17,92%</w:t>
            </w:r>
          </w:p>
        </w:tc>
        <w:tc>
          <w:tcPr>
            <w:tcW w:w="1134" w:type="dxa"/>
          </w:tcPr>
          <w:p w14:paraId="7974D87C" w14:textId="06A6F4B3" w:rsidR="0022723F" w:rsidRPr="00B81A28" w:rsidRDefault="00C3281D" w:rsidP="00365F35">
            <w:pPr>
              <w:spacing w:before="40" w:after="40" w:line="300" w:lineRule="atLeast"/>
              <w:jc w:val="center"/>
              <w:rPr>
                <w:rFonts w:ascii="Verdana" w:hAnsi="Verdana"/>
                <w:sz w:val="16"/>
                <w:szCs w:val="16"/>
              </w:rPr>
            </w:pPr>
            <w:r>
              <w:rPr>
                <w:rFonts w:ascii="Verdana" w:hAnsi="Verdana"/>
                <w:sz w:val="16"/>
                <w:szCs w:val="16"/>
              </w:rPr>
              <w:t>13,90%</w:t>
            </w:r>
          </w:p>
        </w:tc>
      </w:tr>
    </w:tbl>
    <w:p w14:paraId="6DCC2307" w14:textId="77777777" w:rsidR="0022723F" w:rsidRDefault="0022723F" w:rsidP="0022723F">
      <w:pPr>
        <w:spacing w:after="0" w:line="240" w:lineRule="auto"/>
        <w:rPr>
          <w:rFonts w:ascii="Verdana" w:hAnsi="Verdana"/>
          <w:sz w:val="16"/>
          <w:szCs w:val="16"/>
        </w:rPr>
      </w:pPr>
    </w:p>
    <w:p w14:paraId="4B68C4DE" w14:textId="77777777" w:rsidR="0022723F" w:rsidRDefault="0022723F" w:rsidP="0022723F">
      <w:pPr>
        <w:spacing w:after="160" w:line="259" w:lineRule="auto"/>
        <w:rPr>
          <w:rFonts w:ascii="Verdana" w:hAnsi="Verdana"/>
          <w:sz w:val="16"/>
          <w:szCs w:val="16"/>
        </w:rPr>
      </w:pPr>
      <w:r>
        <w:rPr>
          <w:rFonts w:ascii="Verdana" w:hAnsi="Verdana"/>
          <w:sz w:val="16"/>
          <w:szCs w:val="16"/>
        </w:rPr>
        <w:br w:type="page"/>
      </w:r>
    </w:p>
    <w:p w14:paraId="0D556646" w14:textId="77777777" w:rsidR="0022723F" w:rsidRPr="00B81A28" w:rsidRDefault="0022723F" w:rsidP="0022723F">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39D24217" wp14:editId="523E2D64">
            <wp:extent cx="3057525" cy="642486"/>
            <wp:effectExtent l="0" t="0" r="0" b="5715"/>
            <wp:docPr id="14" name="Picture 14"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2723F" w:rsidRPr="00B81A28" w14:paraId="732B0B29" w14:textId="77777777" w:rsidTr="00365F35">
        <w:tc>
          <w:tcPr>
            <w:tcW w:w="14884" w:type="dxa"/>
            <w:gridSpan w:val="10"/>
            <w:shd w:val="clear" w:color="auto" w:fill="CB2229"/>
            <w:vAlign w:val="center"/>
          </w:tcPr>
          <w:p w14:paraId="204134F1"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0098CD28"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w:t>
            </w:r>
            <w:r w:rsidRPr="00B81A28">
              <w:rPr>
                <w:rFonts w:ascii="Verdana" w:hAnsi="Verdana"/>
                <w:b/>
                <w:color w:val="FFFFFF"/>
                <w:sz w:val="20"/>
                <w:szCs w:val="20"/>
              </w:rPr>
              <w:t xml:space="preserve"> 2018</w:t>
            </w:r>
          </w:p>
          <w:p w14:paraId="01033593"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2723F" w:rsidRPr="00B81A28" w14:paraId="652405CC" w14:textId="77777777" w:rsidTr="00365F35">
        <w:tc>
          <w:tcPr>
            <w:tcW w:w="4536" w:type="dxa"/>
            <w:shd w:val="clear" w:color="auto" w:fill="4C4C4C"/>
          </w:tcPr>
          <w:p w14:paraId="55582987" w14:textId="77777777" w:rsidR="0022723F" w:rsidRPr="0067766B" w:rsidRDefault="0022723F" w:rsidP="00365F35">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323DF47D"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0DD92E17"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5FC9D131"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5C6B1E6A"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147AABA4"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411771F8"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3B7C0432"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1FB9C87C"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354CFA1D"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2723F" w:rsidRPr="00B81A28" w14:paraId="2930B82C" w14:textId="77777777" w:rsidTr="00365F35">
        <w:tc>
          <w:tcPr>
            <w:tcW w:w="14884" w:type="dxa"/>
            <w:gridSpan w:val="10"/>
            <w:shd w:val="clear" w:color="auto" w:fill="7583BD"/>
            <w:vAlign w:val="center"/>
          </w:tcPr>
          <w:p w14:paraId="31FF4617" w14:textId="77777777" w:rsidR="0022723F" w:rsidRPr="00B81A28" w:rsidRDefault="0022723F" w:rsidP="00365F35">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Bonds</w:t>
            </w:r>
          </w:p>
        </w:tc>
      </w:tr>
      <w:tr w:rsidR="0022723F" w:rsidRPr="00B81A28" w14:paraId="1D19FF03" w14:textId="77777777" w:rsidTr="00365F35">
        <w:tc>
          <w:tcPr>
            <w:tcW w:w="4536" w:type="dxa"/>
          </w:tcPr>
          <w:p w14:paraId="4D164554"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Ashburton World Government Bond</w:t>
            </w:r>
          </w:p>
        </w:tc>
        <w:tc>
          <w:tcPr>
            <w:tcW w:w="1134" w:type="dxa"/>
          </w:tcPr>
          <w:p w14:paraId="6A6E7D15" w14:textId="6A4C6EAF" w:rsidR="0022723F" w:rsidRPr="00B81A28" w:rsidRDefault="004C45BF" w:rsidP="00365F35">
            <w:pPr>
              <w:tabs>
                <w:tab w:val="left" w:pos="1050"/>
              </w:tabs>
              <w:spacing w:before="40" w:after="40" w:line="300" w:lineRule="atLeast"/>
              <w:jc w:val="center"/>
              <w:rPr>
                <w:rFonts w:ascii="Verdana" w:hAnsi="Verdana"/>
                <w:sz w:val="16"/>
                <w:szCs w:val="16"/>
              </w:rPr>
            </w:pPr>
            <w:r>
              <w:rPr>
                <w:rFonts w:ascii="Verdana" w:hAnsi="Verdana"/>
                <w:sz w:val="16"/>
                <w:szCs w:val="16"/>
              </w:rPr>
              <w:t>6,60%</w:t>
            </w:r>
          </w:p>
        </w:tc>
        <w:tc>
          <w:tcPr>
            <w:tcW w:w="1276" w:type="dxa"/>
          </w:tcPr>
          <w:p w14:paraId="2BC1791B" w14:textId="5E3958B1" w:rsidR="0022723F" w:rsidRPr="00B81A28" w:rsidRDefault="004C45BF" w:rsidP="00365F35">
            <w:pPr>
              <w:spacing w:before="40" w:after="40" w:line="300" w:lineRule="atLeast"/>
              <w:jc w:val="center"/>
              <w:rPr>
                <w:rFonts w:ascii="Verdana" w:hAnsi="Verdana"/>
                <w:sz w:val="16"/>
                <w:szCs w:val="16"/>
              </w:rPr>
            </w:pPr>
            <w:r>
              <w:rPr>
                <w:rFonts w:ascii="Verdana" w:hAnsi="Verdana"/>
                <w:sz w:val="16"/>
                <w:szCs w:val="16"/>
              </w:rPr>
              <w:t>2,60%</w:t>
            </w:r>
          </w:p>
        </w:tc>
        <w:tc>
          <w:tcPr>
            <w:tcW w:w="1134" w:type="dxa"/>
          </w:tcPr>
          <w:p w14:paraId="384FB88E" w14:textId="7C958701" w:rsidR="0022723F" w:rsidRPr="00B81A28" w:rsidRDefault="004C45BF" w:rsidP="00365F35">
            <w:pPr>
              <w:spacing w:before="40" w:after="40" w:line="300" w:lineRule="atLeast"/>
              <w:jc w:val="center"/>
              <w:rPr>
                <w:rFonts w:ascii="Verdana" w:hAnsi="Verdana"/>
                <w:sz w:val="16"/>
                <w:szCs w:val="16"/>
              </w:rPr>
            </w:pPr>
            <w:r>
              <w:rPr>
                <w:rFonts w:ascii="Verdana" w:hAnsi="Verdana"/>
                <w:sz w:val="16"/>
                <w:szCs w:val="16"/>
              </w:rPr>
              <w:t>3,34%</w:t>
            </w:r>
          </w:p>
        </w:tc>
        <w:tc>
          <w:tcPr>
            <w:tcW w:w="1134" w:type="dxa"/>
          </w:tcPr>
          <w:p w14:paraId="6567FED1"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1A792F5"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4BDA495"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A5FD154"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8EE5E41"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BA2BC2E"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1DFDA02B" w14:textId="77777777" w:rsidTr="00365F35">
        <w:tc>
          <w:tcPr>
            <w:tcW w:w="4536" w:type="dxa"/>
          </w:tcPr>
          <w:p w14:paraId="0958E8D0"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FirstRand</w:t>
            </w:r>
            <w:r w:rsidRPr="00B81A28">
              <w:rPr>
                <w:rFonts w:ascii="Verdana" w:hAnsi="Verdana"/>
                <w:sz w:val="16"/>
                <w:szCs w:val="16"/>
              </w:rPr>
              <w:t xml:space="preserve"> US Dollar Custodian Certificate </w:t>
            </w:r>
          </w:p>
        </w:tc>
        <w:tc>
          <w:tcPr>
            <w:tcW w:w="1134" w:type="dxa"/>
          </w:tcPr>
          <w:p w14:paraId="32E83B6B" w14:textId="198299E7" w:rsidR="0022723F" w:rsidRPr="00B81A28" w:rsidRDefault="004C45BF" w:rsidP="00365F35">
            <w:pPr>
              <w:tabs>
                <w:tab w:val="left" w:pos="1050"/>
              </w:tabs>
              <w:spacing w:before="40" w:after="40" w:line="300" w:lineRule="atLeast"/>
              <w:jc w:val="center"/>
              <w:rPr>
                <w:rFonts w:ascii="Verdana" w:hAnsi="Verdana"/>
                <w:sz w:val="16"/>
                <w:szCs w:val="16"/>
              </w:rPr>
            </w:pPr>
            <w:r>
              <w:rPr>
                <w:rFonts w:ascii="Verdana" w:hAnsi="Verdana"/>
                <w:sz w:val="16"/>
                <w:szCs w:val="16"/>
              </w:rPr>
              <w:t>7,56%</w:t>
            </w:r>
          </w:p>
        </w:tc>
        <w:tc>
          <w:tcPr>
            <w:tcW w:w="1276" w:type="dxa"/>
          </w:tcPr>
          <w:p w14:paraId="123C5922" w14:textId="0C158CC5" w:rsidR="0022723F" w:rsidRPr="00B81A28" w:rsidRDefault="004C45BF" w:rsidP="00365F35">
            <w:pPr>
              <w:spacing w:before="40" w:after="40" w:line="300" w:lineRule="atLeast"/>
              <w:jc w:val="center"/>
              <w:rPr>
                <w:rFonts w:ascii="Verdana" w:hAnsi="Verdana"/>
                <w:sz w:val="16"/>
                <w:szCs w:val="16"/>
              </w:rPr>
            </w:pPr>
            <w:r>
              <w:rPr>
                <w:rFonts w:ascii="Verdana" w:hAnsi="Verdana"/>
                <w:sz w:val="16"/>
                <w:szCs w:val="16"/>
              </w:rPr>
              <w:t>4,30%</w:t>
            </w:r>
          </w:p>
        </w:tc>
        <w:tc>
          <w:tcPr>
            <w:tcW w:w="1134" w:type="dxa"/>
          </w:tcPr>
          <w:p w14:paraId="303417FD" w14:textId="1582025B" w:rsidR="0022723F" w:rsidRPr="00B81A28" w:rsidRDefault="004C45BF" w:rsidP="00365F35">
            <w:pPr>
              <w:spacing w:before="40" w:after="40" w:line="300" w:lineRule="atLeast"/>
              <w:jc w:val="center"/>
              <w:rPr>
                <w:rFonts w:ascii="Verdana" w:hAnsi="Verdana"/>
                <w:sz w:val="16"/>
                <w:szCs w:val="16"/>
              </w:rPr>
            </w:pPr>
            <w:r>
              <w:rPr>
                <w:rFonts w:ascii="Verdana" w:hAnsi="Verdana"/>
                <w:sz w:val="16"/>
                <w:szCs w:val="16"/>
              </w:rPr>
              <w:t>6,41%</w:t>
            </w:r>
          </w:p>
        </w:tc>
        <w:tc>
          <w:tcPr>
            <w:tcW w:w="1134" w:type="dxa"/>
          </w:tcPr>
          <w:p w14:paraId="598905F2" w14:textId="246E70D0" w:rsidR="0022723F" w:rsidRPr="00B81A28" w:rsidRDefault="004C45BF" w:rsidP="00365F35">
            <w:pPr>
              <w:spacing w:before="40" w:after="40" w:line="300" w:lineRule="atLeast"/>
              <w:jc w:val="center"/>
              <w:rPr>
                <w:rFonts w:ascii="Verdana" w:hAnsi="Verdana"/>
                <w:sz w:val="16"/>
                <w:szCs w:val="16"/>
              </w:rPr>
            </w:pPr>
            <w:r>
              <w:rPr>
                <w:rFonts w:ascii="Verdana" w:hAnsi="Verdana"/>
                <w:sz w:val="16"/>
                <w:szCs w:val="16"/>
              </w:rPr>
              <w:t>16,36%</w:t>
            </w:r>
          </w:p>
        </w:tc>
        <w:tc>
          <w:tcPr>
            <w:tcW w:w="1134" w:type="dxa"/>
          </w:tcPr>
          <w:p w14:paraId="78B6083A"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7A6687D0"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A752262"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AB4F221"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AB99E60"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1BFB89F0" w14:textId="77777777" w:rsidTr="00365F35">
        <w:tc>
          <w:tcPr>
            <w:tcW w:w="4536" w:type="dxa"/>
          </w:tcPr>
          <w:p w14:paraId="25F65C8D"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Stanlib Global Government Bond Index Feeder</w:t>
            </w:r>
          </w:p>
        </w:tc>
        <w:tc>
          <w:tcPr>
            <w:tcW w:w="1134" w:type="dxa"/>
          </w:tcPr>
          <w:p w14:paraId="77495946" w14:textId="2F3E6526" w:rsidR="0022723F" w:rsidRPr="00B81A28" w:rsidRDefault="004C45BF" w:rsidP="00365F35">
            <w:pPr>
              <w:tabs>
                <w:tab w:val="left" w:pos="1050"/>
              </w:tabs>
              <w:spacing w:before="40" w:after="40" w:line="300" w:lineRule="atLeast"/>
              <w:jc w:val="center"/>
              <w:rPr>
                <w:rFonts w:ascii="Verdana" w:hAnsi="Verdana"/>
                <w:sz w:val="16"/>
                <w:szCs w:val="16"/>
              </w:rPr>
            </w:pPr>
            <w:r>
              <w:rPr>
                <w:rFonts w:ascii="Verdana" w:hAnsi="Verdana"/>
                <w:sz w:val="16"/>
                <w:szCs w:val="16"/>
              </w:rPr>
              <w:t>6,24%</w:t>
            </w:r>
          </w:p>
        </w:tc>
        <w:tc>
          <w:tcPr>
            <w:tcW w:w="1276" w:type="dxa"/>
          </w:tcPr>
          <w:p w14:paraId="53F2BA48" w14:textId="666ADDAC" w:rsidR="0022723F" w:rsidRPr="00B81A28" w:rsidRDefault="004C45BF" w:rsidP="00365F35">
            <w:pPr>
              <w:spacing w:before="40" w:after="40" w:line="300" w:lineRule="atLeast"/>
              <w:jc w:val="center"/>
              <w:rPr>
                <w:rFonts w:ascii="Verdana" w:hAnsi="Verdana"/>
                <w:sz w:val="16"/>
                <w:szCs w:val="16"/>
              </w:rPr>
            </w:pPr>
            <w:r>
              <w:rPr>
                <w:rFonts w:ascii="Verdana" w:hAnsi="Verdana"/>
                <w:sz w:val="16"/>
                <w:szCs w:val="16"/>
              </w:rPr>
              <w:t>4,40%</w:t>
            </w:r>
          </w:p>
        </w:tc>
        <w:tc>
          <w:tcPr>
            <w:tcW w:w="1134" w:type="dxa"/>
          </w:tcPr>
          <w:p w14:paraId="21E12CB5" w14:textId="72DFC385" w:rsidR="0022723F" w:rsidRPr="00B81A28" w:rsidRDefault="004C45BF" w:rsidP="00365F35">
            <w:pPr>
              <w:spacing w:before="40" w:after="40" w:line="300" w:lineRule="atLeast"/>
              <w:jc w:val="center"/>
              <w:rPr>
                <w:rFonts w:ascii="Verdana" w:hAnsi="Verdana"/>
                <w:sz w:val="16"/>
                <w:szCs w:val="16"/>
              </w:rPr>
            </w:pPr>
            <w:r>
              <w:rPr>
                <w:rFonts w:ascii="Verdana" w:hAnsi="Verdana"/>
                <w:sz w:val="16"/>
                <w:szCs w:val="16"/>
              </w:rPr>
              <w:t>5,87%</w:t>
            </w:r>
          </w:p>
        </w:tc>
        <w:tc>
          <w:tcPr>
            <w:tcW w:w="1134" w:type="dxa"/>
          </w:tcPr>
          <w:p w14:paraId="567CD958"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EAAEAA6"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DF8A870"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762AB20"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F4BCDAD"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A1E6AFF"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19297921" w14:textId="77777777" w:rsidTr="00365F35">
        <w:tc>
          <w:tcPr>
            <w:tcW w:w="14884" w:type="dxa"/>
            <w:gridSpan w:val="10"/>
            <w:shd w:val="clear" w:color="auto" w:fill="7583BD"/>
          </w:tcPr>
          <w:p w14:paraId="1BE772BD" w14:textId="77777777" w:rsidR="0022723F" w:rsidRPr="0067766B" w:rsidRDefault="0022723F" w:rsidP="00365F35">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Listed Property</w:t>
            </w:r>
          </w:p>
        </w:tc>
      </w:tr>
      <w:tr w:rsidR="0022723F" w:rsidRPr="00B81A28" w14:paraId="10FA8F7C" w14:textId="77777777" w:rsidTr="00365F35">
        <w:tc>
          <w:tcPr>
            <w:tcW w:w="4536" w:type="dxa"/>
          </w:tcPr>
          <w:p w14:paraId="6718B0DE"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Cloud Atlas Africa Real Estate ex-SA</w:t>
            </w:r>
          </w:p>
        </w:tc>
        <w:tc>
          <w:tcPr>
            <w:tcW w:w="1134" w:type="dxa"/>
          </w:tcPr>
          <w:p w14:paraId="3946123C" w14:textId="5693F87C" w:rsidR="0022723F" w:rsidRPr="00B81A28" w:rsidRDefault="00B56197" w:rsidP="00365F35">
            <w:pPr>
              <w:tabs>
                <w:tab w:val="left" w:pos="1050"/>
              </w:tabs>
              <w:spacing w:before="40" w:after="40" w:line="300" w:lineRule="atLeast"/>
              <w:jc w:val="center"/>
              <w:rPr>
                <w:rFonts w:ascii="Verdana" w:hAnsi="Verdana"/>
                <w:sz w:val="16"/>
                <w:szCs w:val="16"/>
              </w:rPr>
            </w:pPr>
            <w:r>
              <w:rPr>
                <w:rFonts w:ascii="Verdana" w:hAnsi="Verdana"/>
                <w:sz w:val="16"/>
                <w:szCs w:val="16"/>
              </w:rPr>
              <w:t>(5,51%)</w:t>
            </w:r>
          </w:p>
        </w:tc>
        <w:tc>
          <w:tcPr>
            <w:tcW w:w="1276" w:type="dxa"/>
          </w:tcPr>
          <w:p w14:paraId="50365C9D" w14:textId="6286657E" w:rsidR="0022723F" w:rsidRPr="00B81A28" w:rsidRDefault="00B56197" w:rsidP="00365F35">
            <w:pPr>
              <w:spacing w:before="40" w:after="40" w:line="300" w:lineRule="atLeast"/>
              <w:jc w:val="center"/>
              <w:rPr>
                <w:rFonts w:ascii="Verdana" w:hAnsi="Verdana"/>
                <w:sz w:val="16"/>
                <w:szCs w:val="16"/>
              </w:rPr>
            </w:pPr>
            <w:r>
              <w:rPr>
                <w:rFonts w:ascii="Verdana" w:hAnsi="Verdana"/>
                <w:sz w:val="16"/>
                <w:szCs w:val="16"/>
              </w:rPr>
              <w:t>(13,30%)</w:t>
            </w:r>
          </w:p>
        </w:tc>
        <w:tc>
          <w:tcPr>
            <w:tcW w:w="1134" w:type="dxa"/>
          </w:tcPr>
          <w:p w14:paraId="508BE48D" w14:textId="4AB9B79D" w:rsidR="0022723F" w:rsidRPr="00B81A28" w:rsidRDefault="00B56197" w:rsidP="00365F35">
            <w:pPr>
              <w:spacing w:before="40" w:after="40" w:line="300" w:lineRule="atLeast"/>
              <w:jc w:val="center"/>
              <w:rPr>
                <w:rFonts w:ascii="Verdana" w:hAnsi="Verdana"/>
                <w:sz w:val="16"/>
                <w:szCs w:val="16"/>
              </w:rPr>
            </w:pPr>
            <w:r>
              <w:rPr>
                <w:rFonts w:ascii="Verdana" w:hAnsi="Verdana"/>
                <w:sz w:val="16"/>
                <w:szCs w:val="16"/>
              </w:rPr>
              <w:t>(9,00%)</w:t>
            </w:r>
          </w:p>
        </w:tc>
        <w:tc>
          <w:tcPr>
            <w:tcW w:w="1134" w:type="dxa"/>
          </w:tcPr>
          <w:p w14:paraId="21CBD62F"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3E47E33"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FCA3C0D"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C6E8A2D"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7B7B6D1"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DED3AED"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1D836AFD" w14:textId="77777777" w:rsidTr="00365F35">
        <w:tc>
          <w:tcPr>
            <w:tcW w:w="4536" w:type="dxa"/>
          </w:tcPr>
          <w:p w14:paraId="775F4569"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 xml:space="preserve">CoreShares S&amp;P Global Property </w:t>
            </w:r>
          </w:p>
        </w:tc>
        <w:tc>
          <w:tcPr>
            <w:tcW w:w="1134" w:type="dxa"/>
          </w:tcPr>
          <w:p w14:paraId="1CF6C448" w14:textId="262B811F" w:rsidR="0022723F" w:rsidRPr="00B81A28" w:rsidRDefault="00B56197" w:rsidP="00365F35">
            <w:pPr>
              <w:tabs>
                <w:tab w:val="left" w:pos="1050"/>
              </w:tabs>
              <w:spacing w:before="40" w:after="40" w:line="300" w:lineRule="atLeast"/>
              <w:jc w:val="center"/>
              <w:rPr>
                <w:rFonts w:ascii="Verdana" w:hAnsi="Verdana"/>
                <w:sz w:val="16"/>
                <w:szCs w:val="16"/>
              </w:rPr>
            </w:pPr>
            <w:r>
              <w:rPr>
                <w:rFonts w:ascii="Verdana" w:hAnsi="Verdana"/>
                <w:sz w:val="16"/>
                <w:szCs w:val="16"/>
              </w:rPr>
              <w:t>(0,61%)</w:t>
            </w:r>
          </w:p>
        </w:tc>
        <w:tc>
          <w:tcPr>
            <w:tcW w:w="1276" w:type="dxa"/>
          </w:tcPr>
          <w:p w14:paraId="41D4D0CD" w14:textId="3A8FB330" w:rsidR="0022723F" w:rsidRPr="00B81A28" w:rsidRDefault="00B56197" w:rsidP="00365F35">
            <w:pPr>
              <w:spacing w:before="40" w:after="40" w:line="300" w:lineRule="atLeast"/>
              <w:jc w:val="center"/>
              <w:rPr>
                <w:rFonts w:ascii="Verdana" w:hAnsi="Verdana"/>
                <w:sz w:val="16"/>
                <w:szCs w:val="16"/>
              </w:rPr>
            </w:pPr>
            <w:r>
              <w:rPr>
                <w:rFonts w:ascii="Verdana" w:hAnsi="Verdana"/>
                <w:sz w:val="16"/>
                <w:szCs w:val="16"/>
              </w:rPr>
              <w:t>(2,14%)</w:t>
            </w:r>
          </w:p>
        </w:tc>
        <w:tc>
          <w:tcPr>
            <w:tcW w:w="1134" w:type="dxa"/>
          </w:tcPr>
          <w:p w14:paraId="1C5B2FBA" w14:textId="0D35BA3B" w:rsidR="0022723F" w:rsidRPr="00B81A28" w:rsidRDefault="00B56197" w:rsidP="00365F35">
            <w:pPr>
              <w:spacing w:before="40" w:after="40" w:line="300" w:lineRule="atLeast"/>
              <w:jc w:val="center"/>
              <w:rPr>
                <w:rFonts w:ascii="Verdana" w:hAnsi="Verdana"/>
                <w:sz w:val="16"/>
                <w:szCs w:val="16"/>
              </w:rPr>
            </w:pPr>
            <w:r>
              <w:rPr>
                <w:rFonts w:ascii="Verdana" w:hAnsi="Verdana"/>
                <w:sz w:val="16"/>
                <w:szCs w:val="16"/>
              </w:rPr>
              <w:t>(0,37%)</w:t>
            </w:r>
          </w:p>
        </w:tc>
        <w:tc>
          <w:tcPr>
            <w:tcW w:w="1134" w:type="dxa"/>
          </w:tcPr>
          <w:p w14:paraId="7142B195" w14:textId="02A4A149" w:rsidR="0022723F" w:rsidRPr="00B81A28" w:rsidRDefault="00B56197" w:rsidP="00365F35">
            <w:pPr>
              <w:spacing w:before="40" w:after="40" w:line="300" w:lineRule="atLeast"/>
              <w:jc w:val="center"/>
              <w:rPr>
                <w:rFonts w:ascii="Verdana" w:hAnsi="Verdana"/>
                <w:sz w:val="16"/>
                <w:szCs w:val="16"/>
              </w:rPr>
            </w:pPr>
            <w:r>
              <w:rPr>
                <w:rFonts w:ascii="Verdana" w:hAnsi="Verdana"/>
                <w:sz w:val="16"/>
                <w:szCs w:val="16"/>
              </w:rPr>
              <w:t>9,53%</w:t>
            </w:r>
          </w:p>
        </w:tc>
        <w:tc>
          <w:tcPr>
            <w:tcW w:w="1134" w:type="dxa"/>
          </w:tcPr>
          <w:p w14:paraId="26A3981E" w14:textId="08707ABF" w:rsidR="0022723F" w:rsidRPr="00B81A28" w:rsidRDefault="00B56197" w:rsidP="00365F35">
            <w:pPr>
              <w:spacing w:before="40" w:after="40" w:line="300" w:lineRule="atLeast"/>
              <w:jc w:val="center"/>
              <w:rPr>
                <w:rFonts w:ascii="Verdana" w:hAnsi="Verdana"/>
                <w:sz w:val="16"/>
                <w:szCs w:val="16"/>
              </w:rPr>
            </w:pPr>
            <w:r>
              <w:rPr>
                <w:rFonts w:ascii="Verdana" w:hAnsi="Verdana"/>
                <w:sz w:val="16"/>
                <w:szCs w:val="16"/>
              </w:rPr>
              <w:t>5,01%</w:t>
            </w:r>
          </w:p>
        </w:tc>
        <w:tc>
          <w:tcPr>
            <w:tcW w:w="1134" w:type="dxa"/>
            <w:shd w:val="clear" w:color="auto" w:fill="auto"/>
          </w:tcPr>
          <w:p w14:paraId="6D0F7B75"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6001910"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CCE4178"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FB27D73"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41114110" w14:textId="77777777" w:rsidTr="00365F35">
        <w:tc>
          <w:tcPr>
            <w:tcW w:w="4536" w:type="dxa"/>
          </w:tcPr>
          <w:p w14:paraId="55AC26F4"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Stanlib Global REIT Index Feeder</w:t>
            </w:r>
          </w:p>
        </w:tc>
        <w:tc>
          <w:tcPr>
            <w:tcW w:w="1134" w:type="dxa"/>
          </w:tcPr>
          <w:p w14:paraId="485F3D93" w14:textId="3761586A" w:rsidR="0022723F" w:rsidRPr="00B81A28" w:rsidRDefault="00C94F64" w:rsidP="00365F35">
            <w:pPr>
              <w:tabs>
                <w:tab w:val="left" w:pos="1050"/>
              </w:tabs>
              <w:spacing w:before="40" w:after="40" w:line="300" w:lineRule="atLeast"/>
              <w:jc w:val="center"/>
              <w:rPr>
                <w:rFonts w:ascii="Verdana" w:hAnsi="Verdana"/>
                <w:sz w:val="16"/>
                <w:szCs w:val="16"/>
              </w:rPr>
            </w:pPr>
            <w:r>
              <w:rPr>
                <w:rFonts w:ascii="Verdana" w:hAnsi="Verdana"/>
                <w:sz w:val="16"/>
                <w:szCs w:val="16"/>
              </w:rPr>
              <w:t>(3,33%)</w:t>
            </w:r>
          </w:p>
        </w:tc>
        <w:tc>
          <w:tcPr>
            <w:tcW w:w="1276" w:type="dxa"/>
          </w:tcPr>
          <w:p w14:paraId="08CA0F91" w14:textId="5ECC7A30"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(5,20%)</w:t>
            </w:r>
          </w:p>
        </w:tc>
        <w:tc>
          <w:tcPr>
            <w:tcW w:w="1134" w:type="dxa"/>
          </w:tcPr>
          <w:p w14:paraId="4AC3D503" w14:textId="65DF2869"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(2,03%)</w:t>
            </w:r>
          </w:p>
        </w:tc>
        <w:tc>
          <w:tcPr>
            <w:tcW w:w="1134" w:type="dxa"/>
          </w:tcPr>
          <w:p w14:paraId="55CFBBCA"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D641D36"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4C15884"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86D86C3"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CD7B345"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4A051C08"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395B0161" w14:textId="77777777" w:rsidTr="00365F35">
        <w:tc>
          <w:tcPr>
            <w:tcW w:w="4536" w:type="dxa"/>
          </w:tcPr>
          <w:p w14:paraId="4DF9DAB4"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Sygnia/Itrix Global Property</w:t>
            </w:r>
          </w:p>
        </w:tc>
        <w:tc>
          <w:tcPr>
            <w:tcW w:w="1134" w:type="dxa"/>
          </w:tcPr>
          <w:p w14:paraId="054807B5" w14:textId="4689CFCD" w:rsidR="0022723F" w:rsidRPr="00B81A28" w:rsidRDefault="00C94F64" w:rsidP="00365F35">
            <w:pPr>
              <w:tabs>
                <w:tab w:val="left" w:pos="1050"/>
              </w:tabs>
              <w:spacing w:before="40" w:after="40" w:line="300" w:lineRule="atLeast"/>
              <w:jc w:val="center"/>
              <w:rPr>
                <w:rFonts w:ascii="Verdana" w:hAnsi="Verdana"/>
                <w:sz w:val="16"/>
                <w:szCs w:val="16"/>
              </w:rPr>
            </w:pPr>
            <w:r>
              <w:rPr>
                <w:rFonts w:ascii="Verdana" w:hAnsi="Verdana"/>
                <w:sz w:val="16"/>
                <w:szCs w:val="16"/>
              </w:rPr>
              <w:t>(1,75%)</w:t>
            </w:r>
          </w:p>
        </w:tc>
        <w:tc>
          <w:tcPr>
            <w:tcW w:w="1276" w:type="dxa"/>
          </w:tcPr>
          <w:p w14:paraId="375C55D7" w14:textId="6F8CAEBD"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(1,62%)</w:t>
            </w:r>
          </w:p>
        </w:tc>
        <w:tc>
          <w:tcPr>
            <w:tcW w:w="1134" w:type="dxa"/>
          </w:tcPr>
          <w:p w14:paraId="6C55DD96" w14:textId="2067309D"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0,50%</w:t>
            </w:r>
          </w:p>
        </w:tc>
        <w:tc>
          <w:tcPr>
            <w:tcW w:w="1134" w:type="dxa"/>
          </w:tcPr>
          <w:p w14:paraId="3522C472" w14:textId="24B46F88"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10,46%</w:t>
            </w:r>
          </w:p>
        </w:tc>
        <w:tc>
          <w:tcPr>
            <w:tcW w:w="1134" w:type="dxa"/>
          </w:tcPr>
          <w:p w14:paraId="11D7141F"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32BA06A"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3BB5A9FF"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3476AEA"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5DD643B"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781CDC84" w14:textId="77777777" w:rsidTr="00365F35">
        <w:tc>
          <w:tcPr>
            <w:tcW w:w="14884" w:type="dxa"/>
            <w:gridSpan w:val="10"/>
            <w:shd w:val="clear" w:color="auto" w:fill="7583BD"/>
          </w:tcPr>
          <w:p w14:paraId="7350A6D3" w14:textId="77777777" w:rsidR="0022723F" w:rsidRPr="0067766B" w:rsidRDefault="0022723F" w:rsidP="00365F35">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Style / Smart Beta</w:t>
            </w:r>
          </w:p>
        </w:tc>
      </w:tr>
      <w:tr w:rsidR="0022723F" w:rsidRPr="00B81A28" w14:paraId="495D705C" w14:textId="77777777" w:rsidTr="00365F35">
        <w:tc>
          <w:tcPr>
            <w:tcW w:w="4536" w:type="dxa"/>
          </w:tcPr>
          <w:p w14:paraId="0644BB81"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 xml:space="preserve">CoreShares S&amp;P Global Dividend Aristocrat </w:t>
            </w:r>
          </w:p>
        </w:tc>
        <w:tc>
          <w:tcPr>
            <w:tcW w:w="1134" w:type="dxa"/>
          </w:tcPr>
          <w:p w14:paraId="15D9E79B" w14:textId="42916A0C" w:rsidR="0022723F" w:rsidRPr="00B81A28" w:rsidRDefault="00C94F64" w:rsidP="00365F35">
            <w:pPr>
              <w:tabs>
                <w:tab w:val="left" w:pos="1050"/>
              </w:tabs>
              <w:spacing w:before="40" w:after="40" w:line="300" w:lineRule="atLeast"/>
              <w:jc w:val="center"/>
              <w:rPr>
                <w:rFonts w:ascii="Verdana" w:hAnsi="Verdana"/>
                <w:sz w:val="16"/>
                <w:szCs w:val="16"/>
              </w:rPr>
            </w:pPr>
            <w:r>
              <w:rPr>
                <w:rFonts w:ascii="Verdana" w:hAnsi="Verdana"/>
                <w:sz w:val="16"/>
                <w:szCs w:val="16"/>
              </w:rPr>
              <w:t>(2,23%)</w:t>
            </w:r>
          </w:p>
        </w:tc>
        <w:tc>
          <w:tcPr>
            <w:tcW w:w="1276" w:type="dxa"/>
          </w:tcPr>
          <w:p w14:paraId="6396F16F" w14:textId="0D4B3CBC"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(8,04%)</w:t>
            </w:r>
          </w:p>
        </w:tc>
        <w:tc>
          <w:tcPr>
            <w:tcW w:w="1134" w:type="dxa"/>
          </w:tcPr>
          <w:p w14:paraId="30B91E25" w14:textId="119F90EE"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(1,85%)</w:t>
            </w:r>
          </w:p>
        </w:tc>
        <w:tc>
          <w:tcPr>
            <w:tcW w:w="1134" w:type="dxa"/>
          </w:tcPr>
          <w:p w14:paraId="48C63DB8"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83A923C"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A08F231"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4403F4E"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FC976C3"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EDE1878"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03194200" w14:textId="77777777" w:rsidTr="00365F35">
        <w:tc>
          <w:tcPr>
            <w:tcW w:w="4536" w:type="dxa"/>
          </w:tcPr>
          <w:p w14:paraId="20AC5F2D"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Stanlib S&amp;P 500 Info Tech Index Feeder</w:t>
            </w:r>
          </w:p>
        </w:tc>
        <w:tc>
          <w:tcPr>
            <w:tcW w:w="1134" w:type="dxa"/>
          </w:tcPr>
          <w:p w14:paraId="0FCC0E74" w14:textId="7F84C399" w:rsidR="0022723F" w:rsidRPr="00B81A28" w:rsidRDefault="00C94F64" w:rsidP="00365F35">
            <w:pPr>
              <w:tabs>
                <w:tab w:val="left" w:pos="1050"/>
              </w:tabs>
              <w:spacing w:before="40" w:after="40" w:line="300" w:lineRule="atLeast"/>
              <w:jc w:val="center"/>
              <w:rPr>
                <w:rFonts w:ascii="Verdana" w:hAnsi="Verdana"/>
                <w:sz w:val="16"/>
                <w:szCs w:val="16"/>
              </w:rPr>
            </w:pPr>
            <w:r>
              <w:rPr>
                <w:rFonts w:ascii="Verdana" w:hAnsi="Verdana"/>
                <w:sz w:val="16"/>
                <w:szCs w:val="16"/>
              </w:rPr>
              <w:t>(4,44%)</w:t>
            </w:r>
          </w:p>
        </w:tc>
        <w:tc>
          <w:tcPr>
            <w:tcW w:w="1276" w:type="dxa"/>
          </w:tcPr>
          <w:p w14:paraId="22532819" w14:textId="6132C420"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(16,00%)</w:t>
            </w:r>
          </w:p>
        </w:tc>
        <w:tc>
          <w:tcPr>
            <w:tcW w:w="1134" w:type="dxa"/>
          </w:tcPr>
          <w:p w14:paraId="6B360425" w14:textId="5CE52A5A"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(6,61%)</w:t>
            </w:r>
          </w:p>
        </w:tc>
        <w:tc>
          <w:tcPr>
            <w:tcW w:w="1134" w:type="dxa"/>
          </w:tcPr>
          <w:p w14:paraId="124A0112"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C17CC4E"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805B216"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D8DE976"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84203E6"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79C5297"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15F2FB98" w14:textId="77777777" w:rsidTr="00365F35">
        <w:tc>
          <w:tcPr>
            <w:tcW w:w="4536" w:type="dxa"/>
          </w:tcPr>
          <w:p w14:paraId="7B05B6FD"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Sygnia/Itrix 4</w:t>
            </w:r>
            <w:r w:rsidRPr="0067766B">
              <w:rPr>
                <w:rFonts w:ascii="Verdana" w:hAnsi="Verdana"/>
                <w:sz w:val="16"/>
                <w:szCs w:val="16"/>
                <w:vertAlign w:val="superscript"/>
              </w:rPr>
              <w:t>th</w:t>
            </w:r>
            <w:r>
              <w:rPr>
                <w:rFonts w:ascii="Verdana" w:hAnsi="Verdana"/>
                <w:sz w:val="16"/>
                <w:szCs w:val="16"/>
              </w:rPr>
              <w:t xml:space="preserve"> Industrial Revolution</w:t>
            </w:r>
          </w:p>
        </w:tc>
        <w:tc>
          <w:tcPr>
            <w:tcW w:w="1134" w:type="dxa"/>
          </w:tcPr>
          <w:p w14:paraId="254A0292" w14:textId="18C43EA7" w:rsidR="0022723F" w:rsidRPr="00B81A28" w:rsidRDefault="00C94F64" w:rsidP="00365F35">
            <w:pPr>
              <w:tabs>
                <w:tab w:val="left" w:pos="1050"/>
              </w:tabs>
              <w:spacing w:before="40" w:after="40" w:line="300" w:lineRule="atLeast"/>
              <w:jc w:val="center"/>
              <w:rPr>
                <w:rFonts w:ascii="Verdana" w:hAnsi="Verdana"/>
                <w:sz w:val="16"/>
                <w:szCs w:val="16"/>
              </w:rPr>
            </w:pPr>
            <w:r>
              <w:rPr>
                <w:rFonts w:ascii="Verdana" w:hAnsi="Verdana"/>
                <w:sz w:val="16"/>
                <w:szCs w:val="16"/>
              </w:rPr>
              <w:t>(7,37%)</w:t>
            </w:r>
          </w:p>
        </w:tc>
        <w:tc>
          <w:tcPr>
            <w:tcW w:w="1276" w:type="dxa"/>
          </w:tcPr>
          <w:p w14:paraId="235172C8" w14:textId="576C5CAE"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(19,20%)</w:t>
            </w:r>
          </w:p>
        </w:tc>
        <w:tc>
          <w:tcPr>
            <w:tcW w:w="1134" w:type="dxa"/>
          </w:tcPr>
          <w:p w14:paraId="06AD3109" w14:textId="4A167AC8"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(10,38%)</w:t>
            </w:r>
          </w:p>
        </w:tc>
        <w:tc>
          <w:tcPr>
            <w:tcW w:w="1134" w:type="dxa"/>
          </w:tcPr>
          <w:p w14:paraId="3D3ED999" w14:textId="24472FA4" w:rsidR="0022723F" w:rsidRPr="00B81A28" w:rsidRDefault="00C94F64" w:rsidP="00365F35">
            <w:pPr>
              <w:spacing w:before="40" w:after="40" w:line="300" w:lineRule="atLeast"/>
              <w:jc w:val="center"/>
              <w:rPr>
                <w:rFonts w:ascii="Verdana" w:hAnsi="Verdana"/>
                <w:sz w:val="16"/>
                <w:szCs w:val="16"/>
              </w:rPr>
            </w:pPr>
            <w:r>
              <w:rPr>
                <w:rFonts w:ascii="Verdana" w:hAnsi="Verdana"/>
                <w:sz w:val="16"/>
                <w:szCs w:val="16"/>
              </w:rPr>
              <w:t>3,19%</w:t>
            </w:r>
          </w:p>
        </w:tc>
        <w:tc>
          <w:tcPr>
            <w:tcW w:w="1134" w:type="dxa"/>
          </w:tcPr>
          <w:p w14:paraId="2F2E8652"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6E3B30F"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85913EE"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C5E3DE4"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6794905" w14:textId="77777777" w:rsidR="0022723F" w:rsidRPr="00B81A28" w:rsidRDefault="0022723F" w:rsidP="00365F35">
            <w:pPr>
              <w:spacing w:before="40" w:after="40" w:line="300" w:lineRule="atLeast"/>
              <w:jc w:val="center"/>
              <w:rPr>
                <w:rFonts w:ascii="Verdana" w:hAnsi="Verdana"/>
                <w:sz w:val="16"/>
                <w:szCs w:val="16"/>
              </w:rPr>
            </w:pPr>
            <w:r>
              <w:rPr>
                <w:rFonts w:ascii="Verdana" w:hAnsi="Verdana"/>
                <w:sz w:val="16"/>
                <w:szCs w:val="16"/>
              </w:rPr>
              <w:t>-</w:t>
            </w:r>
          </w:p>
        </w:tc>
      </w:tr>
      <w:tr w:rsidR="0022723F" w:rsidRPr="00B81A28" w14:paraId="1DF811F4" w14:textId="77777777" w:rsidTr="00365F35">
        <w:tc>
          <w:tcPr>
            <w:tcW w:w="14884" w:type="dxa"/>
            <w:gridSpan w:val="10"/>
            <w:shd w:val="clear" w:color="auto" w:fill="4C4C4C"/>
          </w:tcPr>
          <w:p w14:paraId="25AAA13B" w14:textId="77777777" w:rsidR="0022723F" w:rsidRPr="00F17816" w:rsidRDefault="0022723F" w:rsidP="00365F35">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FOREIGN ETNS</w:t>
            </w:r>
          </w:p>
        </w:tc>
      </w:tr>
      <w:tr w:rsidR="0022723F" w:rsidRPr="00B81A28" w14:paraId="2E67C38B" w14:textId="77777777" w:rsidTr="00365F35">
        <w:tc>
          <w:tcPr>
            <w:tcW w:w="4536" w:type="dxa"/>
          </w:tcPr>
          <w:p w14:paraId="50D575FC"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DB MSCI China Total Return</w:t>
            </w:r>
          </w:p>
        </w:tc>
        <w:tc>
          <w:tcPr>
            <w:tcW w:w="1134" w:type="dxa"/>
          </w:tcPr>
          <w:p w14:paraId="281C352A" w14:textId="09B38F75" w:rsidR="0022723F" w:rsidRPr="00B81A28" w:rsidRDefault="00FF45E5" w:rsidP="00365F35">
            <w:pPr>
              <w:tabs>
                <w:tab w:val="left" w:pos="1050"/>
              </w:tabs>
              <w:spacing w:before="40" w:after="40" w:line="300" w:lineRule="atLeast"/>
              <w:jc w:val="center"/>
              <w:rPr>
                <w:rFonts w:ascii="Verdana" w:hAnsi="Verdana"/>
                <w:sz w:val="16"/>
                <w:szCs w:val="16"/>
              </w:rPr>
            </w:pPr>
            <w:r>
              <w:rPr>
                <w:rFonts w:ascii="Verdana" w:hAnsi="Verdana"/>
                <w:sz w:val="16"/>
                <w:szCs w:val="16"/>
              </w:rPr>
              <w:t>(0,57%)</w:t>
            </w:r>
          </w:p>
        </w:tc>
        <w:tc>
          <w:tcPr>
            <w:tcW w:w="1276" w:type="dxa"/>
          </w:tcPr>
          <w:p w14:paraId="5D306652" w14:textId="4DF6F65A"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(9,04%)</w:t>
            </w:r>
          </w:p>
        </w:tc>
        <w:tc>
          <w:tcPr>
            <w:tcW w:w="1134" w:type="dxa"/>
          </w:tcPr>
          <w:p w14:paraId="24D23E5E" w14:textId="60ABCF6E"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(11,55%)</w:t>
            </w:r>
          </w:p>
        </w:tc>
        <w:tc>
          <w:tcPr>
            <w:tcW w:w="1134" w:type="dxa"/>
          </w:tcPr>
          <w:p w14:paraId="30AF692D" w14:textId="0EFEE365"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(8,74%)</w:t>
            </w:r>
          </w:p>
        </w:tc>
        <w:tc>
          <w:tcPr>
            <w:tcW w:w="1134" w:type="dxa"/>
          </w:tcPr>
          <w:p w14:paraId="5462B2B2" w14:textId="27415471"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14,46%</w:t>
            </w:r>
          </w:p>
        </w:tc>
        <w:tc>
          <w:tcPr>
            <w:tcW w:w="1134" w:type="dxa"/>
            <w:shd w:val="clear" w:color="auto" w:fill="auto"/>
          </w:tcPr>
          <w:p w14:paraId="696E3E36" w14:textId="38E1B273"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4,70%</w:t>
            </w:r>
          </w:p>
        </w:tc>
        <w:tc>
          <w:tcPr>
            <w:tcW w:w="1134" w:type="dxa"/>
            <w:shd w:val="clear" w:color="auto" w:fill="auto"/>
          </w:tcPr>
          <w:p w14:paraId="45559EDE" w14:textId="4461827B"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11,04%</w:t>
            </w:r>
          </w:p>
        </w:tc>
        <w:tc>
          <w:tcPr>
            <w:tcW w:w="1134" w:type="dxa"/>
          </w:tcPr>
          <w:p w14:paraId="00BC9128" w14:textId="7DA8963A"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15,47%</w:t>
            </w:r>
          </w:p>
        </w:tc>
        <w:tc>
          <w:tcPr>
            <w:tcW w:w="1134" w:type="dxa"/>
          </w:tcPr>
          <w:p w14:paraId="5D194B39"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58485D4E" w14:textId="77777777" w:rsidTr="00365F35">
        <w:tc>
          <w:tcPr>
            <w:tcW w:w="4536" w:type="dxa"/>
          </w:tcPr>
          <w:p w14:paraId="5DC577C6"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DB MSCI Emerging Markets Total Return</w:t>
            </w:r>
          </w:p>
        </w:tc>
        <w:tc>
          <w:tcPr>
            <w:tcW w:w="1134" w:type="dxa"/>
          </w:tcPr>
          <w:p w14:paraId="7B90BD52" w14:textId="74214365" w:rsidR="0022723F" w:rsidRPr="00B81A28" w:rsidRDefault="00FF45E5" w:rsidP="00365F35">
            <w:pPr>
              <w:tabs>
                <w:tab w:val="left" w:pos="1050"/>
              </w:tabs>
              <w:spacing w:before="40" w:after="40" w:line="300" w:lineRule="atLeast"/>
              <w:jc w:val="center"/>
              <w:rPr>
                <w:rFonts w:ascii="Verdana" w:hAnsi="Verdana"/>
                <w:sz w:val="16"/>
                <w:szCs w:val="16"/>
              </w:rPr>
            </w:pPr>
            <w:r>
              <w:rPr>
                <w:rFonts w:ascii="Verdana" w:hAnsi="Verdana"/>
                <w:sz w:val="16"/>
                <w:szCs w:val="16"/>
              </w:rPr>
              <w:t>2,50%</w:t>
            </w:r>
          </w:p>
        </w:tc>
        <w:tc>
          <w:tcPr>
            <w:tcW w:w="1276" w:type="dxa"/>
          </w:tcPr>
          <w:p w14:paraId="7ABBDD2F" w14:textId="18BA40AA"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(5,76%)</w:t>
            </w:r>
          </w:p>
        </w:tc>
        <w:tc>
          <w:tcPr>
            <w:tcW w:w="1134" w:type="dxa"/>
          </w:tcPr>
          <w:p w14:paraId="14215195" w14:textId="0BDA142A"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(3,91%)</w:t>
            </w:r>
          </w:p>
        </w:tc>
        <w:tc>
          <w:tcPr>
            <w:tcW w:w="1134" w:type="dxa"/>
          </w:tcPr>
          <w:p w14:paraId="5D437E32" w14:textId="222CCAEC"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0,82%</w:t>
            </w:r>
          </w:p>
        </w:tc>
        <w:tc>
          <w:tcPr>
            <w:tcW w:w="1134" w:type="dxa"/>
          </w:tcPr>
          <w:p w14:paraId="014D1F6E" w14:textId="6E621217"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10,66%</w:t>
            </w:r>
          </w:p>
        </w:tc>
        <w:tc>
          <w:tcPr>
            <w:tcW w:w="1134" w:type="dxa"/>
            <w:shd w:val="clear" w:color="auto" w:fill="auto"/>
          </w:tcPr>
          <w:p w14:paraId="06BB7B95" w14:textId="362D565B"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6,03%</w:t>
            </w:r>
          </w:p>
        </w:tc>
        <w:tc>
          <w:tcPr>
            <w:tcW w:w="1134" w:type="dxa"/>
            <w:shd w:val="clear" w:color="auto" w:fill="auto"/>
          </w:tcPr>
          <w:p w14:paraId="6180B495" w14:textId="3DDC594B"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7,71%</w:t>
            </w:r>
          </w:p>
        </w:tc>
        <w:tc>
          <w:tcPr>
            <w:tcW w:w="1134" w:type="dxa"/>
          </w:tcPr>
          <w:p w14:paraId="219C98FA" w14:textId="2A0DC7D3"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11,42%</w:t>
            </w:r>
          </w:p>
        </w:tc>
        <w:tc>
          <w:tcPr>
            <w:tcW w:w="1134" w:type="dxa"/>
          </w:tcPr>
          <w:p w14:paraId="0FA56CB7"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25DBEE0E" w14:textId="77777777" w:rsidTr="00365F35">
        <w:tc>
          <w:tcPr>
            <w:tcW w:w="4536" w:type="dxa"/>
          </w:tcPr>
          <w:p w14:paraId="6B305558" w14:textId="77777777" w:rsidR="0022723F" w:rsidRPr="00B81A28" w:rsidRDefault="0022723F" w:rsidP="00365F35">
            <w:pPr>
              <w:spacing w:before="40" w:after="40" w:line="300" w:lineRule="atLeast"/>
              <w:rPr>
                <w:rFonts w:ascii="Verdana" w:hAnsi="Verdana"/>
                <w:sz w:val="16"/>
                <w:szCs w:val="16"/>
              </w:rPr>
            </w:pPr>
            <w:r w:rsidRPr="00B81A28">
              <w:rPr>
                <w:rFonts w:ascii="Verdana" w:hAnsi="Verdana"/>
                <w:sz w:val="16"/>
                <w:szCs w:val="16"/>
              </w:rPr>
              <w:t>DB Africa Top 50 Capped Total Return</w:t>
            </w:r>
          </w:p>
        </w:tc>
        <w:tc>
          <w:tcPr>
            <w:tcW w:w="1134" w:type="dxa"/>
          </w:tcPr>
          <w:p w14:paraId="38471345" w14:textId="2566CE48" w:rsidR="0022723F" w:rsidRPr="00B81A28" w:rsidRDefault="00FF45E5" w:rsidP="00365F35">
            <w:pPr>
              <w:tabs>
                <w:tab w:val="left" w:pos="1050"/>
              </w:tabs>
              <w:spacing w:before="40" w:after="40" w:line="300" w:lineRule="atLeast"/>
              <w:jc w:val="center"/>
              <w:rPr>
                <w:rFonts w:ascii="Verdana" w:hAnsi="Verdana"/>
                <w:sz w:val="16"/>
                <w:szCs w:val="16"/>
              </w:rPr>
            </w:pPr>
            <w:r>
              <w:rPr>
                <w:rFonts w:ascii="Verdana" w:hAnsi="Verdana"/>
                <w:sz w:val="16"/>
                <w:szCs w:val="16"/>
              </w:rPr>
              <w:t>1,76%</w:t>
            </w:r>
          </w:p>
        </w:tc>
        <w:tc>
          <w:tcPr>
            <w:tcW w:w="1276" w:type="dxa"/>
          </w:tcPr>
          <w:p w14:paraId="19BB131D" w14:textId="751023BC"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(2,35%)</w:t>
            </w:r>
          </w:p>
        </w:tc>
        <w:tc>
          <w:tcPr>
            <w:tcW w:w="1134" w:type="dxa"/>
          </w:tcPr>
          <w:p w14:paraId="38D8F93B" w14:textId="135402FE"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(4,23%)</w:t>
            </w:r>
          </w:p>
        </w:tc>
        <w:tc>
          <w:tcPr>
            <w:tcW w:w="1134" w:type="dxa"/>
          </w:tcPr>
          <w:p w14:paraId="76DE2106" w14:textId="1753E19B"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(4,43%)</w:t>
            </w:r>
          </w:p>
        </w:tc>
        <w:tc>
          <w:tcPr>
            <w:tcW w:w="1134" w:type="dxa"/>
          </w:tcPr>
          <w:p w14:paraId="42A5E628" w14:textId="719FF644"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3,84%</w:t>
            </w:r>
          </w:p>
        </w:tc>
        <w:tc>
          <w:tcPr>
            <w:tcW w:w="1134" w:type="dxa"/>
            <w:shd w:val="clear" w:color="auto" w:fill="auto"/>
          </w:tcPr>
          <w:p w14:paraId="717B537C" w14:textId="639F07C2"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1,36%</w:t>
            </w:r>
          </w:p>
        </w:tc>
        <w:tc>
          <w:tcPr>
            <w:tcW w:w="1134" w:type="dxa"/>
            <w:shd w:val="clear" w:color="auto" w:fill="auto"/>
          </w:tcPr>
          <w:p w14:paraId="233EBCC7" w14:textId="73BC9997"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3,06%</w:t>
            </w:r>
          </w:p>
        </w:tc>
        <w:tc>
          <w:tcPr>
            <w:tcW w:w="1134" w:type="dxa"/>
          </w:tcPr>
          <w:p w14:paraId="38DCD42B" w14:textId="65E5E262"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10,69%</w:t>
            </w:r>
          </w:p>
        </w:tc>
        <w:tc>
          <w:tcPr>
            <w:tcW w:w="1134" w:type="dxa"/>
          </w:tcPr>
          <w:p w14:paraId="0AC4401A" w14:textId="77777777" w:rsidR="0022723F" w:rsidRPr="00B81A28" w:rsidRDefault="0022723F" w:rsidP="00365F35">
            <w:pPr>
              <w:spacing w:before="40" w:after="40" w:line="300" w:lineRule="atLeast"/>
              <w:jc w:val="center"/>
              <w:rPr>
                <w:rFonts w:ascii="Verdana" w:hAnsi="Verdana"/>
                <w:sz w:val="16"/>
                <w:szCs w:val="16"/>
              </w:rPr>
            </w:pPr>
          </w:p>
        </w:tc>
      </w:tr>
      <w:tr w:rsidR="0022723F" w:rsidRPr="00B81A28" w14:paraId="5F5E5862" w14:textId="77777777" w:rsidTr="00365F35">
        <w:tc>
          <w:tcPr>
            <w:tcW w:w="4536" w:type="dxa"/>
          </w:tcPr>
          <w:p w14:paraId="014842F1"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Africa Equity Index Total Return</w:t>
            </w:r>
          </w:p>
        </w:tc>
        <w:tc>
          <w:tcPr>
            <w:tcW w:w="1134" w:type="dxa"/>
          </w:tcPr>
          <w:p w14:paraId="4C3CBF56" w14:textId="42CC10A2" w:rsidR="0022723F" w:rsidRPr="00B81A28" w:rsidRDefault="00FF45E5" w:rsidP="00365F35">
            <w:pPr>
              <w:tabs>
                <w:tab w:val="left" w:pos="1050"/>
              </w:tabs>
              <w:spacing w:before="40" w:after="40" w:line="300" w:lineRule="atLeast"/>
              <w:jc w:val="center"/>
              <w:rPr>
                <w:rFonts w:ascii="Verdana" w:hAnsi="Verdana"/>
                <w:sz w:val="16"/>
                <w:szCs w:val="16"/>
              </w:rPr>
            </w:pPr>
            <w:r>
              <w:rPr>
                <w:rFonts w:ascii="Verdana" w:hAnsi="Verdana"/>
                <w:sz w:val="16"/>
                <w:szCs w:val="16"/>
              </w:rPr>
              <w:t>5,52%</w:t>
            </w:r>
          </w:p>
        </w:tc>
        <w:tc>
          <w:tcPr>
            <w:tcW w:w="1276" w:type="dxa"/>
          </w:tcPr>
          <w:p w14:paraId="51853164" w14:textId="22A8BA79"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(1,84%)</w:t>
            </w:r>
          </w:p>
        </w:tc>
        <w:tc>
          <w:tcPr>
            <w:tcW w:w="1134" w:type="dxa"/>
          </w:tcPr>
          <w:p w14:paraId="7DC4A4E3" w14:textId="2056FE43"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(6,89%)</w:t>
            </w:r>
          </w:p>
        </w:tc>
        <w:tc>
          <w:tcPr>
            <w:tcW w:w="1134" w:type="dxa"/>
          </w:tcPr>
          <w:p w14:paraId="7BF69751" w14:textId="6E546C21"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5,74%</w:t>
            </w:r>
          </w:p>
        </w:tc>
        <w:tc>
          <w:tcPr>
            <w:tcW w:w="1134" w:type="dxa"/>
          </w:tcPr>
          <w:p w14:paraId="3E17EC32" w14:textId="1F254CB8"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7,05%</w:t>
            </w:r>
          </w:p>
        </w:tc>
        <w:tc>
          <w:tcPr>
            <w:tcW w:w="1134" w:type="dxa"/>
            <w:shd w:val="clear" w:color="auto" w:fill="auto"/>
          </w:tcPr>
          <w:p w14:paraId="36CD180D" w14:textId="32F22B9C"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0,94%</w:t>
            </w:r>
          </w:p>
        </w:tc>
        <w:tc>
          <w:tcPr>
            <w:tcW w:w="1134" w:type="dxa"/>
            <w:shd w:val="clear" w:color="auto" w:fill="auto"/>
          </w:tcPr>
          <w:p w14:paraId="7520750C" w14:textId="48B7F36A"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(2,54%)</w:t>
            </w:r>
          </w:p>
        </w:tc>
        <w:tc>
          <w:tcPr>
            <w:tcW w:w="1134" w:type="dxa"/>
          </w:tcPr>
          <w:p w14:paraId="793754C0" w14:textId="77079D16" w:rsidR="0022723F" w:rsidRPr="00B81A28" w:rsidRDefault="00FF45E5" w:rsidP="00365F35">
            <w:pPr>
              <w:spacing w:before="40" w:after="40" w:line="300" w:lineRule="atLeast"/>
              <w:jc w:val="center"/>
              <w:rPr>
                <w:rFonts w:ascii="Verdana" w:hAnsi="Verdana"/>
                <w:sz w:val="16"/>
                <w:szCs w:val="16"/>
              </w:rPr>
            </w:pPr>
            <w:r>
              <w:rPr>
                <w:rFonts w:ascii="Verdana" w:hAnsi="Verdana"/>
                <w:sz w:val="16"/>
                <w:szCs w:val="16"/>
              </w:rPr>
              <w:t>4,29%</w:t>
            </w:r>
          </w:p>
        </w:tc>
        <w:tc>
          <w:tcPr>
            <w:tcW w:w="1134" w:type="dxa"/>
          </w:tcPr>
          <w:p w14:paraId="5ABB52A5"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bl>
    <w:p w14:paraId="41719CA4" w14:textId="77777777" w:rsidR="0022723F" w:rsidRDefault="0022723F" w:rsidP="0022723F">
      <w:pPr>
        <w:rPr>
          <w:rFonts w:ascii="Verdana" w:hAnsi="Verdana"/>
        </w:rPr>
      </w:pPr>
    </w:p>
    <w:p w14:paraId="3E930EC7" w14:textId="77777777" w:rsidR="0022723F" w:rsidRDefault="0022723F" w:rsidP="0022723F">
      <w:pPr>
        <w:spacing w:after="160" w:line="259" w:lineRule="auto"/>
        <w:rPr>
          <w:rFonts w:ascii="Verdana" w:hAnsi="Verdana"/>
        </w:rPr>
      </w:pPr>
      <w:r>
        <w:rPr>
          <w:rFonts w:ascii="Verdana" w:hAnsi="Verdana"/>
        </w:rPr>
        <w:br w:type="page"/>
      </w:r>
    </w:p>
    <w:p w14:paraId="2AAAC1E9" w14:textId="77777777" w:rsidR="0022723F" w:rsidRPr="00B81A28" w:rsidRDefault="0022723F" w:rsidP="0022723F">
      <w:pPr>
        <w:spacing w:after="0" w:line="240" w:lineRule="auto"/>
        <w:rPr>
          <w:rFonts w:ascii="Verdana" w:hAnsi="Verdana"/>
          <w:sz w:val="16"/>
          <w:szCs w:val="16"/>
        </w:rPr>
      </w:pPr>
      <w:r w:rsidRPr="00B81A28">
        <w:rPr>
          <w:rFonts w:ascii="Verdana" w:hAnsi="Verdana"/>
          <w:noProof/>
          <w:lang w:eastAsia="en-ZA"/>
        </w:rPr>
        <w:lastRenderedPageBreak/>
        <w:drawing>
          <wp:inline distT="0" distB="0" distL="0" distR="0" wp14:anchorId="366048A5" wp14:editId="26CFAA53">
            <wp:extent cx="3057525" cy="642486"/>
            <wp:effectExtent l="0" t="0" r="0" b="5715"/>
            <wp:docPr id="15" name="Picture 15"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2723F" w:rsidRPr="00B81A28" w14:paraId="1B3BB418" w14:textId="77777777" w:rsidTr="00365F35">
        <w:tc>
          <w:tcPr>
            <w:tcW w:w="14884" w:type="dxa"/>
            <w:gridSpan w:val="10"/>
            <w:shd w:val="clear" w:color="auto" w:fill="CB2229"/>
            <w:vAlign w:val="center"/>
          </w:tcPr>
          <w:p w14:paraId="73DDC469"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1DC4D5E6"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w:t>
            </w:r>
            <w:r w:rsidRPr="00B81A28">
              <w:rPr>
                <w:rFonts w:ascii="Verdana" w:hAnsi="Verdana"/>
                <w:b/>
                <w:color w:val="FFFFFF"/>
                <w:sz w:val="20"/>
                <w:szCs w:val="20"/>
              </w:rPr>
              <w:t xml:space="preserve"> 2018</w:t>
            </w:r>
          </w:p>
          <w:p w14:paraId="234EA5CF"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2723F" w:rsidRPr="00B81A28" w14:paraId="76AF4774" w14:textId="77777777" w:rsidTr="00365F35">
        <w:tc>
          <w:tcPr>
            <w:tcW w:w="4536" w:type="dxa"/>
            <w:shd w:val="clear" w:color="auto" w:fill="4C4C4C"/>
          </w:tcPr>
          <w:p w14:paraId="5C78B18B" w14:textId="77777777" w:rsidR="0022723F" w:rsidRPr="0067766B" w:rsidRDefault="0022723F" w:rsidP="00365F35">
            <w:pPr>
              <w:spacing w:before="40" w:after="40" w:line="300" w:lineRule="atLeast"/>
              <w:rPr>
                <w:rFonts w:ascii="Verdana" w:hAnsi="Verdana"/>
                <w:b/>
                <w:caps/>
                <w:color w:val="FFFFFF"/>
                <w:sz w:val="16"/>
                <w:szCs w:val="16"/>
              </w:rPr>
            </w:pPr>
            <w:r>
              <w:rPr>
                <w:rFonts w:ascii="Verdana" w:hAnsi="Verdana"/>
                <w:b/>
                <w:caps/>
                <w:color w:val="FFFFFF"/>
                <w:sz w:val="16"/>
                <w:szCs w:val="16"/>
              </w:rPr>
              <w:t>COMMODITIES</w:t>
            </w:r>
          </w:p>
        </w:tc>
        <w:tc>
          <w:tcPr>
            <w:tcW w:w="1134" w:type="dxa"/>
            <w:shd w:val="clear" w:color="auto" w:fill="4C4C4C"/>
          </w:tcPr>
          <w:p w14:paraId="1D3FFD83"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3AED402A"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3AC3603A"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744F6A28"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25A87F9D"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4C345FE8"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10503820"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7085EC3A"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5CC46DA5"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2723F" w:rsidRPr="00B81A28" w14:paraId="04919F23" w14:textId="77777777" w:rsidTr="00365F35">
        <w:tc>
          <w:tcPr>
            <w:tcW w:w="14884" w:type="dxa"/>
            <w:gridSpan w:val="10"/>
            <w:shd w:val="clear" w:color="auto" w:fill="7583BD"/>
            <w:vAlign w:val="center"/>
          </w:tcPr>
          <w:p w14:paraId="3D55184A" w14:textId="77777777" w:rsidR="0022723F" w:rsidRPr="00B81A28" w:rsidRDefault="0022723F" w:rsidP="00365F35">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ETFS</w:t>
            </w:r>
          </w:p>
        </w:tc>
      </w:tr>
      <w:tr w:rsidR="0022723F" w:rsidRPr="00B81A28" w14:paraId="25622C85" w14:textId="77777777" w:rsidTr="00365F35">
        <w:tc>
          <w:tcPr>
            <w:tcW w:w="4536" w:type="dxa"/>
          </w:tcPr>
          <w:p w14:paraId="6192A36E"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Absa NewGold</w:t>
            </w:r>
          </w:p>
        </w:tc>
        <w:tc>
          <w:tcPr>
            <w:tcW w:w="1134" w:type="dxa"/>
          </w:tcPr>
          <w:p w14:paraId="5194A91F" w14:textId="2A686E7C" w:rsidR="0022723F" w:rsidRPr="00B81A28" w:rsidRDefault="00BD1743" w:rsidP="00365F35">
            <w:pPr>
              <w:tabs>
                <w:tab w:val="left" w:pos="1050"/>
              </w:tabs>
              <w:spacing w:before="40" w:after="40" w:line="280" w:lineRule="atLeast"/>
              <w:jc w:val="center"/>
              <w:rPr>
                <w:rFonts w:ascii="Verdana" w:hAnsi="Verdana"/>
                <w:sz w:val="16"/>
                <w:szCs w:val="16"/>
              </w:rPr>
            </w:pPr>
            <w:r>
              <w:rPr>
                <w:rFonts w:ascii="Verdana" w:hAnsi="Verdana"/>
                <w:sz w:val="16"/>
                <w:szCs w:val="16"/>
              </w:rPr>
              <w:t>10,17%</w:t>
            </w:r>
          </w:p>
        </w:tc>
        <w:tc>
          <w:tcPr>
            <w:tcW w:w="1276" w:type="dxa"/>
          </w:tcPr>
          <w:p w14:paraId="4F28F542" w14:textId="6283B302"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9,65%</w:t>
            </w:r>
          </w:p>
        </w:tc>
        <w:tc>
          <w:tcPr>
            <w:tcW w:w="1134" w:type="dxa"/>
          </w:tcPr>
          <w:p w14:paraId="7155CD80" w14:textId="77F63F78"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7,15%</w:t>
            </w:r>
          </w:p>
        </w:tc>
        <w:tc>
          <w:tcPr>
            <w:tcW w:w="1134" w:type="dxa"/>
          </w:tcPr>
          <w:p w14:paraId="03B99041" w14:textId="084FEE00"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15,10%</w:t>
            </w:r>
          </w:p>
        </w:tc>
        <w:tc>
          <w:tcPr>
            <w:tcW w:w="1134" w:type="dxa"/>
          </w:tcPr>
          <w:p w14:paraId="00DFBEB2" w14:textId="773A3A89"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7,24%</w:t>
            </w:r>
          </w:p>
        </w:tc>
        <w:tc>
          <w:tcPr>
            <w:tcW w:w="1134" w:type="dxa"/>
            <w:shd w:val="clear" w:color="auto" w:fill="auto"/>
          </w:tcPr>
          <w:p w14:paraId="22A3652B" w14:textId="0BC15169"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3,24%</w:t>
            </w:r>
          </w:p>
        </w:tc>
        <w:tc>
          <w:tcPr>
            <w:tcW w:w="1134" w:type="dxa"/>
            <w:shd w:val="clear" w:color="auto" w:fill="auto"/>
          </w:tcPr>
          <w:p w14:paraId="716CE66E" w14:textId="40653012"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7,39%</w:t>
            </w:r>
          </w:p>
        </w:tc>
        <w:tc>
          <w:tcPr>
            <w:tcW w:w="1134" w:type="dxa"/>
          </w:tcPr>
          <w:p w14:paraId="79D0FE0F" w14:textId="05C507F9"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4,88%</w:t>
            </w:r>
          </w:p>
        </w:tc>
        <w:tc>
          <w:tcPr>
            <w:tcW w:w="1134" w:type="dxa"/>
          </w:tcPr>
          <w:p w14:paraId="61AF83DA" w14:textId="242719CE"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8,05%</w:t>
            </w:r>
          </w:p>
        </w:tc>
      </w:tr>
      <w:tr w:rsidR="0022723F" w:rsidRPr="00B81A28" w14:paraId="6FAD9D30" w14:textId="77777777" w:rsidTr="00365F35">
        <w:tc>
          <w:tcPr>
            <w:tcW w:w="4536" w:type="dxa"/>
          </w:tcPr>
          <w:p w14:paraId="4252BA7D"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Absa NewPlat</w:t>
            </w:r>
          </w:p>
        </w:tc>
        <w:tc>
          <w:tcPr>
            <w:tcW w:w="1134" w:type="dxa"/>
          </w:tcPr>
          <w:p w14:paraId="7AC934E2" w14:textId="0BDA6188" w:rsidR="0022723F" w:rsidRPr="00B81A28" w:rsidRDefault="00BD1743" w:rsidP="00365F35">
            <w:pPr>
              <w:tabs>
                <w:tab w:val="left" w:pos="1050"/>
              </w:tabs>
              <w:spacing w:before="40" w:after="40" w:line="280" w:lineRule="atLeast"/>
              <w:jc w:val="center"/>
              <w:rPr>
                <w:rFonts w:ascii="Verdana" w:hAnsi="Verdana"/>
                <w:sz w:val="16"/>
                <w:szCs w:val="16"/>
              </w:rPr>
            </w:pPr>
            <w:r>
              <w:rPr>
                <w:rFonts w:ascii="Verdana" w:hAnsi="Verdana"/>
                <w:sz w:val="16"/>
                <w:szCs w:val="16"/>
              </w:rPr>
              <w:t>2,47%</w:t>
            </w:r>
          </w:p>
        </w:tc>
        <w:tc>
          <w:tcPr>
            <w:tcW w:w="1276" w:type="dxa"/>
          </w:tcPr>
          <w:p w14:paraId="13FEBC63" w14:textId="63FF1025"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(1,90%)</w:t>
            </w:r>
          </w:p>
        </w:tc>
        <w:tc>
          <w:tcPr>
            <w:tcW w:w="1134" w:type="dxa"/>
          </w:tcPr>
          <w:p w14:paraId="2E8DE63A" w14:textId="5FFD16FB"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(3,70%)</w:t>
            </w:r>
          </w:p>
        </w:tc>
        <w:tc>
          <w:tcPr>
            <w:tcW w:w="1134" w:type="dxa"/>
          </w:tcPr>
          <w:p w14:paraId="14C604C2" w14:textId="6D4F0201"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(1,29%)</w:t>
            </w:r>
          </w:p>
        </w:tc>
        <w:tc>
          <w:tcPr>
            <w:tcW w:w="1134" w:type="dxa"/>
          </w:tcPr>
          <w:p w14:paraId="0BB1371C" w14:textId="02BB6BF1"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(4,60%)</w:t>
            </w:r>
          </w:p>
        </w:tc>
        <w:tc>
          <w:tcPr>
            <w:tcW w:w="1134" w:type="dxa"/>
            <w:shd w:val="clear" w:color="auto" w:fill="auto"/>
          </w:tcPr>
          <w:p w14:paraId="289BDC3B" w14:textId="4670DDCD"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(6,96%)</w:t>
            </w:r>
          </w:p>
        </w:tc>
        <w:tc>
          <w:tcPr>
            <w:tcW w:w="1134" w:type="dxa"/>
            <w:shd w:val="clear" w:color="auto" w:fill="auto"/>
          </w:tcPr>
          <w:p w14:paraId="7E5C799A" w14:textId="2328197B"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(4,87%)</w:t>
            </w:r>
          </w:p>
        </w:tc>
        <w:tc>
          <w:tcPr>
            <w:tcW w:w="1134" w:type="dxa"/>
          </w:tcPr>
          <w:p w14:paraId="3CB215A9"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6F5D308"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13585947" w14:textId="77777777" w:rsidTr="00365F35">
        <w:tc>
          <w:tcPr>
            <w:tcW w:w="4536" w:type="dxa"/>
          </w:tcPr>
          <w:p w14:paraId="72743EFC"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Absa New</w:t>
            </w:r>
            <w:r>
              <w:rPr>
                <w:rFonts w:ascii="Verdana" w:hAnsi="Verdana"/>
                <w:sz w:val="16"/>
                <w:szCs w:val="16"/>
              </w:rPr>
              <w:t>Gold</w:t>
            </w:r>
            <w:r w:rsidRPr="00B81A28">
              <w:rPr>
                <w:rFonts w:ascii="Verdana" w:hAnsi="Verdana"/>
                <w:sz w:val="16"/>
                <w:szCs w:val="16"/>
              </w:rPr>
              <w:t xml:space="preserve"> Palladium</w:t>
            </w:r>
          </w:p>
        </w:tc>
        <w:tc>
          <w:tcPr>
            <w:tcW w:w="1134" w:type="dxa"/>
          </w:tcPr>
          <w:p w14:paraId="70A12FD2" w14:textId="0E5CA892" w:rsidR="0022723F" w:rsidRPr="00B81A28" w:rsidRDefault="00BD1743" w:rsidP="00365F35">
            <w:pPr>
              <w:tabs>
                <w:tab w:val="left" w:pos="1050"/>
              </w:tabs>
              <w:spacing w:before="40" w:after="40" w:line="280" w:lineRule="atLeast"/>
              <w:jc w:val="center"/>
              <w:rPr>
                <w:rFonts w:ascii="Verdana" w:hAnsi="Verdana"/>
                <w:sz w:val="16"/>
                <w:szCs w:val="16"/>
              </w:rPr>
            </w:pPr>
            <w:r>
              <w:rPr>
                <w:rFonts w:ascii="Verdana" w:hAnsi="Verdana"/>
                <w:sz w:val="16"/>
                <w:szCs w:val="16"/>
              </w:rPr>
              <w:t>10,32%</w:t>
            </w:r>
          </w:p>
        </w:tc>
        <w:tc>
          <w:tcPr>
            <w:tcW w:w="1276" w:type="dxa"/>
          </w:tcPr>
          <w:p w14:paraId="72B4893E" w14:textId="30ABC821"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17,78%</w:t>
            </w:r>
          </w:p>
        </w:tc>
        <w:tc>
          <w:tcPr>
            <w:tcW w:w="1134" w:type="dxa"/>
          </w:tcPr>
          <w:p w14:paraId="1301F667" w14:textId="0C77E40E"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38,60%</w:t>
            </w:r>
          </w:p>
        </w:tc>
        <w:tc>
          <w:tcPr>
            <w:tcW w:w="1134" w:type="dxa"/>
          </w:tcPr>
          <w:p w14:paraId="4D569007" w14:textId="3AC89BE3"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39,22%</w:t>
            </w:r>
          </w:p>
        </w:tc>
        <w:tc>
          <w:tcPr>
            <w:tcW w:w="1134" w:type="dxa"/>
          </w:tcPr>
          <w:p w14:paraId="0CE048BE" w14:textId="1813E526"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40,22%</w:t>
            </w:r>
          </w:p>
        </w:tc>
        <w:tc>
          <w:tcPr>
            <w:tcW w:w="1134" w:type="dxa"/>
            <w:shd w:val="clear" w:color="auto" w:fill="auto"/>
          </w:tcPr>
          <w:p w14:paraId="13535F97" w14:textId="6660838D"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27,79%</w:t>
            </w:r>
          </w:p>
        </w:tc>
        <w:tc>
          <w:tcPr>
            <w:tcW w:w="1134" w:type="dxa"/>
            <w:shd w:val="clear" w:color="auto" w:fill="auto"/>
          </w:tcPr>
          <w:p w14:paraId="0086F109"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3D99D31"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E70401C"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156951F2" w14:textId="77777777" w:rsidTr="00365F35">
        <w:tc>
          <w:tcPr>
            <w:tcW w:w="4536" w:type="dxa"/>
          </w:tcPr>
          <w:p w14:paraId="3F65A9DF"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 xml:space="preserve">Standard Bank Africa Gold </w:t>
            </w:r>
          </w:p>
        </w:tc>
        <w:tc>
          <w:tcPr>
            <w:tcW w:w="1134" w:type="dxa"/>
          </w:tcPr>
          <w:p w14:paraId="3A32A8E1" w14:textId="77DC991F" w:rsidR="0022723F" w:rsidRPr="00B81A28" w:rsidRDefault="00BD1743" w:rsidP="00365F35">
            <w:pPr>
              <w:tabs>
                <w:tab w:val="left" w:pos="1050"/>
              </w:tabs>
              <w:spacing w:before="40" w:after="40" w:line="280" w:lineRule="atLeast"/>
              <w:jc w:val="center"/>
              <w:rPr>
                <w:rFonts w:ascii="Verdana" w:hAnsi="Verdana"/>
                <w:sz w:val="16"/>
                <w:szCs w:val="16"/>
              </w:rPr>
            </w:pPr>
            <w:r>
              <w:rPr>
                <w:rFonts w:ascii="Verdana" w:hAnsi="Verdana"/>
                <w:sz w:val="16"/>
                <w:szCs w:val="16"/>
              </w:rPr>
              <w:t>10,08%</w:t>
            </w:r>
          </w:p>
        </w:tc>
        <w:tc>
          <w:tcPr>
            <w:tcW w:w="1276" w:type="dxa"/>
          </w:tcPr>
          <w:p w14:paraId="4485838C" w14:textId="6E8A79A5"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9,39%</w:t>
            </w:r>
          </w:p>
        </w:tc>
        <w:tc>
          <w:tcPr>
            <w:tcW w:w="1134" w:type="dxa"/>
          </w:tcPr>
          <w:p w14:paraId="51147A75" w14:textId="4FB34D0F"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6,77%</w:t>
            </w:r>
          </w:p>
        </w:tc>
        <w:tc>
          <w:tcPr>
            <w:tcW w:w="1134" w:type="dxa"/>
          </w:tcPr>
          <w:p w14:paraId="19AACA3A" w14:textId="1AD05562"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15,07%</w:t>
            </w:r>
          </w:p>
        </w:tc>
        <w:tc>
          <w:tcPr>
            <w:tcW w:w="1134" w:type="dxa"/>
          </w:tcPr>
          <w:p w14:paraId="481CBFE1" w14:textId="167568EC"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7,26%</w:t>
            </w:r>
          </w:p>
        </w:tc>
        <w:tc>
          <w:tcPr>
            <w:tcW w:w="1134" w:type="dxa"/>
            <w:shd w:val="clear" w:color="auto" w:fill="auto"/>
          </w:tcPr>
          <w:p w14:paraId="11F9E60B" w14:textId="7EBC0D03"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3,28%</w:t>
            </w:r>
          </w:p>
        </w:tc>
        <w:tc>
          <w:tcPr>
            <w:tcW w:w="1134" w:type="dxa"/>
            <w:shd w:val="clear" w:color="auto" w:fill="auto"/>
          </w:tcPr>
          <w:p w14:paraId="3AFAFC87"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9B69A4A"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D49DB27"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42580F63" w14:textId="77777777" w:rsidTr="00365F35">
        <w:tc>
          <w:tcPr>
            <w:tcW w:w="4536" w:type="dxa"/>
          </w:tcPr>
          <w:p w14:paraId="04795E40"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 xml:space="preserve">Standard Bank Africa Palladium </w:t>
            </w:r>
          </w:p>
        </w:tc>
        <w:tc>
          <w:tcPr>
            <w:tcW w:w="1134" w:type="dxa"/>
          </w:tcPr>
          <w:p w14:paraId="3F216C9B" w14:textId="686BA74A" w:rsidR="0022723F" w:rsidRPr="00B81A28" w:rsidRDefault="00BD1743" w:rsidP="00365F35">
            <w:pPr>
              <w:tabs>
                <w:tab w:val="left" w:pos="1050"/>
              </w:tabs>
              <w:spacing w:before="40" w:after="40" w:line="280" w:lineRule="atLeast"/>
              <w:jc w:val="center"/>
              <w:rPr>
                <w:rFonts w:ascii="Verdana" w:hAnsi="Verdana"/>
                <w:sz w:val="16"/>
                <w:szCs w:val="16"/>
              </w:rPr>
            </w:pPr>
            <w:r>
              <w:rPr>
                <w:rFonts w:ascii="Verdana" w:hAnsi="Verdana"/>
                <w:sz w:val="16"/>
                <w:szCs w:val="16"/>
              </w:rPr>
              <w:t>11,02%</w:t>
            </w:r>
          </w:p>
        </w:tc>
        <w:tc>
          <w:tcPr>
            <w:tcW w:w="1276" w:type="dxa"/>
          </w:tcPr>
          <w:p w14:paraId="0050485C" w14:textId="19F33DB8"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17,52%</w:t>
            </w:r>
          </w:p>
        </w:tc>
        <w:tc>
          <w:tcPr>
            <w:tcW w:w="1134" w:type="dxa"/>
          </w:tcPr>
          <w:p w14:paraId="22F4A0EE" w14:textId="2B2F3C27"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37,69%</w:t>
            </w:r>
          </w:p>
        </w:tc>
        <w:tc>
          <w:tcPr>
            <w:tcW w:w="1134" w:type="dxa"/>
          </w:tcPr>
          <w:p w14:paraId="1DCE8416" w14:textId="15BE7219"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38,11%</w:t>
            </w:r>
          </w:p>
        </w:tc>
        <w:tc>
          <w:tcPr>
            <w:tcW w:w="1134" w:type="dxa"/>
          </w:tcPr>
          <w:p w14:paraId="16ADF5A5" w14:textId="4E0245F2"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39,67%</w:t>
            </w:r>
          </w:p>
        </w:tc>
        <w:tc>
          <w:tcPr>
            <w:tcW w:w="1134" w:type="dxa"/>
            <w:shd w:val="clear" w:color="auto" w:fill="auto"/>
          </w:tcPr>
          <w:p w14:paraId="2AB57084" w14:textId="66FD9017"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28,03%</w:t>
            </w:r>
          </w:p>
        </w:tc>
        <w:tc>
          <w:tcPr>
            <w:tcW w:w="1134" w:type="dxa"/>
            <w:shd w:val="clear" w:color="auto" w:fill="auto"/>
          </w:tcPr>
          <w:p w14:paraId="0DAA4CED"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955D2D3"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C85C15E"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0FF7D526" w14:textId="77777777" w:rsidTr="00365F35">
        <w:tc>
          <w:tcPr>
            <w:tcW w:w="4536" w:type="dxa"/>
          </w:tcPr>
          <w:p w14:paraId="47531372"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 xml:space="preserve">Standard Bank Africa Platinum </w:t>
            </w:r>
          </w:p>
        </w:tc>
        <w:tc>
          <w:tcPr>
            <w:tcW w:w="1134" w:type="dxa"/>
          </w:tcPr>
          <w:p w14:paraId="591DC505" w14:textId="0A0A904E" w:rsidR="0022723F" w:rsidRPr="00B81A28" w:rsidRDefault="00BD1743" w:rsidP="00365F35">
            <w:pPr>
              <w:tabs>
                <w:tab w:val="left" w:pos="1050"/>
              </w:tabs>
              <w:spacing w:before="40" w:after="40" w:line="280" w:lineRule="atLeast"/>
              <w:jc w:val="center"/>
              <w:rPr>
                <w:rFonts w:ascii="Verdana" w:hAnsi="Verdana"/>
                <w:sz w:val="16"/>
                <w:szCs w:val="16"/>
              </w:rPr>
            </w:pPr>
            <w:r>
              <w:rPr>
                <w:rFonts w:ascii="Verdana" w:hAnsi="Verdana"/>
                <w:sz w:val="16"/>
                <w:szCs w:val="16"/>
              </w:rPr>
              <w:t>3,44%</w:t>
            </w:r>
          </w:p>
        </w:tc>
        <w:tc>
          <w:tcPr>
            <w:tcW w:w="1276" w:type="dxa"/>
          </w:tcPr>
          <w:p w14:paraId="661C2B07" w14:textId="570D4366"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(1,63%)</w:t>
            </w:r>
          </w:p>
        </w:tc>
        <w:tc>
          <w:tcPr>
            <w:tcW w:w="1134" w:type="dxa"/>
          </w:tcPr>
          <w:p w14:paraId="61ABA00E" w14:textId="5AB64D1F"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(2,80%)</w:t>
            </w:r>
          </w:p>
        </w:tc>
        <w:tc>
          <w:tcPr>
            <w:tcW w:w="1134" w:type="dxa"/>
          </w:tcPr>
          <w:p w14:paraId="1028243D" w14:textId="62A5AB96"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(0,44%)</w:t>
            </w:r>
          </w:p>
        </w:tc>
        <w:tc>
          <w:tcPr>
            <w:tcW w:w="1134" w:type="dxa"/>
          </w:tcPr>
          <w:p w14:paraId="6F02E1E5" w14:textId="695512D7"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(4,41%)</w:t>
            </w:r>
          </w:p>
        </w:tc>
        <w:tc>
          <w:tcPr>
            <w:tcW w:w="1134" w:type="dxa"/>
            <w:shd w:val="clear" w:color="auto" w:fill="auto"/>
          </w:tcPr>
          <w:p w14:paraId="5CA0EEB3" w14:textId="2B4F2558"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(6,94%)</w:t>
            </w:r>
          </w:p>
        </w:tc>
        <w:tc>
          <w:tcPr>
            <w:tcW w:w="1134" w:type="dxa"/>
            <w:shd w:val="clear" w:color="auto" w:fill="auto"/>
          </w:tcPr>
          <w:p w14:paraId="24F22112"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7EB736C"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EB7E5CE"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19150DFB" w14:textId="77777777" w:rsidTr="00365F35">
        <w:tc>
          <w:tcPr>
            <w:tcW w:w="4536" w:type="dxa"/>
          </w:tcPr>
          <w:p w14:paraId="31B8C6F5"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 xml:space="preserve">Standard Bank Africa Rhodium </w:t>
            </w:r>
          </w:p>
        </w:tc>
        <w:tc>
          <w:tcPr>
            <w:tcW w:w="1134" w:type="dxa"/>
          </w:tcPr>
          <w:p w14:paraId="18B568AB" w14:textId="2F79883C" w:rsidR="0022723F" w:rsidRPr="00B81A28" w:rsidRDefault="00BD1743" w:rsidP="00365F35">
            <w:pPr>
              <w:tabs>
                <w:tab w:val="left" w:pos="1050"/>
              </w:tabs>
              <w:spacing w:before="40" w:after="40" w:line="280" w:lineRule="atLeast"/>
              <w:jc w:val="center"/>
              <w:rPr>
                <w:rFonts w:ascii="Verdana" w:hAnsi="Verdana"/>
                <w:sz w:val="16"/>
                <w:szCs w:val="16"/>
              </w:rPr>
            </w:pPr>
            <w:r>
              <w:rPr>
                <w:rFonts w:ascii="Verdana" w:hAnsi="Verdana"/>
                <w:sz w:val="16"/>
                <w:szCs w:val="16"/>
              </w:rPr>
              <w:t>(0,61%)</w:t>
            </w:r>
          </w:p>
        </w:tc>
        <w:tc>
          <w:tcPr>
            <w:tcW w:w="1276" w:type="dxa"/>
          </w:tcPr>
          <w:p w14:paraId="027D1C6D" w14:textId="5BCA4728"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(4,26%)</w:t>
            </w:r>
          </w:p>
        </w:tc>
        <w:tc>
          <w:tcPr>
            <w:tcW w:w="1134" w:type="dxa"/>
          </w:tcPr>
          <w:p w14:paraId="14B82CD6" w14:textId="0EBB8268"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12,42%</w:t>
            </w:r>
          </w:p>
        </w:tc>
        <w:tc>
          <w:tcPr>
            <w:tcW w:w="1134" w:type="dxa"/>
          </w:tcPr>
          <w:p w14:paraId="789CB9CD" w14:textId="115F3903"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64,57%</w:t>
            </w:r>
          </w:p>
        </w:tc>
        <w:tc>
          <w:tcPr>
            <w:tcW w:w="1134" w:type="dxa"/>
          </w:tcPr>
          <w:p w14:paraId="2F90D6D3" w14:textId="39851B90"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82,13%</w:t>
            </w:r>
          </w:p>
        </w:tc>
        <w:tc>
          <w:tcPr>
            <w:tcW w:w="1134" w:type="dxa"/>
            <w:shd w:val="clear" w:color="auto" w:fill="auto"/>
          </w:tcPr>
          <w:p w14:paraId="628E1F1D"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014C79CD"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6DE94DEA"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2A5EFCCD"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32B47B83" w14:textId="77777777" w:rsidTr="00365F35">
        <w:tc>
          <w:tcPr>
            <w:tcW w:w="4536" w:type="dxa"/>
          </w:tcPr>
          <w:p w14:paraId="57C610ED"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F</w:t>
            </w:r>
            <w:r>
              <w:rPr>
                <w:rFonts w:ascii="Verdana" w:hAnsi="Verdana"/>
                <w:sz w:val="16"/>
                <w:szCs w:val="16"/>
              </w:rPr>
              <w:t>irstRand</w:t>
            </w:r>
            <w:r w:rsidRPr="00B81A28">
              <w:rPr>
                <w:rFonts w:ascii="Verdana" w:hAnsi="Verdana"/>
                <w:sz w:val="16"/>
                <w:szCs w:val="16"/>
              </w:rPr>
              <w:t xml:space="preserve"> Krugerrand Custodian Certificate </w:t>
            </w:r>
          </w:p>
        </w:tc>
        <w:tc>
          <w:tcPr>
            <w:tcW w:w="1134" w:type="dxa"/>
          </w:tcPr>
          <w:p w14:paraId="64843D85" w14:textId="3112B279" w:rsidR="0022723F" w:rsidRPr="00B81A28" w:rsidRDefault="00BD1743" w:rsidP="00365F35">
            <w:pPr>
              <w:tabs>
                <w:tab w:val="left" w:pos="1050"/>
              </w:tabs>
              <w:spacing w:before="40" w:after="40" w:line="280" w:lineRule="atLeast"/>
              <w:jc w:val="center"/>
              <w:rPr>
                <w:rFonts w:ascii="Verdana" w:hAnsi="Verdana"/>
                <w:sz w:val="16"/>
                <w:szCs w:val="16"/>
              </w:rPr>
            </w:pPr>
            <w:r>
              <w:rPr>
                <w:rFonts w:ascii="Verdana" w:hAnsi="Verdana"/>
                <w:sz w:val="16"/>
                <w:szCs w:val="16"/>
              </w:rPr>
              <w:t>9,81%</w:t>
            </w:r>
          </w:p>
        </w:tc>
        <w:tc>
          <w:tcPr>
            <w:tcW w:w="1276" w:type="dxa"/>
          </w:tcPr>
          <w:p w14:paraId="403906F6" w14:textId="360BED9F"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7,80%</w:t>
            </w:r>
          </w:p>
        </w:tc>
        <w:tc>
          <w:tcPr>
            <w:tcW w:w="1134" w:type="dxa"/>
          </w:tcPr>
          <w:p w14:paraId="66CCD791" w14:textId="6C47F8A7"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5,28%</w:t>
            </w:r>
          </w:p>
        </w:tc>
        <w:tc>
          <w:tcPr>
            <w:tcW w:w="1134" w:type="dxa"/>
          </w:tcPr>
          <w:p w14:paraId="5B76CB76" w14:textId="4BF78210"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13,32%</w:t>
            </w:r>
          </w:p>
        </w:tc>
        <w:tc>
          <w:tcPr>
            <w:tcW w:w="1134" w:type="dxa"/>
          </w:tcPr>
          <w:p w14:paraId="77685C62" w14:textId="025F5F54"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7,30%</w:t>
            </w:r>
          </w:p>
        </w:tc>
        <w:tc>
          <w:tcPr>
            <w:tcW w:w="1134" w:type="dxa"/>
            <w:shd w:val="clear" w:color="auto" w:fill="auto"/>
          </w:tcPr>
          <w:p w14:paraId="79AD18BB" w14:textId="1F909B2F" w:rsidR="0022723F" w:rsidRPr="00B81A28" w:rsidRDefault="00BD1743" w:rsidP="00365F35">
            <w:pPr>
              <w:spacing w:before="40" w:after="40" w:line="280" w:lineRule="atLeast"/>
              <w:jc w:val="center"/>
              <w:rPr>
                <w:rFonts w:ascii="Verdana" w:hAnsi="Verdana"/>
                <w:sz w:val="16"/>
                <w:szCs w:val="16"/>
              </w:rPr>
            </w:pPr>
            <w:r>
              <w:rPr>
                <w:rFonts w:ascii="Verdana" w:hAnsi="Verdana"/>
                <w:sz w:val="16"/>
                <w:szCs w:val="16"/>
              </w:rPr>
              <w:t>2,76%</w:t>
            </w:r>
          </w:p>
        </w:tc>
        <w:tc>
          <w:tcPr>
            <w:tcW w:w="1134" w:type="dxa"/>
            <w:shd w:val="clear" w:color="auto" w:fill="auto"/>
          </w:tcPr>
          <w:p w14:paraId="009AA4F7"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7B741EA"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C6891F6"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1787FF7C" w14:textId="77777777" w:rsidTr="00365F35">
        <w:tc>
          <w:tcPr>
            <w:tcW w:w="14884" w:type="dxa"/>
            <w:gridSpan w:val="10"/>
            <w:shd w:val="clear" w:color="auto" w:fill="7583BD"/>
          </w:tcPr>
          <w:p w14:paraId="50F30EB4" w14:textId="77777777" w:rsidR="0022723F" w:rsidRPr="00AB33B6" w:rsidRDefault="0022723F" w:rsidP="00365F35">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22723F" w:rsidRPr="00B81A28" w14:paraId="6171EEC1" w14:textId="77777777" w:rsidTr="00365F35">
        <w:tc>
          <w:tcPr>
            <w:tcW w:w="4536" w:type="dxa"/>
          </w:tcPr>
          <w:p w14:paraId="576107B2"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Platinum</w:t>
            </w:r>
          </w:p>
        </w:tc>
        <w:tc>
          <w:tcPr>
            <w:tcW w:w="1134" w:type="dxa"/>
          </w:tcPr>
          <w:p w14:paraId="407114BA" w14:textId="442532FD" w:rsidR="0022723F" w:rsidRPr="00B81A28" w:rsidRDefault="00EB28CA" w:rsidP="00365F35">
            <w:pPr>
              <w:tabs>
                <w:tab w:val="left" w:pos="1050"/>
              </w:tabs>
              <w:spacing w:before="40" w:after="40" w:line="280" w:lineRule="atLeast"/>
              <w:jc w:val="center"/>
              <w:rPr>
                <w:rFonts w:ascii="Verdana" w:hAnsi="Verdana"/>
                <w:sz w:val="16"/>
                <w:szCs w:val="16"/>
              </w:rPr>
            </w:pPr>
            <w:r>
              <w:rPr>
                <w:rFonts w:ascii="Verdana" w:hAnsi="Verdana"/>
                <w:sz w:val="16"/>
                <w:szCs w:val="16"/>
              </w:rPr>
              <w:t>2,72%</w:t>
            </w:r>
          </w:p>
        </w:tc>
        <w:tc>
          <w:tcPr>
            <w:tcW w:w="1276" w:type="dxa"/>
          </w:tcPr>
          <w:p w14:paraId="4D34EDF9" w14:textId="72EEB69C"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(2,3</w:t>
            </w:r>
            <w:r w:rsidR="00FB0A09">
              <w:rPr>
                <w:rFonts w:ascii="Verdana" w:hAnsi="Verdana"/>
                <w:sz w:val="16"/>
                <w:szCs w:val="16"/>
              </w:rPr>
              <w:t>4</w:t>
            </w:r>
            <w:r>
              <w:rPr>
                <w:rFonts w:ascii="Verdana" w:hAnsi="Verdana"/>
                <w:sz w:val="16"/>
                <w:szCs w:val="16"/>
              </w:rPr>
              <w:t>%)</w:t>
            </w:r>
          </w:p>
        </w:tc>
        <w:tc>
          <w:tcPr>
            <w:tcW w:w="1134" w:type="dxa"/>
          </w:tcPr>
          <w:p w14:paraId="029A5176" w14:textId="17E76D01"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(3,38%)</w:t>
            </w:r>
          </w:p>
        </w:tc>
        <w:tc>
          <w:tcPr>
            <w:tcW w:w="1134" w:type="dxa"/>
          </w:tcPr>
          <w:p w14:paraId="7533D3D6" w14:textId="51CC434C"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(1,02%)</w:t>
            </w:r>
          </w:p>
        </w:tc>
        <w:tc>
          <w:tcPr>
            <w:tcW w:w="1134" w:type="dxa"/>
          </w:tcPr>
          <w:p w14:paraId="6052ACE2" w14:textId="3AE8243D"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(4,31%)</w:t>
            </w:r>
          </w:p>
        </w:tc>
        <w:tc>
          <w:tcPr>
            <w:tcW w:w="1134" w:type="dxa"/>
            <w:shd w:val="clear" w:color="auto" w:fill="auto"/>
          </w:tcPr>
          <w:p w14:paraId="5EBF397C" w14:textId="0C11F678"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(5,82%)</w:t>
            </w:r>
          </w:p>
        </w:tc>
        <w:tc>
          <w:tcPr>
            <w:tcW w:w="1134" w:type="dxa"/>
            <w:shd w:val="clear" w:color="auto" w:fill="auto"/>
          </w:tcPr>
          <w:p w14:paraId="690D2CA6" w14:textId="01E18BBD"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(4,64%)</w:t>
            </w:r>
          </w:p>
        </w:tc>
        <w:tc>
          <w:tcPr>
            <w:tcW w:w="1134" w:type="dxa"/>
          </w:tcPr>
          <w:p w14:paraId="3976DE02"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202FB650"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7363FB2B" w14:textId="77777777" w:rsidTr="00365F35">
        <w:tc>
          <w:tcPr>
            <w:tcW w:w="4536" w:type="dxa"/>
          </w:tcPr>
          <w:p w14:paraId="6AE15E31"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Silver</w:t>
            </w:r>
          </w:p>
        </w:tc>
        <w:tc>
          <w:tcPr>
            <w:tcW w:w="1134" w:type="dxa"/>
          </w:tcPr>
          <w:p w14:paraId="62E77635" w14:textId="7CDAE226" w:rsidR="0022723F" w:rsidRPr="00B81A28" w:rsidRDefault="00EB28CA" w:rsidP="00365F35">
            <w:pPr>
              <w:tabs>
                <w:tab w:val="left" w:pos="1050"/>
              </w:tabs>
              <w:spacing w:before="40" w:after="40" w:line="280" w:lineRule="atLeast"/>
              <w:jc w:val="center"/>
              <w:rPr>
                <w:rFonts w:ascii="Verdana" w:hAnsi="Verdana"/>
                <w:sz w:val="16"/>
                <w:szCs w:val="16"/>
              </w:rPr>
            </w:pPr>
            <w:r>
              <w:rPr>
                <w:rFonts w:ascii="Verdana" w:hAnsi="Verdana"/>
                <w:sz w:val="16"/>
                <w:szCs w:val="16"/>
              </w:rPr>
              <w:t>14,29%</w:t>
            </w:r>
          </w:p>
        </w:tc>
        <w:tc>
          <w:tcPr>
            <w:tcW w:w="1276" w:type="dxa"/>
          </w:tcPr>
          <w:p w14:paraId="64AECB8F" w14:textId="22098131"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6,93%</w:t>
            </w:r>
          </w:p>
        </w:tc>
        <w:tc>
          <w:tcPr>
            <w:tcW w:w="1134" w:type="dxa"/>
          </w:tcPr>
          <w:p w14:paraId="20C413E7" w14:textId="56903228"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0,00%</w:t>
            </w:r>
          </w:p>
        </w:tc>
        <w:tc>
          <w:tcPr>
            <w:tcW w:w="1134" w:type="dxa"/>
          </w:tcPr>
          <w:p w14:paraId="1D3C4E6D" w14:textId="1C16CA30"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5,37%</w:t>
            </w:r>
          </w:p>
        </w:tc>
        <w:tc>
          <w:tcPr>
            <w:tcW w:w="1134" w:type="dxa"/>
          </w:tcPr>
          <w:p w14:paraId="2D996658" w14:textId="13597EA9"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0,47%</w:t>
            </w:r>
          </w:p>
        </w:tc>
        <w:tc>
          <w:tcPr>
            <w:tcW w:w="1134" w:type="dxa"/>
            <w:shd w:val="clear" w:color="auto" w:fill="auto"/>
          </w:tcPr>
          <w:p w14:paraId="70F80107" w14:textId="26281538"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0,49%</w:t>
            </w:r>
          </w:p>
        </w:tc>
        <w:tc>
          <w:tcPr>
            <w:tcW w:w="1134" w:type="dxa"/>
            <w:shd w:val="clear" w:color="auto" w:fill="auto"/>
          </w:tcPr>
          <w:p w14:paraId="754C592F" w14:textId="59060B75" w:rsidR="0022723F" w:rsidRPr="00B81A28" w:rsidRDefault="00EB28CA" w:rsidP="00365F35">
            <w:pPr>
              <w:spacing w:before="40" w:after="40" w:line="280" w:lineRule="atLeast"/>
              <w:jc w:val="center"/>
              <w:rPr>
                <w:rFonts w:ascii="Verdana" w:hAnsi="Verdana"/>
                <w:sz w:val="16"/>
                <w:szCs w:val="16"/>
              </w:rPr>
            </w:pPr>
            <w:r>
              <w:rPr>
                <w:rFonts w:ascii="Verdana" w:hAnsi="Verdana"/>
                <w:sz w:val="16"/>
                <w:szCs w:val="16"/>
              </w:rPr>
              <w:t>1,15%</w:t>
            </w:r>
          </w:p>
        </w:tc>
        <w:tc>
          <w:tcPr>
            <w:tcW w:w="1134" w:type="dxa"/>
          </w:tcPr>
          <w:p w14:paraId="0D0652CB"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6A2ECD1"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48D2DFBF" w14:textId="77777777" w:rsidTr="00365F35">
        <w:tc>
          <w:tcPr>
            <w:tcW w:w="4536" w:type="dxa"/>
          </w:tcPr>
          <w:p w14:paraId="5DA79A61"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Africa Commodity Index</w:t>
            </w:r>
          </w:p>
        </w:tc>
        <w:tc>
          <w:tcPr>
            <w:tcW w:w="1134" w:type="dxa"/>
          </w:tcPr>
          <w:p w14:paraId="01DA5B86" w14:textId="0899ECFC" w:rsidR="0022723F" w:rsidRPr="00B81A28" w:rsidRDefault="008F52E3" w:rsidP="00365F35">
            <w:pPr>
              <w:tabs>
                <w:tab w:val="left" w:pos="1050"/>
              </w:tabs>
              <w:spacing w:before="40" w:after="40" w:line="280" w:lineRule="atLeast"/>
              <w:jc w:val="center"/>
              <w:rPr>
                <w:rFonts w:ascii="Verdana" w:hAnsi="Verdana"/>
                <w:sz w:val="16"/>
                <w:szCs w:val="16"/>
              </w:rPr>
            </w:pPr>
            <w:r>
              <w:rPr>
                <w:rFonts w:ascii="Verdana" w:hAnsi="Verdana"/>
                <w:sz w:val="16"/>
                <w:szCs w:val="16"/>
              </w:rPr>
              <w:t>1,41%</w:t>
            </w:r>
          </w:p>
        </w:tc>
        <w:tc>
          <w:tcPr>
            <w:tcW w:w="1276" w:type="dxa"/>
          </w:tcPr>
          <w:p w14:paraId="30F5E6D1" w14:textId="617979E5" w:rsidR="0022723F" w:rsidRPr="00B81A28" w:rsidRDefault="008F52E3" w:rsidP="00365F35">
            <w:pPr>
              <w:spacing w:before="40" w:after="40" w:line="280" w:lineRule="atLeast"/>
              <w:jc w:val="center"/>
              <w:rPr>
                <w:rFonts w:ascii="Verdana" w:hAnsi="Verdana"/>
                <w:sz w:val="16"/>
                <w:szCs w:val="16"/>
              </w:rPr>
            </w:pPr>
            <w:r>
              <w:rPr>
                <w:rFonts w:ascii="Verdana" w:hAnsi="Verdana"/>
                <w:sz w:val="16"/>
                <w:szCs w:val="16"/>
              </w:rPr>
              <w:t>(14,86%)</w:t>
            </w:r>
          </w:p>
        </w:tc>
        <w:tc>
          <w:tcPr>
            <w:tcW w:w="1134" w:type="dxa"/>
          </w:tcPr>
          <w:p w14:paraId="64A4B02D" w14:textId="4219EAE1" w:rsidR="0022723F" w:rsidRPr="00B81A28" w:rsidRDefault="008F52E3" w:rsidP="00365F35">
            <w:pPr>
              <w:spacing w:before="40" w:after="40" w:line="280" w:lineRule="atLeast"/>
              <w:jc w:val="center"/>
              <w:rPr>
                <w:rFonts w:ascii="Verdana" w:hAnsi="Verdana"/>
                <w:sz w:val="16"/>
                <w:szCs w:val="16"/>
              </w:rPr>
            </w:pPr>
            <w:r>
              <w:rPr>
                <w:rFonts w:ascii="Verdana" w:hAnsi="Verdana"/>
                <w:sz w:val="16"/>
                <w:szCs w:val="16"/>
              </w:rPr>
              <w:t>(14,15%)</w:t>
            </w:r>
          </w:p>
        </w:tc>
        <w:tc>
          <w:tcPr>
            <w:tcW w:w="1134" w:type="dxa"/>
          </w:tcPr>
          <w:p w14:paraId="1D078D6F" w14:textId="1FF30EA2" w:rsidR="0022723F" w:rsidRPr="00B81A28" w:rsidRDefault="008F52E3" w:rsidP="00365F35">
            <w:pPr>
              <w:spacing w:before="40" w:after="40" w:line="280" w:lineRule="atLeast"/>
              <w:jc w:val="center"/>
              <w:rPr>
                <w:rFonts w:ascii="Verdana" w:hAnsi="Verdana"/>
                <w:sz w:val="16"/>
                <w:szCs w:val="16"/>
              </w:rPr>
            </w:pPr>
            <w:r>
              <w:rPr>
                <w:rFonts w:ascii="Verdana" w:hAnsi="Verdana"/>
                <w:sz w:val="16"/>
                <w:szCs w:val="16"/>
              </w:rPr>
              <w:t>0,74%</w:t>
            </w:r>
          </w:p>
        </w:tc>
        <w:tc>
          <w:tcPr>
            <w:tcW w:w="1134" w:type="dxa"/>
          </w:tcPr>
          <w:p w14:paraId="45C9A20E" w14:textId="2ED3EAB6" w:rsidR="0022723F" w:rsidRPr="00B81A28" w:rsidRDefault="008F52E3" w:rsidP="00365F35">
            <w:pPr>
              <w:spacing w:before="40" w:after="40" w:line="280" w:lineRule="atLeast"/>
              <w:jc w:val="center"/>
              <w:rPr>
                <w:rFonts w:ascii="Verdana" w:hAnsi="Verdana"/>
                <w:sz w:val="16"/>
                <w:szCs w:val="16"/>
              </w:rPr>
            </w:pPr>
            <w:r>
              <w:rPr>
                <w:rFonts w:ascii="Verdana" w:hAnsi="Verdana"/>
                <w:sz w:val="16"/>
                <w:szCs w:val="16"/>
              </w:rPr>
              <w:t>1,37%</w:t>
            </w:r>
          </w:p>
        </w:tc>
        <w:tc>
          <w:tcPr>
            <w:tcW w:w="1134" w:type="dxa"/>
            <w:shd w:val="clear" w:color="auto" w:fill="auto"/>
          </w:tcPr>
          <w:p w14:paraId="635ADEE8" w14:textId="47B307CE" w:rsidR="0022723F" w:rsidRPr="00B81A28" w:rsidRDefault="008F52E3" w:rsidP="00365F35">
            <w:pPr>
              <w:spacing w:before="40" w:after="40" w:line="280" w:lineRule="atLeast"/>
              <w:jc w:val="center"/>
              <w:rPr>
                <w:rFonts w:ascii="Verdana" w:hAnsi="Verdana"/>
                <w:sz w:val="16"/>
                <w:szCs w:val="16"/>
              </w:rPr>
            </w:pPr>
            <w:r>
              <w:rPr>
                <w:rFonts w:ascii="Verdana" w:hAnsi="Verdana"/>
                <w:sz w:val="16"/>
                <w:szCs w:val="16"/>
              </w:rPr>
              <w:t>2,33%</w:t>
            </w:r>
          </w:p>
        </w:tc>
        <w:tc>
          <w:tcPr>
            <w:tcW w:w="1134" w:type="dxa"/>
            <w:shd w:val="clear" w:color="auto" w:fill="auto"/>
          </w:tcPr>
          <w:p w14:paraId="302652BC" w14:textId="57608FC9" w:rsidR="0022723F" w:rsidRPr="00B81A28" w:rsidRDefault="008F52E3" w:rsidP="00365F35">
            <w:pPr>
              <w:spacing w:before="40" w:after="40" w:line="280" w:lineRule="atLeast"/>
              <w:jc w:val="center"/>
              <w:rPr>
                <w:rFonts w:ascii="Verdana" w:hAnsi="Verdana"/>
                <w:sz w:val="16"/>
                <w:szCs w:val="16"/>
              </w:rPr>
            </w:pPr>
            <w:r>
              <w:rPr>
                <w:rFonts w:ascii="Verdana" w:hAnsi="Verdana"/>
                <w:sz w:val="16"/>
                <w:szCs w:val="16"/>
              </w:rPr>
              <w:t>(0,84%)</w:t>
            </w:r>
          </w:p>
        </w:tc>
        <w:tc>
          <w:tcPr>
            <w:tcW w:w="1134" w:type="dxa"/>
          </w:tcPr>
          <w:p w14:paraId="4940B1B7" w14:textId="13A41E18" w:rsidR="0022723F" w:rsidRPr="00B81A28" w:rsidRDefault="008F52E3" w:rsidP="00365F35">
            <w:pPr>
              <w:spacing w:before="40" w:after="40" w:line="280" w:lineRule="atLeast"/>
              <w:jc w:val="center"/>
              <w:rPr>
                <w:rFonts w:ascii="Verdana" w:hAnsi="Verdana"/>
                <w:sz w:val="16"/>
                <w:szCs w:val="16"/>
              </w:rPr>
            </w:pPr>
            <w:r>
              <w:rPr>
                <w:rFonts w:ascii="Verdana" w:hAnsi="Verdana"/>
                <w:sz w:val="16"/>
                <w:szCs w:val="16"/>
              </w:rPr>
              <w:t>1,80%</w:t>
            </w:r>
          </w:p>
        </w:tc>
        <w:tc>
          <w:tcPr>
            <w:tcW w:w="1134" w:type="dxa"/>
          </w:tcPr>
          <w:p w14:paraId="51EE94E4"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68658227" w14:textId="77777777" w:rsidTr="00365F35">
        <w:tc>
          <w:tcPr>
            <w:tcW w:w="4536" w:type="dxa"/>
          </w:tcPr>
          <w:p w14:paraId="5CDE71F6"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Gold-Linker</w:t>
            </w:r>
          </w:p>
        </w:tc>
        <w:tc>
          <w:tcPr>
            <w:tcW w:w="1134" w:type="dxa"/>
          </w:tcPr>
          <w:p w14:paraId="5CC6C075" w14:textId="4B97FF47" w:rsidR="0022723F" w:rsidRPr="00B81A28" w:rsidRDefault="009C643E" w:rsidP="00365F35">
            <w:pPr>
              <w:tabs>
                <w:tab w:val="left" w:pos="1050"/>
              </w:tabs>
              <w:spacing w:before="40" w:after="40" w:line="280" w:lineRule="atLeast"/>
              <w:jc w:val="center"/>
              <w:rPr>
                <w:rFonts w:ascii="Verdana" w:hAnsi="Verdana"/>
                <w:sz w:val="16"/>
                <w:szCs w:val="16"/>
              </w:rPr>
            </w:pPr>
            <w:r>
              <w:rPr>
                <w:rFonts w:ascii="Verdana" w:hAnsi="Verdana"/>
                <w:sz w:val="16"/>
                <w:szCs w:val="16"/>
              </w:rPr>
              <w:t>9,55%</w:t>
            </w:r>
          </w:p>
        </w:tc>
        <w:tc>
          <w:tcPr>
            <w:tcW w:w="1276" w:type="dxa"/>
          </w:tcPr>
          <w:p w14:paraId="4FD23D64" w14:textId="3D75000E" w:rsidR="0022723F" w:rsidRPr="00B81A28" w:rsidRDefault="009C643E" w:rsidP="00365F35">
            <w:pPr>
              <w:spacing w:before="40" w:after="40" w:line="280" w:lineRule="atLeast"/>
              <w:jc w:val="center"/>
              <w:rPr>
                <w:rFonts w:ascii="Verdana" w:hAnsi="Verdana"/>
                <w:sz w:val="16"/>
                <w:szCs w:val="16"/>
              </w:rPr>
            </w:pPr>
            <w:r>
              <w:rPr>
                <w:rFonts w:ascii="Verdana" w:hAnsi="Verdana"/>
                <w:sz w:val="16"/>
                <w:szCs w:val="16"/>
              </w:rPr>
              <w:t>8,78%</w:t>
            </w:r>
          </w:p>
        </w:tc>
        <w:tc>
          <w:tcPr>
            <w:tcW w:w="1134" w:type="dxa"/>
          </w:tcPr>
          <w:p w14:paraId="4F8A0CF4" w14:textId="3B2D943D" w:rsidR="0022723F" w:rsidRPr="00B81A28" w:rsidRDefault="009C643E" w:rsidP="00365F35">
            <w:pPr>
              <w:spacing w:before="40" w:after="40" w:line="280" w:lineRule="atLeast"/>
              <w:jc w:val="center"/>
              <w:rPr>
                <w:rFonts w:ascii="Verdana" w:hAnsi="Verdana"/>
                <w:sz w:val="16"/>
                <w:szCs w:val="16"/>
              </w:rPr>
            </w:pPr>
            <w:r>
              <w:rPr>
                <w:rFonts w:ascii="Verdana" w:hAnsi="Verdana"/>
                <w:sz w:val="16"/>
                <w:szCs w:val="16"/>
              </w:rPr>
              <w:t>6,16%</w:t>
            </w:r>
          </w:p>
        </w:tc>
        <w:tc>
          <w:tcPr>
            <w:tcW w:w="1134" w:type="dxa"/>
          </w:tcPr>
          <w:p w14:paraId="7E1FCE7E" w14:textId="08B0A6F6" w:rsidR="0022723F" w:rsidRPr="00B81A28" w:rsidRDefault="009C643E" w:rsidP="00365F35">
            <w:pPr>
              <w:spacing w:before="40" w:after="40" w:line="280" w:lineRule="atLeast"/>
              <w:jc w:val="center"/>
              <w:rPr>
                <w:rFonts w:ascii="Verdana" w:hAnsi="Verdana"/>
                <w:sz w:val="16"/>
                <w:szCs w:val="16"/>
              </w:rPr>
            </w:pPr>
            <w:r>
              <w:rPr>
                <w:rFonts w:ascii="Verdana" w:hAnsi="Verdana"/>
                <w:sz w:val="16"/>
                <w:szCs w:val="16"/>
              </w:rPr>
              <w:t>14,13%</w:t>
            </w:r>
          </w:p>
        </w:tc>
        <w:tc>
          <w:tcPr>
            <w:tcW w:w="1134" w:type="dxa"/>
          </w:tcPr>
          <w:p w14:paraId="2541C085" w14:textId="73BEBB22" w:rsidR="0022723F" w:rsidRPr="00B81A28" w:rsidRDefault="009C643E" w:rsidP="00365F35">
            <w:pPr>
              <w:spacing w:before="40" w:after="40" w:line="280" w:lineRule="atLeast"/>
              <w:jc w:val="center"/>
              <w:rPr>
                <w:rFonts w:ascii="Verdana" w:hAnsi="Verdana"/>
                <w:sz w:val="16"/>
                <w:szCs w:val="16"/>
              </w:rPr>
            </w:pPr>
            <w:r>
              <w:rPr>
                <w:rFonts w:ascii="Verdana" w:hAnsi="Verdana"/>
                <w:sz w:val="16"/>
                <w:szCs w:val="16"/>
              </w:rPr>
              <w:t>6,63%</w:t>
            </w:r>
          </w:p>
        </w:tc>
        <w:tc>
          <w:tcPr>
            <w:tcW w:w="1134" w:type="dxa"/>
            <w:shd w:val="clear" w:color="auto" w:fill="auto"/>
          </w:tcPr>
          <w:p w14:paraId="668374D2" w14:textId="6D72281D" w:rsidR="0022723F" w:rsidRPr="00B81A28" w:rsidRDefault="009C643E" w:rsidP="00365F35">
            <w:pPr>
              <w:spacing w:before="40" w:after="40" w:line="280" w:lineRule="atLeast"/>
              <w:jc w:val="center"/>
              <w:rPr>
                <w:rFonts w:ascii="Verdana" w:hAnsi="Verdana"/>
                <w:sz w:val="16"/>
                <w:szCs w:val="16"/>
              </w:rPr>
            </w:pPr>
            <w:r>
              <w:rPr>
                <w:rFonts w:ascii="Verdana" w:hAnsi="Verdana"/>
                <w:sz w:val="16"/>
                <w:szCs w:val="16"/>
              </w:rPr>
              <w:t>3,02%</w:t>
            </w:r>
          </w:p>
        </w:tc>
        <w:tc>
          <w:tcPr>
            <w:tcW w:w="1134" w:type="dxa"/>
            <w:shd w:val="clear" w:color="auto" w:fill="auto"/>
          </w:tcPr>
          <w:p w14:paraId="5C259991" w14:textId="32C84FD6" w:rsidR="0022723F" w:rsidRPr="00B81A28" w:rsidRDefault="009C643E" w:rsidP="00365F35">
            <w:pPr>
              <w:spacing w:before="40" w:after="40" w:line="280" w:lineRule="atLeast"/>
              <w:jc w:val="center"/>
              <w:rPr>
                <w:rFonts w:ascii="Verdana" w:hAnsi="Verdana"/>
                <w:sz w:val="16"/>
                <w:szCs w:val="16"/>
              </w:rPr>
            </w:pPr>
            <w:r>
              <w:rPr>
                <w:rFonts w:ascii="Verdana" w:hAnsi="Verdana"/>
                <w:sz w:val="16"/>
                <w:szCs w:val="16"/>
              </w:rPr>
              <w:t>7,52%</w:t>
            </w:r>
          </w:p>
        </w:tc>
        <w:tc>
          <w:tcPr>
            <w:tcW w:w="1134" w:type="dxa"/>
          </w:tcPr>
          <w:p w14:paraId="2981447E" w14:textId="23C3ED73" w:rsidR="0022723F" w:rsidRPr="00B81A28" w:rsidRDefault="009C643E" w:rsidP="00365F35">
            <w:pPr>
              <w:spacing w:before="40" w:after="40" w:line="280" w:lineRule="atLeast"/>
              <w:jc w:val="center"/>
              <w:rPr>
                <w:rFonts w:ascii="Verdana" w:hAnsi="Verdana"/>
                <w:sz w:val="16"/>
                <w:szCs w:val="16"/>
              </w:rPr>
            </w:pPr>
            <w:r>
              <w:rPr>
                <w:rFonts w:ascii="Verdana" w:hAnsi="Verdana"/>
                <w:sz w:val="16"/>
                <w:szCs w:val="16"/>
              </w:rPr>
              <w:t>4,89%</w:t>
            </w:r>
          </w:p>
        </w:tc>
        <w:tc>
          <w:tcPr>
            <w:tcW w:w="1134" w:type="dxa"/>
          </w:tcPr>
          <w:p w14:paraId="5F2D5011"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2467299C" w14:textId="77777777" w:rsidTr="00365F35">
        <w:tc>
          <w:tcPr>
            <w:tcW w:w="4536" w:type="dxa"/>
          </w:tcPr>
          <w:p w14:paraId="193EF42D"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Palladium-Linker</w:t>
            </w:r>
          </w:p>
        </w:tc>
        <w:tc>
          <w:tcPr>
            <w:tcW w:w="1134" w:type="dxa"/>
          </w:tcPr>
          <w:p w14:paraId="1F2A2C4E" w14:textId="437356FC" w:rsidR="0022723F" w:rsidRPr="00B81A28" w:rsidRDefault="002F3ACE" w:rsidP="00365F35">
            <w:pPr>
              <w:tabs>
                <w:tab w:val="left" w:pos="1050"/>
              </w:tabs>
              <w:spacing w:before="40" w:after="40" w:line="280" w:lineRule="atLeast"/>
              <w:jc w:val="center"/>
              <w:rPr>
                <w:rFonts w:ascii="Verdana" w:hAnsi="Verdana"/>
                <w:sz w:val="16"/>
                <w:szCs w:val="16"/>
              </w:rPr>
            </w:pPr>
            <w:r>
              <w:rPr>
                <w:rFonts w:ascii="Verdana" w:hAnsi="Verdana"/>
                <w:sz w:val="16"/>
                <w:szCs w:val="16"/>
              </w:rPr>
              <w:t>7,74%</w:t>
            </w:r>
          </w:p>
        </w:tc>
        <w:tc>
          <w:tcPr>
            <w:tcW w:w="1276" w:type="dxa"/>
          </w:tcPr>
          <w:p w14:paraId="2FF26A87" w14:textId="360ECF15" w:rsidR="0022723F" w:rsidRPr="00B81A28" w:rsidRDefault="002F3ACE" w:rsidP="00365F35">
            <w:pPr>
              <w:spacing w:before="40" w:after="40" w:line="280" w:lineRule="atLeast"/>
              <w:jc w:val="center"/>
              <w:rPr>
                <w:rFonts w:ascii="Verdana" w:hAnsi="Verdana"/>
                <w:sz w:val="16"/>
                <w:szCs w:val="16"/>
              </w:rPr>
            </w:pPr>
            <w:r>
              <w:rPr>
                <w:rFonts w:ascii="Verdana" w:hAnsi="Verdana"/>
                <w:sz w:val="16"/>
                <w:szCs w:val="16"/>
              </w:rPr>
              <w:t>13,56%</w:t>
            </w:r>
          </w:p>
        </w:tc>
        <w:tc>
          <w:tcPr>
            <w:tcW w:w="1134" w:type="dxa"/>
          </w:tcPr>
          <w:p w14:paraId="01ED8DBF" w14:textId="3ABEFA04" w:rsidR="0022723F" w:rsidRPr="00B81A28" w:rsidRDefault="002F3ACE" w:rsidP="00365F35">
            <w:pPr>
              <w:spacing w:before="40" w:after="40" w:line="280" w:lineRule="atLeast"/>
              <w:jc w:val="center"/>
              <w:rPr>
                <w:rFonts w:ascii="Verdana" w:hAnsi="Verdana"/>
                <w:sz w:val="16"/>
                <w:szCs w:val="16"/>
              </w:rPr>
            </w:pPr>
            <w:r>
              <w:rPr>
                <w:rFonts w:ascii="Verdana" w:hAnsi="Verdana"/>
                <w:sz w:val="16"/>
                <w:szCs w:val="16"/>
              </w:rPr>
              <w:t>34,67%</w:t>
            </w:r>
          </w:p>
        </w:tc>
        <w:tc>
          <w:tcPr>
            <w:tcW w:w="1134" w:type="dxa"/>
          </w:tcPr>
          <w:p w14:paraId="11637D8E" w14:textId="75035EDF" w:rsidR="0022723F" w:rsidRPr="00B81A28" w:rsidRDefault="002F3ACE" w:rsidP="00365F35">
            <w:pPr>
              <w:spacing w:before="40" w:after="40" w:line="280" w:lineRule="atLeast"/>
              <w:jc w:val="center"/>
              <w:rPr>
                <w:rFonts w:ascii="Verdana" w:hAnsi="Verdana"/>
                <w:sz w:val="16"/>
                <w:szCs w:val="16"/>
              </w:rPr>
            </w:pPr>
            <w:r>
              <w:rPr>
                <w:rFonts w:ascii="Verdana" w:hAnsi="Verdana"/>
                <w:sz w:val="16"/>
                <w:szCs w:val="16"/>
              </w:rPr>
              <w:t>36,04%</w:t>
            </w:r>
          </w:p>
        </w:tc>
        <w:tc>
          <w:tcPr>
            <w:tcW w:w="1134" w:type="dxa"/>
          </w:tcPr>
          <w:p w14:paraId="30D467A9" w14:textId="3D3ED4F5" w:rsidR="0022723F" w:rsidRPr="00B81A28" w:rsidRDefault="002F3ACE" w:rsidP="00365F35">
            <w:pPr>
              <w:spacing w:before="40" w:after="40" w:line="280" w:lineRule="atLeast"/>
              <w:jc w:val="center"/>
              <w:rPr>
                <w:rFonts w:ascii="Verdana" w:hAnsi="Verdana"/>
                <w:sz w:val="16"/>
                <w:szCs w:val="16"/>
              </w:rPr>
            </w:pPr>
            <w:r>
              <w:rPr>
                <w:rFonts w:ascii="Verdana" w:hAnsi="Verdana"/>
                <w:sz w:val="16"/>
                <w:szCs w:val="16"/>
              </w:rPr>
              <w:t>39,66%</w:t>
            </w:r>
          </w:p>
        </w:tc>
        <w:tc>
          <w:tcPr>
            <w:tcW w:w="1134" w:type="dxa"/>
            <w:shd w:val="clear" w:color="auto" w:fill="auto"/>
          </w:tcPr>
          <w:p w14:paraId="5F999C47" w14:textId="5BBDEBEB" w:rsidR="0022723F" w:rsidRPr="00B81A28" w:rsidRDefault="002F3ACE" w:rsidP="00365F35">
            <w:pPr>
              <w:spacing w:before="40" w:after="40" w:line="280" w:lineRule="atLeast"/>
              <w:jc w:val="center"/>
              <w:rPr>
                <w:rFonts w:ascii="Verdana" w:hAnsi="Verdana"/>
                <w:sz w:val="16"/>
                <w:szCs w:val="16"/>
              </w:rPr>
            </w:pPr>
            <w:r>
              <w:rPr>
                <w:rFonts w:ascii="Verdana" w:hAnsi="Verdana"/>
                <w:sz w:val="16"/>
                <w:szCs w:val="16"/>
              </w:rPr>
              <w:t>27,86%</w:t>
            </w:r>
          </w:p>
        </w:tc>
        <w:tc>
          <w:tcPr>
            <w:tcW w:w="1134" w:type="dxa"/>
            <w:shd w:val="clear" w:color="auto" w:fill="auto"/>
          </w:tcPr>
          <w:p w14:paraId="230D407D" w14:textId="4BA0F02C" w:rsidR="0022723F" w:rsidRPr="00B81A28" w:rsidRDefault="002F3ACE" w:rsidP="00365F35">
            <w:pPr>
              <w:spacing w:before="40" w:after="40" w:line="280" w:lineRule="atLeast"/>
              <w:jc w:val="center"/>
              <w:rPr>
                <w:rFonts w:ascii="Verdana" w:hAnsi="Verdana"/>
                <w:sz w:val="16"/>
                <w:szCs w:val="16"/>
              </w:rPr>
            </w:pPr>
            <w:r>
              <w:rPr>
                <w:rFonts w:ascii="Verdana" w:hAnsi="Verdana"/>
                <w:sz w:val="16"/>
                <w:szCs w:val="16"/>
              </w:rPr>
              <w:t>18,68%</w:t>
            </w:r>
          </w:p>
        </w:tc>
        <w:tc>
          <w:tcPr>
            <w:tcW w:w="1134" w:type="dxa"/>
          </w:tcPr>
          <w:p w14:paraId="4E6FB614" w14:textId="76E4AEAC" w:rsidR="0022723F" w:rsidRPr="00B81A28" w:rsidRDefault="002F3ACE" w:rsidP="00365F35">
            <w:pPr>
              <w:spacing w:before="40" w:after="40" w:line="280" w:lineRule="atLeast"/>
              <w:jc w:val="center"/>
              <w:rPr>
                <w:rFonts w:ascii="Verdana" w:hAnsi="Verdana"/>
                <w:sz w:val="16"/>
                <w:szCs w:val="16"/>
              </w:rPr>
            </w:pPr>
            <w:r>
              <w:rPr>
                <w:rFonts w:ascii="Verdana" w:hAnsi="Verdana"/>
                <w:sz w:val="16"/>
                <w:szCs w:val="16"/>
              </w:rPr>
              <w:t>18,70%</w:t>
            </w:r>
          </w:p>
        </w:tc>
        <w:tc>
          <w:tcPr>
            <w:tcW w:w="1134" w:type="dxa"/>
          </w:tcPr>
          <w:p w14:paraId="2EA8FFB9"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0AF9F650" w14:textId="77777777" w:rsidTr="00365F35">
        <w:tc>
          <w:tcPr>
            <w:tcW w:w="4536" w:type="dxa"/>
          </w:tcPr>
          <w:p w14:paraId="24B41180"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Platinum-Linker</w:t>
            </w:r>
          </w:p>
        </w:tc>
        <w:tc>
          <w:tcPr>
            <w:tcW w:w="1134" w:type="dxa"/>
          </w:tcPr>
          <w:p w14:paraId="2B102E72" w14:textId="5C782489" w:rsidR="0022723F" w:rsidRPr="00B81A28" w:rsidRDefault="000A7BCA" w:rsidP="00365F35">
            <w:pPr>
              <w:tabs>
                <w:tab w:val="left" w:pos="1050"/>
              </w:tabs>
              <w:spacing w:before="40" w:after="40" w:line="280" w:lineRule="atLeast"/>
              <w:jc w:val="center"/>
              <w:rPr>
                <w:rFonts w:ascii="Verdana" w:hAnsi="Verdana"/>
                <w:sz w:val="16"/>
                <w:szCs w:val="16"/>
              </w:rPr>
            </w:pPr>
            <w:r>
              <w:rPr>
                <w:rFonts w:ascii="Verdana" w:hAnsi="Verdana"/>
                <w:sz w:val="16"/>
                <w:szCs w:val="16"/>
              </w:rPr>
              <w:t>3,24%</w:t>
            </w:r>
          </w:p>
        </w:tc>
        <w:tc>
          <w:tcPr>
            <w:tcW w:w="1276" w:type="dxa"/>
          </w:tcPr>
          <w:p w14:paraId="26D2A82D" w14:textId="0CBA451A"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(1,28%)</w:t>
            </w:r>
          </w:p>
        </w:tc>
        <w:tc>
          <w:tcPr>
            <w:tcW w:w="1134" w:type="dxa"/>
          </w:tcPr>
          <w:p w14:paraId="7A8A9B3D" w14:textId="1102E275"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(2,67%)</w:t>
            </w:r>
          </w:p>
        </w:tc>
        <w:tc>
          <w:tcPr>
            <w:tcW w:w="1134" w:type="dxa"/>
          </w:tcPr>
          <w:p w14:paraId="32726BA5" w14:textId="0FF7C034"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(0,65%)</w:t>
            </w:r>
          </w:p>
        </w:tc>
        <w:tc>
          <w:tcPr>
            <w:tcW w:w="1134" w:type="dxa"/>
          </w:tcPr>
          <w:p w14:paraId="6A9875C6" w14:textId="4AFBB30C"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(4,68%)</w:t>
            </w:r>
          </w:p>
        </w:tc>
        <w:tc>
          <w:tcPr>
            <w:tcW w:w="1134" w:type="dxa"/>
            <w:shd w:val="clear" w:color="auto" w:fill="auto"/>
          </w:tcPr>
          <w:p w14:paraId="75EB2F27" w14:textId="6249841C"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6,45%</w:t>
            </w:r>
          </w:p>
        </w:tc>
        <w:tc>
          <w:tcPr>
            <w:tcW w:w="1134" w:type="dxa"/>
            <w:shd w:val="clear" w:color="auto" w:fill="auto"/>
          </w:tcPr>
          <w:p w14:paraId="5A7CDF88" w14:textId="61A19398"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0,79%</w:t>
            </w:r>
          </w:p>
        </w:tc>
        <w:tc>
          <w:tcPr>
            <w:tcW w:w="1134" w:type="dxa"/>
          </w:tcPr>
          <w:p w14:paraId="039841B2" w14:textId="77777777" w:rsidR="0022723F" w:rsidRPr="00B81A28" w:rsidRDefault="0022723F" w:rsidP="00365F35">
            <w:pPr>
              <w:spacing w:before="40" w:after="40" w:line="280" w:lineRule="atLeast"/>
              <w:jc w:val="center"/>
              <w:rPr>
                <w:rFonts w:ascii="Verdana" w:hAnsi="Verdana"/>
                <w:sz w:val="16"/>
                <w:szCs w:val="16"/>
              </w:rPr>
            </w:pPr>
          </w:p>
        </w:tc>
        <w:tc>
          <w:tcPr>
            <w:tcW w:w="1134" w:type="dxa"/>
          </w:tcPr>
          <w:p w14:paraId="031D029D"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28858FA6" w14:textId="77777777" w:rsidTr="00365F35">
        <w:tc>
          <w:tcPr>
            <w:tcW w:w="4536" w:type="dxa"/>
          </w:tcPr>
          <w:p w14:paraId="326B1429"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Silver-Linker</w:t>
            </w:r>
          </w:p>
        </w:tc>
        <w:tc>
          <w:tcPr>
            <w:tcW w:w="1134" w:type="dxa"/>
          </w:tcPr>
          <w:p w14:paraId="50F14319" w14:textId="6C5EC009" w:rsidR="0022723F" w:rsidRPr="00B81A28" w:rsidRDefault="000A7BCA" w:rsidP="00365F35">
            <w:pPr>
              <w:tabs>
                <w:tab w:val="left" w:pos="1050"/>
              </w:tabs>
              <w:spacing w:before="40" w:after="40" w:line="280" w:lineRule="atLeast"/>
              <w:jc w:val="center"/>
              <w:rPr>
                <w:rFonts w:ascii="Verdana" w:hAnsi="Verdana"/>
                <w:sz w:val="16"/>
                <w:szCs w:val="16"/>
              </w:rPr>
            </w:pPr>
            <w:r>
              <w:rPr>
                <w:rFonts w:ascii="Verdana" w:hAnsi="Verdana"/>
                <w:sz w:val="16"/>
                <w:szCs w:val="16"/>
              </w:rPr>
              <w:t>14,25%</w:t>
            </w:r>
          </w:p>
        </w:tc>
        <w:tc>
          <w:tcPr>
            <w:tcW w:w="1276" w:type="dxa"/>
          </w:tcPr>
          <w:p w14:paraId="52A7FB59" w14:textId="27AD7AE8"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6,40%</w:t>
            </w:r>
          </w:p>
        </w:tc>
        <w:tc>
          <w:tcPr>
            <w:tcW w:w="1134" w:type="dxa"/>
          </w:tcPr>
          <w:p w14:paraId="11625EA6" w14:textId="5BB43579"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0,86%</w:t>
            </w:r>
          </w:p>
        </w:tc>
        <w:tc>
          <w:tcPr>
            <w:tcW w:w="1134" w:type="dxa"/>
          </w:tcPr>
          <w:p w14:paraId="05D5CD91" w14:textId="553C8BD8"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4,86%</w:t>
            </w:r>
          </w:p>
        </w:tc>
        <w:tc>
          <w:tcPr>
            <w:tcW w:w="1134" w:type="dxa"/>
          </w:tcPr>
          <w:p w14:paraId="763BDD2F" w14:textId="7D7F1AA1"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(2,07%)</w:t>
            </w:r>
          </w:p>
        </w:tc>
        <w:tc>
          <w:tcPr>
            <w:tcW w:w="1134" w:type="dxa"/>
            <w:shd w:val="clear" w:color="auto" w:fill="auto"/>
          </w:tcPr>
          <w:p w14:paraId="71A1460A" w14:textId="797DF93F"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(1,00%)</w:t>
            </w:r>
          </w:p>
        </w:tc>
        <w:tc>
          <w:tcPr>
            <w:tcW w:w="1134" w:type="dxa"/>
            <w:shd w:val="clear" w:color="auto" w:fill="auto"/>
          </w:tcPr>
          <w:p w14:paraId="5308D21C" w14:textId="724589AB"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(1,90%)</w:t>
            </w:r>
          </w:p>
        </w:tc>
        <w:tc>
          <w:tcPr>
            <w:tcW w:w="1134" w:type="dxa"/>
          </w:tcPr>
          <w:p w14:paraId="14716C58" w14:textId="77777777" w:rsidR="0022723F" w:rsidRPr="00B81A28" w:rsidRDefault="0022723F" w:rsidP="00365F35">
            <w:pPr>
              <w:spacing w:before="40" w:after="40" w:line="280" w:lineRule="atLeast"/>
              <w:jc w:val="center"/>
              <w:rPr>
                <w:rFonts w:ascii="Verdana" w:hAnsi="Verdana"/>
                <w:sz w:val="16"/>
                <w:szCs w:val="16"/>
              </w:rPr>
            </w:pPr>
          </w:p>
        </w:tc>
        <w:tc>
          <w:tcPr>
            <w:tcW w:w="1134" w:type="dxa"/>
          </w:tcPr>
          <w:p w14:paraId="5E561C39"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5A6F8BC7" w14:textId="77777777" w:rsidTr="00365F35">
        <w:tc>
          <w:tcPr>
            <w:tcW w:w="4536" w:type="dxa"/>
          </w:tcPr>
          <w:p w14:paraId="26E49E16"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Copper </w:t>
            </w:r>
          </w:p>
        </w:tc>
        <w:tc>
          <w:tcPr>
            <w:tcW w:w="1134" w:type="dxa"/>
          </w:tcPr>
          <w:p w14:paraId="2B91701C" w14:textId="1331AAB0" w:rsidR="0022723F" w:rsidRPr="00B81A28" w:rsidRDefault="000A7BCA" w:rsidP="00365F35">
            <w:pPr>
              <w:tabs>
                <w:tab w:val="left" w:pos="1050"/>
              </w:tabs>
              <w:spacing w:before="40" w:after="40" w:line="280" w:lineRule="atLeast"/>
              <w:jc w:val="center"/>
              <w:rPr>
                <w:rFonts w:ascii="Verdana" w:hAnsi="Verdana"/>
                <w:sz w:val="16"/>
                <w:szCs w:val="16"/>
              </w:rPr>
            </w:pPr>
            <w:r>
              <w:rPr>
                <w:rFonts w:ascii="Verdana" w:hAnsi="Verdana"/>
                <w:sz w:val="16"/>
                <w:szCs w:val="16"/>
              </w:rPr>
              <w:t>1,23%</w:t>
            </w:r>
          </w:p>
        </w:tc>
        <w:tc>
          <w:tcPr>
            <w:tcW w:w="1276" w:type="dxa"/>
          </w:tcPr>
          <w:p w14:paraId="0586ABE8" w14:textId="4E8FB91A"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(2,70%)</w:t>
            </w:r>
          </w:p>
        </w:tc>
        <w:tc>
          <w:tcPr>
            <w:tcW w:w="1134" w:type="dxa"/>
          </w:tcPr>
          <w:p w14:paraId="1A7D8C92" w14:textId="63B141F0"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(5,84%)</w:t>
            </w:r>
          </w:p>
        </w:tc>
        <w:tc>
          <w:tcPr>
            <w:tcW w:w="1134" w:type="dxa"/>
          </w:tcPr>
          <w:p w14:paraId="5D8673BC" w14:textId="41D85D64"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(6,78%)</w:t>
            </w:r>
          </w:p>
        </w:tc>
        <w:tc>
          <w:tcPr>
            <w:tcW w:w="1134" w:type="dxa"/>
          </w:tcPr>
          <w:p w14:paraId="0A12E411" w14:textId="42BC275D"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3,61%</w:t>
            </w:r>
          </w:p>
        </w:tc>
        <w:tc>
          <w:tcPr>
            <w:tcW w:w="1134" w:type="dxa"/>
            <w:shd w:val="clear" w:color="auto" w:fill="auto"/>
          </w:tcPr>
          <w:p w14:paraId="11C421D1" w14:textId="69D17508"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2,97%</w:t>
            </w:r>
          </w:p>
        </w:tc>
        <w:tc>
          <w:tcPr>
            <w:tcW w:w="1134" w:type="dxa"/>
            <w:shd w:val="clear" w:color="auto" w:fill="auto"/>
          </w:tcPr>
          <w:p w14:paraId="2C5206E6" w14:textId="7BA2C0B7"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0,51%</w:t>
            </w:r>
          </w:p>
        </w:tc>
        <w:tc>
          <w:tcPr>
            <w:tcW w:w="1134" w:type="dxa"/>
          </w:tcPr>
          <w:p w14:paraId="61DF7354" w14:textId="6018BB58"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3,52%</w:t>
            </w:r>
          </w:p>
        </w:tc>
        <w:tc>
          <w:tcPr>
            <w:tcW w:w="1134" w:type="dxa"/>
          </w:tcPr>
          <w:p w14:paraId="54584C2F"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584E822C" w14:textId="77777777" w:rsidTr="00365F35">
        <w:tc>
          <w:tcPr>
            <w:tcW w:w="4536" w:type="dxa"/>
          </w:tcPr>
          <w:p w14:paraId="04522FEE"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Corn </w:t>
            </w:r>
          </w:p>
        </w:tc>
        <w:tc>
          <w:tcPr>
            <w:tcW w:w="1134" w:type="dxa"/>
          </w:tcPr>
          <w:p w14:paraId="600580BF" w14:textId="59723C4A" w:rsidR="0022723F" w:rsidRPr="00B81A28" w:rsidRDefault="000A7BCA" w:rsidP="00365F35">
            <w:pPr>
              <w:tabs>
                <w:tab w:val="left" w:pos="1050"/>
              </w:tabs>
              <w:spacing w:before="40" w:after="40" w:line="280" w:lineRule="atLeast"/>
              <w:jc w:val="center"/>
              <w:rPr>
                <w:rFonts w:ascii="Verdana" w:hAnsi="Verdana"/>
                <w:sz w:val="16"/>
                <w:szCs w:val="16"/>
              </w:rPr>
            </w:pPr>
            <w:r>
              <w:rPr>
                <w:rFonts w:ascii="Verdana" w:hAnsi="Verdana"/>
                <w:sz w:val="16"/>
                <w:szCs w:val="16"/>
              </w:rPr>
              <w:t>4,00%</w:t>
            </w:r>
          </w:p>
        </w:tc>
        <w:tc>
          <w:tcPr>
            <w:tcW w:w="1276" w:type="dxa"/>
          </w:tcPr>
          <w:p w14:paraId="4E28FD92" w14:textId="37830F49"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2,10%</w:t>
            </w:r>
          </w:p>
        </w:tc>
        <w:tc>
          <w:tcPr>
            <w:tcW w:w="1134" w:type="dxa"/>
          </w:tcPr>
          <w:p w14:paraId="1594B03F" w14:textId="188C407B"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2,11%</w:t>
            </w:r>
          </w:p>
        </w:tc>
        <w:tc>
          <w:tcPr>
            <w:tcW w:w="1134" w:type="dxa"/>
          </w:tcPr>
          <w:p w14:paraId="043A0B13" w14:textId="26F77E9A"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10,81%</w:t>
            </w:r>
          </w:p>
        </w:tc>
        <w:tc>
          <w:tcPr>
            <w:tcW w:w="1134" w:type="dxa"/>
          </w:tcPr>
          <w:p w14:paraId="41C7957E" w14:textId="1112E425"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(6,85%)</w:t>
            </w:r>
          </w:p>
        </w:tc>
        <w:tc>
          <w:tcPr>
            <w:tcW w:w="1134" w:type="dxa"/>
            <w:shd w:val="clear" w:color="auto" w:fill="auto"/>
          </w:tcPr>
          <w:p w14:paraId="20BEE874" w14:textId="1D3D18EA"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(12,35%)</w:t>
            </w:r>
          </w:p>
        </w:tc>
        <w:tc>
          <w:tcPr>
            <w:tcW w:w="1134" w:type="dxa"/>
            <w:shd w:val="clear" w:color="auto" w:fill="auto"/>
          </w:tcPr>
          <w:p w14:paraId="56E87046" w14:textId="59F8495B"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(4,47%)</w:t>
            </w:r>
          </w:p>
        </w:tc>
        <w:tc>
          <w:tcPr>
            <w:tcW w:w="1134" w:type="dxa"/>
          </w:tcPr>
          <w:p w14:paraId="2E2807DF"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0C2B2B4"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347014D2" w14:textId="77777777" w:rsidTr="00365F35">
        <w:tc>
          <w:tcPr>
            <w:tcW w:w="4536" w:type="dxa"/>
          </w:tcPr>
          <w:p w14:paraId="56E4C992"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Oil </w:t>
            </w:r>
          </w:p>
        </w:tc>
        <w:tc>
          <w:tcPr>
            <w:tcW w:w="1134" w:type="dxa"/>
          </w:tcPr>
          <w:p w14:paraId="2215BBFC" w14:textId="1C9E980C" w:rsidR="0022723F" w:rsidRPr="00B81A28" w:rsidRDefault="000A7BCA" w:rsidP="00365F35">
            <w:pPr>
              <w:tabs>
                <w:tab w:val="left" w:pos="1050"/>
              </w:tabs>
              <w:spacing w:before="40" w:after="40" w:line="280" w:lineRule="atLeast"/>
              <w:jc w:val="center"/>
              <w:rPr>
                <w:rFonts w:ascii="Verdana" w:hAnsi="Verdana"/>
                <w:sz w:val="16"/>
                <w:szCs w:val="16"/>
              </w:rPr>
            </w:pPr>
            <w:r>
              <w:rPr>
                <w:rFonts w:ascii="Verdana" w:hAnsi="Verdana"/>
                <w:sz w:val="16"/>
                <w:szCs w:val="16"/>
              </w:rPr>
              <w:t>(3,67%)</w:t>
            </w:r>
          </w:p>
        </w:tc>
        <w:tc>
          <w:tcPr>
            <w:tcW w:w="1276" w:type="dxa"/>
          </w:tcPr>
          <w:p w14:paraId="36D97323" w14:textId="3E72BBF9"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(35,82%)</w:t>
            </w:r>
          </w:p>
        </w:tc>
        <w:tc>
          <w:tcPr>
            <w:tcW w:w="1134" w:type="dxa"/>
          </w:tcPr>
          <w:p w14:paraId="4F22CF38" w14:textId="6C516677"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(30,84%)</w:t>
            </w:r>
          </w:p>
        </w:tc>
        <w:tc>
          <w:tcPr>
            <w:tcW w:w="1134" w:type="dxa"/>
          </w:tcPr>
          <w:p w14:paraId="05747874" w14:textId="7F90FB93"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(2,22%)</w:t>
            </w:r>
          </w:p>
        </w:tc>
        <w:tc>
          <w:tcPr>
            <w:tcW w:w="1134" w:type="dxa"/>
          </w:tcPr>
          <w:p w14:paraId="603DBD33" w14:textId="4338E3A4"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(5,70%)</w:t>
            </w:r>
          </w:p>
        </w:tc>
        <w:tc>
          <w:tcPr>
            <w:tcW w:w="1134" w:type="dxa"/>
            <w:shd w:val="clear" w:color="auto" w:fill="auto"/>
          </w:tcPr>
          <w:p w14:paraId="3B903D2C" w14:textId="489AA9F7"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(3,18%)</w:t>
            </w:r>
          </w:p>
        </w:tc>
        <w:tc>
          <w:tcPr>
            <w:tcW w:w="1134" w:type="dxa"/>
            <w:shd w:val="clear" w:color="auto" w:fill="auto"/>
          </w:tcPr>
          <w:p w14:paraId="27878D30" w14:textId="1D418A30" w:rsidR="0022723F" w:rsidRPr="00B81A28" w:rsidRDefault="000A7BCA" w:rsidP="00365F35">
            <w:pPr>
              <w:spacing w:before="40" w:after="40" w:line="280" w:lineRule="atLeast"/>
              <w:jc w:val="center"/>
              <w:rPr>
                <w:rFonts w:ascii="Verdana" w:hAnsi="Verdana"/>
                <w:sz w:val="16"/>
                <w:szCs w:val="16"/>
              </w:rPr>
            </w:pPr>
            <w:r>
              <w:rPr>
                <w:rFonts w:ascii="Verdana" w:hAnsi="Verdana"/>
                <w:sz w:val="16"/>
                <w:szCs w:val="16"/>
              </w:rPr>
              <w:t>(6,84%)</w:t>
            </w:r>
          </w:p>
        </w:tc>
        <w:tc>
          <w:tcPr>
            <w:tcW w:w="1134" w:type="dxa"/>
          </w:tcPr>
          <w:p w14:paraId="164039DD" w14:textId="77777777" w:rsidR="0022723F" w:rsidRPr="00B81A28" w:rsidRDefault="0022723F" w:rsidP="00365F35">
            <w:pPr>
              <w:spacing w:before="40" w:after="40" w:line="280" w:lineRule="atLeast"/>
              <w:jc w:val="center"/>
              <w:rPr>
                <w:rFonts w:ascii="Verdana" w:hAnsi="Verdana"/>
                <w:sz w:val="16"/>
                <w:szCs w:val="16"/>
              </w:rPr>
            </w:pPr>
          </w:p>
        </w:tc>
        <w:tc>
          <w:tcPr>
            <w:tcW w:w="1134" w:type="dxa"/>
          </w:tcPr>
          <w:p w14:paraId="38F89B71"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7901BAEE" w14:textId="77777777" w:rsidTr="00365F35">
        <w:tc>
          <w:tcPr>
            <w:tcW w:w="4536" w:type="dxa"/>
          </w:tcPr>
          <w:p w14:paraId="4ADB7CCD"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Wheat </w:t>
            </w:r>
          </w:p>
        </w:tc>
        <w:tc>
          <w:tcPr>
            <w:tcW w:w="1134" w:type="dxa"/>
          </w:tcPr>
          <w:p w14:paraId="614FAD5F" w14:textId="292F00AF" w:rsidR="0022723F" w:rsidRPr="00B81A28" w:rsidRDefault="0086065B" w:rsidP="00365F35">
            <w:pPr>
              <w:tabs>
                <w:tab w:val="left" w:pos="1050"/>
              </w:tabs>
              <w:spacing w:before="40" w:after="40" w:line="280" w:lineRule="atLeast"/>
              <w:jc w:val="center"/>
              <w:rPr>
                <w:rFonts w:ascii="Verdana" w:hAnsi="Verdana"/>
                <w:sz w:val="16"/>
                <w:szCs w:val="16"/>
              </w:rPr>
            </w:pPr>
            <w:r>
              <w:rPr>
                <w:rFonts w:ascii="Verdana" w:hAnsi="Verdana"/>
                <w:sz w:val="16"/>
                <w:szCs w:val="16"/>
              </w:rPr>
              <w:t>3,89%</w:t>
            </w:r>
          </w:p>
        </w:tc>
        <w:tc>
          <w:tcPr>
            <w:tcW w:w="1276" w:type="dxa"/>
          </w:tcPr>
          <w:p w14:paraId="48BAFABD" w14:textId="72A07B5C" w:rsidR="0022723F" w:rsidRPr="00B81A28" w:rsidRDefault="0086065B" w:rsidP="00365F35">
            <w:pPr>
              <w:spacing w:before="40" w:after="40" w:line="280" w:lineRule="atLeast"/>
              <w:jc w:val="center"/>
              <w:rPr>
                <w:rFonts w:ascii="Verdana" w:hAnsi="Verdana"/>
                <w:sz w:val="16"/>
                <w:szCs w:val="16"/>
              </w:rPr>
            </w:pPr>
            <w:r>
              <w:rPr>
                <w:rFonts w:ascii="Verdana" w:hAnsi="Verdana"/>
                <w:sz w:val="16"/>
                <w:szCs w:val="16"/>
              </w:rPr>
              <w:t>(0,45)</w:t>
            </w:r>
          </w:p>
        </w:tc>
        <w:tc>
          <w:tcPr>
            <w:tcW w:w="1134" w:type="dxa"/>
          </w:tcPr>
          <w:p w14:paraId="48320DB6" w14:textId="5AB38FA9" w:rsidR="0022723F" w:rsidRPr="00B81A28" w:rsidRDefault="0086065B" w:rsidP="00365F35">
            <w:pPr>
              <w:spacing w:before="40" w:after="40" w:line="280" w:lineRule="atLeast"/>
              <w:jc w:val="center"/>
              <w:rPr>
                <w:rFonts w:ascii="Verdana" w:hAnsi="Verdana"/>
                <w:sz w:val="16"/>
                <w:szCs w:val="16"/>
              </w:rPr>
            </w:pPr>
            <w:r>
              <w:rPr>
                <w:rFonts w:ascii="Verdana" w:hAnsi="Verdana"/>
                <w:sz w:val="16"/>
                <w:szCs w:val="16"/>
              </w:rPr>
              <w:t>4,38%</w:t>
            </w:r>
          </w:p>
        </w:tc>
        <w:tc>
          <w:tcPr>
            <w:tcW w:w="1134" w:type="dxa"/>
          </w:tcPr>
          <w:p w14:paraId="4344CBEB" w14:textId="27FD9691" w:rsidR="0022723F" w:rsidRPr="00B81A28" w:rsidRDefault="0086065B" w:rsidP="00365F35">
            <w:pPr>
              <w:spacing w:before="40" w:after="40" w:line="280" w:lineRule="atLeast"/>
              <w:jc w:val="center"/>
              <w:rPr>
                <w:rFonts w:ascii="Verdana" w:hAnsi="Verdana"/>
                <w:sz w:val="16"/>
                <w:szCs w:val="16"/>
              </w:rPr>
            </w:pPr>
            <w:r>
              <w:rPr>
                <w:rFonts w:ascii="Verdana" w:hAnsi="Verdana"/>
                <w:sz w:val="16"/>
                <w:szCs w:val="16"/>
              </w:rPr>
              <w:t>27,29%</w:t>
            </w:r>
          </w:p>
        </w:tc>
        <w:tc>
          <w:tcPr>
            <w:tcW w:w="1134" w:type="dxa"/>
          </w:tcPr>
          <w:p w14:paraId="414FD72E" w14:textId="19D86076" w:rsidR="0022723F" w:rsidRPr="00B81A28" w:rsidRDefault="0086065B" w:rsidP="00365F35">
            <w:pPr>
              <w:spacing w:before="40" w:after="40" w:line="280" w:lineRule="atLeast"/>
              <w:jc w:val="center"/>
              <w:rPr>
                <w:rFonts w:ascii="Verdana" w:hAnsi="Verdana"/>
                <w:sz w:val="16"/>
                <w:szCs w:val="16"/>
              </w:rPr>
            </w:pPr>
            <w:r>
              <w:rPr>
                <w:rFonts w:ascii="Verdana" w:hAnsi="Verdana"/>
                <w:sz w:val="16"/>
                <w:szCs w:val="16"/>
              </w:rPr>
              <w:t>(0,74%)</w:t>
            </w:r>
          </w:p>
        </w:tc>
        <w:tc>
          <w:tcPr>
            <w:tcW w:w="1134" w:type="dxa"/>
            <w:shd w:val="clear" w:color="auto" w:fill="auto"/>
          </w:tcPr>
          <w:p w14:paraId="2EFECD43" w14:textId="3992FC2B" w:rsidR="0022723F" w:rsidRPr="00B81A28" w:rsidRDefault="0086065B" w:rsidP="00365F35">
            <w:pPr>
              <w:spacing w:before="40" w:after="40" w:line="280" w:lineRule="atLeast"/>
              <w:jc w:val="center"/>
              <w:rPr>
                <w:rFonts w:ascii="Verdana" w:hAnsi="Verdana"/>
                <w:sz w:val="16"/>
                <w:szCs w:val="16"/>
              </w:rPr>
            </w:pPr>
            <w:r>
              <w:rPr>
                <w:rFonts w:ascii="Verdana" w:hAnsi="Verdana"/>
                <w:sz w:val="16"/>
                <w:szCs w:val="16"/>
              </w:rPr>
              <w:t>(13,15%)</w:t>
            </w:r>
          </w:p>
        </w:tc>
        <w:tc>
          <w:tcPr>
            <w:tcW w:w="1134" w:type="dxa"/>
            <w:shd w:val="clear" w:color="auto" w:fill="auto"/>
          </w:tcPr>
          <w:p w14:paraId="00155D1C" w14:textId="07199655" w:rsidR="0022723F" w:rsidRPr="00B81A28" w:rsidRDefault="0086065B" w:rsidP="00365F35">
            <w:pPr>
              <w:spacing w:before="40" w:after="40" w:line="280" w:lineRule="atLeast"/>
              <w:jc w:val="center"/>
              <w:rPr>
                <w:rFonts w:ascii="Verdana" w:hAnsi="Verdana"/>
                <w:sz w:val="16"/>
                <w:szCs w:val="16"/>
              </w:rPr>
            </w:pPr>
            <w:r>
              <w:rPr>
                <w:rFonts w:ascii="Verdana" w:hAnsi="Verdana"/>
                <w:sz w:val="16"/>
                <w:szCs w:val="16"/>
              </w:rPr>
              <w:t>(5,28%)</w:t>
            </w:r>
          </w:p>
        </w:tc>
        <w:tc>
          <w:tcPr>
            <w:tcW w:w="1134" w:type="dxa"/>
          </w:tcPr>
          <w:p w14:paraId="4EA19F83"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2971421A"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bl>
    <w:p w14:paraId="526D3458" w14:textId="77777777" w:rsidR="0022723F" w:rsidRDefault="0022723F" w:rsidP="0022723F">
      <w:pPr>
        <w:rPr>
          <w:rFonts w:ascii="Verdana" w:hAnsi="Verdana"/>
        </w:rPr>
      </w:pPr>
    </w:p>
    <w:p w14:paraId="427E05C9" w14:textId="77777777" w:rsidR="0022723F" w:rsidRPr="00B81A28" w:rsidRDefault="0022723F" w:rsidP="0022723F">
      <w:pPr>
        <w:spacing w:after="0" w:line="240" w:lineRule="auto"/>
        <w:rPr>
          <w:rFonts w:ascii="Verdana" w:hAnsi="Verdana"/>
          <w:sz w:val="16"/>
          <w:szCs w:val="16"/>
        </w:rPr>
      </w:pPr>
      <w:r w:rsidRPr="00B81A28">
        <w:rPr>
          <w:rFonts w:ascii="Verdana" w:hAnsi="Verdana"/>
          <w:noProof/>
          <w:lang w:eastAsia="en-ZA"/>
        </w:rPr>
        <w:drawing>
          <wp:inline distT="0" distB="0" distL="0" distR="0" wp14:anchorId="07C5F777" wp14:editId="50B34461">
            <wp:extent cx="3057525" cy="642486"/>
            <wp:effectExtent l="0" t="0" r="0" b="5715"/>
            <wp:docPr id="16" name="Picture 16"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22723F" w:rsidRPr="00B81A28" w14:paraId="6641D3A4" w14:textId="77777777" w:rsidTr="00365F35">
        <w:tc>
          <w:tcPr>
            <w:tcW w:w="14884" w:type="dxa"/>
            <w:gridSpan w:val="10"/>
            <w:shd w:val="clear" w:color="auto" w:fill="CB2229"/>
            <w:vAlign w:val="center"/>
          </w:tcPr>
          <w:p w14:paraId="77B0C67C"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53BB746A"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w:t>
            </w:r>
            <w:r w:rsidRPr="00B81A28">
              <w:rPr>
                <w:rFonts w:ascii="Verdana" w:hAnsi="Verdana"/>
                <w:b/>
                <w:color w:val="FFFFFF"/>
                <w:sz w:val="20"/>
                <w:szCs w:val="20"/>
              </w:rPr>
              <w:t xml:space="preserve"> 2018</w:t>
            </w:r>
          </w:p>
          <w:p w14:paraId="596DD99A"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22723F" w:rsidRPr="00B81A28" w14:paraId="792950B1" w14:textId="77777777" w:rsidTr="00365F35">
        <w:tc>
          <w:tcPr>
            <w:tcW w:w="4536" w:type="dxa"/>
            <w:shd w:val="clear" w:color="auto" w:fill="4C4C4C"/>
          </w:tcPr>
          <w:p w14:paraId="06612D99" w14:textId="77777777" w:rsidR="0022723F" w:rsidRPr="0067766B" w:rsidRDefault="0022723F" w:rsidP="00365F35">
            <w:pPr>
              <w:spacing w:before="40" w:after="40" w:line="300" w:lineRule="atLeast"/>
              <w:rPr>
                <w:rFonts w:ascii="Verdana" w:hAnsi="Verdana"/>
                <w:b/>
                <w:caps/>
                <w:color w:val="FFFFFF"/>
                <w:sz w:val="16"/>
                <w:szCs w:val="16"/>
              </w:rPr>
            </w:pPr>
            <w:r>
              <w:rPr>
                <w:rFonts w:ascii="Verdana" w:hAnsi="Verdana"/>
                <w:b/>
                <w:caps/>
                <w:color w:val="FFFFFF"/>
                <w:sz w:val="16"/>
                <w:szCs w:val="16"/>
              </w:rPr>
              <w:t>CURRENCIES</w:t>
            </w:r>
          </w:p>
        </w:tc>
        <w:tc>
          <w:tcPr>
            <w:tcW w:w="1134" w:type="dxa"/>
            <w:shd w:val="clear" w:color="auto" w:fill="4C4C4C"/>
          </w:tcPr>
          <w:p w14:paraId="591EF317"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13608F27"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7A607DD1"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62C7B309"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222C40B4"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16BB0A77"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208D3F3D"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65BFCFFD"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0A9B0C08"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2723F" w:rsidRPr="00B81A28" w14:paraId="24E30703" w14:textId="77777777" w:rsidTr="00365F35">
        <w:tc>
          <w:tcPr>
            <w:tcW w:w="14884" w:type="dxa"/>
            <w:gridSpan w:val="10"/>
            <w:shd w:val="clear" w:color="auto" w:fill="7583BD"/>
            <w:vAlign w:val="center"/>
          </w:tcPr>
          <w:p w14:paraId="41098293" w14:textId="77777777" w:rsidR="0022723F" w:rsidRPr="00B81A28" w:rsidRDefault="0022723F" w:rsidP="00365F35">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22723F" w:rsidRPr="00B81A28" w14:paraId="310C39A7" w14:textId="77777777" w:rsidTr="00365F35">
        <w:tc>
          <w:tcPr>
            <w:tcW w:w="4536" w:type="dxa"/>
          </w:tcPr>
          <w:p w14:paraId="3490CE1D"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EURO</w:t>
            </w:r>
          </w:p>
        </w:tc>
        <w:tc>
          <w:tcPr>
            <w:tcW w:w="1134" w:type="dxa"/>
          </w:tcPr>
          <w:p w14:paraId="32400813" w14:textId="786A7A1A" w:rsidR="0022723F" w:rsidRPr="00B81A28" w:rsidRDefault="0099674E" w:rsidP="00365F35">
            <w:pPr>
              <w:tabs>
                <w:tab w:val="left" w:pos="1050"/>
              </w:tabs>
              <w:spacing w:before="40" w:after="40" w:line="300" w:lineRule="atLeast"/>
              <w:jc w:val="center"/>
              <w:rPr>
                <w:rFonts w:ascii="Verdana" w:hAnsi="Verdana"/>
                <w:sz w:val="16"/>
                <w:szCs w:val="16"/>
              </w:rPr>
            </w:pPr>
            <w:r>
              <w:rPr>
                <w:rFonts w:ascii="Verdana" w:hAnsi="Verdana"/>
                <w:sz w:val="16"/>
                <w:szCs w:val="16"/>
              </w:rPr>
              <w:t>5,25%</w:t>
            </w:r>
          </w:p>
        </w:tc>
        <w:tc>
          <w:tcPr>
            <w:tcW w:w="1276" w:type="dxa"/>
          </w:tcPr>
          <w:p w14:paraId="5D829D10" w14:textId="45E8702C" w:rsidR="0022723F" w:rsidRPr="00B81A28" w:rsidRDefault="0099674E" w:rsidP="00365F35">
            <w:pPr>
              <w:spacing w:before="40" w:after="40" w:line="300" w:lineRule="atLeast"/>
              <w:jc w:val="center"/>
              <w:rPr>
                <w:rFonts w:ascii="Verdana" w:hAnsi="Verdana"/>
                <w:sz w:val="16"/>
                <w:szCs w:val="16"/>
              </w:rPr>
            </w:pPr>
            <w:r>
              <w:rPr>
                <w:rFonts w:ascii="Verdana" w:hAnsi="Verdana"/>
                <w:sz w:val="16"/>
                <w:szCs w:val="16"/>
              </w:rPr>
              <w:t>0,18%</w:t>
            </w:r>
          </w:p>
        </w:tc>
        <w:tc>
          <w:tcPr>
            <w:tcW w:w="1134" w:type="dxa"/>
          </w:tcPr>
          <w:p w14:paraId="76D058AF" w14:textId="27E973CE" w:rsidR="0022723F" w:rsidRPr="00B81A28" w:rsidRDefault="0099674E" w:rsidP="00365F35">
            <w:pPr>
              <w:spacing w:before="40" w:after="40" w:line="300" w:lineRule="atLeast"/>
              <w:jc w:val="center"/>
              <w:rPr>
                <w:rFonts w:ascii="Verdana" w:hAnsi="Verdana"/>
                <w:sz w:val="16"/>
                <w:szCs w:val="16"/>
              </w:rPr>
            </w:pPr>
            <w:r>
              <w:rPr>
                <w:rFonts w:ascii="Verdana" w:hAnsi="Verdana"/>
                <w:sz w:val="16"/>
                <w:szCs w:val="16"/>
              </w:rPr>
              <w:t>2,43%</w:t>
            </w:r>
          </w:p>
        </w:tc>
        <w:tc>
          <w:tcPr>
            <w:tcW w:w="1134" w:type="dxa"/>
          </w:tcPr>
          <w:p w14:paraId="31E724AA" w14:textId="0BC7D95B" w:rsidR="0022723F" w:rsidRPr="00B81A28" w:rsidRDefault="0099674E" w:rsidP="00365F35">
            <w:pPr>
              <w:spacing w:before="40" w:after="40" w:line="300" w:lineRule="atLeast"/>
              <w:jc w:val="center"/>
              <w:rPr>
                <w:rFonts w:ascii="Verdana" w:hAnsi="Verdana"/>
                <w:sz w:val="16"/>
                <w:szCs w:val="16"/>
              </w:rPr>
            </w:pPr>
            <w:r>
              <w:rPr>
                <w:rFonts w:ascii="Verdana" w:hAnsi="Verdana"/>
                <w:sz w:val="16"/>
                <w:szCs w:val="16"/>
              </w:rPr>
              <w:t>11,45%</w:t>
            </w:r>
          </w:p>
        </w:tc>
        <w:tc>
          <w:tcPr>
            <w:tcW w:w="1134" w:type="dxa"/>
          </w:tcPr>
          <w:p w14:paraId="0B76679A" w14:textId="457E8623" w:rsidR="0022723F" w:rsidRPr="00B81A28" w:rsidRDefault="0099674E" w:rsidP="00365F35">
            <w:pPr>
              <w:spacing w:before="40" w:after="40" w:line="300" w:lineRule="atLeast"/>
              <w:jc w:val="center"/>
              <w:rPr>
                <w:rFonts w:ascii="Verdana" w:hAnsi="Verdana"/>
                <w:sz w:val="16"/>
                <w:szCs w:val="16"/>
              </w:rPr>
            </w:pPr>
            <w:r>
              <w:rPr>
                <w:rFonts w:ascii="Verdana" w:hAnsi="Verdana"/>
                <w:sz w:val="16"/>
                <w:szCs w:val="16"/>
              </w:rPr>
              <w:t>6,51%</w:t>
            </w:r>
          </w:p>
        </w:tc>
        <w:tc>
          <w:tcPr>
            <w:tcW w:w="1134" w:type="dxa"/>
            <w:shd w:val="clear" w:color="auto" w:fill="auto"/>
          </w:tcPr>
          <w:p w14:paraId="58712A41" w14:textId="0FBF5513" w:rsidR="0022723F" w:rsidRPr="00B81A28" w:rsidRDefault="0099674E" w:rsidP="00365F35">
            <w:pPr>
              <w:spacing w:before="40" w:after="40" w:line="300" w:lineRule="atLeast"/>
              <w:jc w:val="center"/>
              <w:rPr>
                <w:rFonts w:ascii="Verdana" w:hAnsi="Verdana"/>
                <w:sz w:val="16"/>
                <w:szCs w:val="16"/>
              </w:rPr>
            </w:pPr>
            <w:r>
              <w:rPr>
                <w:rFonts w:ascii="Verdana" w:hAnsi="Verdana"/>
                <w:sz w:val="16"/>
                <w:szCs w:val="16"/>
              </w:rPr>
              <w:t>(1,24%)</w:t>
            </w:r>
          </w:p>
        </w:tc>
        <w:tc>
          <w:tcPr>
            <w:tcW w:w="1134" w:type="dxa"/>
            <w:shd w:val="clear" w:color="auto" w:fill="auto"/>
          </w:tcPr>
          <w:p w14:paraId="086ED902" w14:textId="59F61C46" w:rsidR="0022723F" w:rsidRPr="00B81A28" w:rsidRDefault="0099674E" w:rsidP="00365F35">
            <w:pPr>
              <w:spacing w:before="40" w:after="40" w:line="300" w:lineRule="atLeast"/>
              <w:jc w:val="center"/>
              <w:rPr>
                <w:rFonts w:ascii="Verdana" w:hAnsi="Verdana"/>
                <w:sz w:val="16"/>
                <w:szCs w:val="16"/>
              </w:rPr>
            </w:pPr>
            <w:r>
              <w:rPr>
                <w:rFonts w:ascii="Verdana" w:hAnsi="Verdana"/>
                <w:sz w:val="16"/>
                <w:szCs w:val="16"/>
              </w:rPr>
              <w:t>2,56%</w:t>
            </w:r>
          </w:p>
        </w:tc>
        <w:tc>
          <w:tcPr>
            <w:tcW w:w="1134" w:type="dxa"/>
          </w:tcPr>
          <w:p w14:paraId="1F87C997"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74D719C"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0A0FAE98" w14:textId="77777777" w:rsidTr="00365F35">
        <w:tc>
          <w:tcPr>
            <w:tcW w:w="4536" w:type="dxa"/>
          </w:tcPr>
          <w:p w14:paraId="3D0C7630"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Pound</w:t>
            </w:r>
          </w:p>
        </w:tc>
        <w:tc>
          <w:tcPr>
            <w:tcW w:w="1134" w:type="dxa"/>
          </w:tcPr>
          <w:p w14:paraId="221EE3F5" w14:textId="50CC3C91" w:rsidR="0022723F" w:rsidRPr="00B81A28" w:rsidRDefault="00471DA4" w:rsidP="00365F35">
            <w:pPr>
              <w:tabs>
                <w:tab w:val="left" w:pos="1050"/>
              </w:tabs>
              <w:spacing w:before="40" w:after="40" w:line="300" w:lineRule="atLeast"/>
              <w:jc w:val="center"/>
              <w:rPr>
                <w:rFonts w:ascii="Verdana" w:hAnsi="Verdana"/>
                <w:sz w:val="16"/>
                <w:szCs w:val="16"/>
              </w:rPr>
            </w:pPr>
            <w:r>
              <w:rPr>
                <w:rFonts w:ascii="Verdana" w:hAnsi="Verdana"/>
                <w:sz w:val="16"/>
                <w:szCs w:val="16"/>
              </w:rPr>
              <w:t>4,49%</w:t>
            </w:r>
          </w:p>
        </w:tc>
        <w:tc>
          <w:tcPr>
            <w:tcW w:w="1276" w:type="dxa"/>
          </w:tcPr>
          <w:p w14:paraId="161C03A6" w14:textId="0CD3E803"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(0,43%)</w:t>
            </w:r>
          </w:p>
        </w:tc>
        <w:tc>
          <w:tcPr>
            <w:tcW w:w="1134" w:type="dxa"/>
          </w:tcPr>
          <w:p w14:paraId="4BC4C262" w14:textId="398FF255"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1,32%</w:t>
            </w:r>
          </w:p>
        </w:tc>
        <w:tc>
          <w:tcPr>
            <w:tcW w:w="1134" w:type="dxa"/>
          </w:tcPr>
          <w:p w14:paraId="56620397" w14:textId="224DB3D7"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10,44%</w:t>
            </w:r>
          </w:p>
        </w:tc>
        <w:tc>
          <w:tcPr>
            <w:tcW w:w="1134" w:type="dxa"/>
          </w:tcPr>
          <w:p w14:paraId="09309778" w14:textId="35762504"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4,40%</w:t>
            </w:r>
          </w:p>
        </w:tc>
        <w:tc>
          <w:tcPr>
            <w:tcW w:w="1134" w:type="dxa"/>
            <w:shd w:val="clear" w:color="auto" w:fill="auto"/>
          </w:tcPr>
          <w:p w14:paraId="282F8161" w14:textId="34DE17B4"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(7,33%)</w:t>
            </w:r>
          </w:p>
        </w:tc>
        <w:tc>
          <w:tcPr>
            <w:tcW w:w="1134" w:type="dxa"/>
            <w:shd w:val="clear" w:color="auto" w:fill="auto"/>
          </w:tcPr>
          <w:p w14:paraId="41833537" w14:textId="5DAF7D16"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1,32%</w:t>
            </w:r>
          </w:p>
        </w:tc>
        <w:tc>
          <w:tcPr>
            <w:tcW w:w="1134" w:type="dxa"/>
          </w:tcPr>
          <w:p w14:paraId="619D43B0"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93AA66E"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70E7945E" w14:textId="77777777" w:rsidTr="00365F35">
        <w:tc>
          <w:tcPr>
            <w:tcW w:w="4536" w:type="dxa"/>
          </w:tcPr>
          <w:p w14:paraId="16A9AE86" w14:textId="77777777" w:rsidR="0022723F" w:rsidRPr="00B81A28" w:rsidRDefault="0022723F" w:rsidP="00365F35">
            <w:pPr>
              <w:spacing w:before="40" w:after="40" w:line="30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US Dollar</w:t>
            </w:r>
          </w:p>
        </w:tc>
        <w:tc>
          <w:tcPr>
            <w:tcW w:w="1134" w:type="dxa"/>
          </w:tcPr>
          <w:p w14:paraId="06991217" w14:textId="2446FF4E" w:rsidR="0022723F" w:rsidRPr="00B81A28" w:rsidRDefault="00471DA4" w:rsidP="00365F35">
            <w:pPr>
              <w:tabs>
                <w:tab w:val="left" w:pos="1050"/>
              </w:tabs>
              <w:spacing w:before="40" w:after="40" w:line="300" w:lineRule="atLeast"/>
              <w:jc w:val="center"/>
              <w:rPr>
                <w:rFonts w:ascii="Verdana" w:hAnsi="Verdana"/>
                <w:sz w:val="16"/>
                <w:szCs w:val="16"/>
              </w:rPr>
            </w:pPr>
            <w:r>
              <w:rPr>
                <w:rFonts w:ascii="Verdana" w:hAnsi="Verdana"/>
                <w:sz w:val="16"/>
                <w:szCs w:val="16"/>
              </w:rPr>
              <w:t>4,47%</w:t>
            </w:r>
          </w:p>
        </w:tc>
        <w:tc>
          <w:tcPr>
            <w:tcW w:w="1276" w:type="dxa"/>
          </w:tcPr>
          <w:p w14:paraId="3957B3CE" w14:textId="60D6B8DE"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2,12%</w:t>
            </w:r>
          </w:p>
        </w:tc>
        <w:tc>
          <w:tcPr>
            <w:tcW w:w="1134" w:type="dxa"/>
          </w:tcPr>
          <w:p w14:paraId="7499A932" w14:textId="292D996C"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6,56%</w:t>
            </w:r>
          </w:p>
        </w:tc>
        <w:tc>
          <w:tcPr>
            <w:tcW w:w="1134" w:type="dxa"/>
          </w:tcPr>
          <w:p w14:paraId="45FCC851" w14:textId="0ACB5329"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19,06%</w:t>
            </w:r>
          </w:p>
        </w:tc>
        <w:tc>
          <w:tcPr>
            <w:tcW w:w="1134" w:type="dxa"/>
          </w:tcPr>
          <w:p w14:paraId="0D9DADA9" w14:textId="71FFD423"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3,81%</w:t>
            </w:r>
          </w:p>
        </w:tc>
        <w:tc>
          <w:tcPr>
            <w:tcW w:w="1134" w:type="dxa"/>
            <w:shd w:val="clear" w:color="auto" w:fill="auto"/>
          </w:tcPr>
          <w:p w14:paraId="751BE4E3" w14:textId="0BE69CB6"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(1,77%)</w:t>
            </w:r>
          </w:p>
        </w:tc>
        <w:tc>
          <w:tcPr>
            <w:tcW w:w="1134" w:type="dxa"/>
            <w:shd w:val="clear" w:color="auto" w:fill="auto"/>
          </w:tcPr>
          <w:p w14:paraId="4A28D705" w14:textId="1150F06A" w:rsidR="0022723F" w:rsidRPr="00B81A28" w:rsidRDefault="00471DA4" w:rsidP="00365F35">
            <w:pPr>
              <w:spacing w:before="40" w:after="40" w:line="300" w:lineRule="atLeast"/>
              <w:jc w:val="center"/>
              <w:rPr>
                <w:rFonts w:ascii="Verdana" w:hAnsi="Verdana"/>
                <w:sz w:val="16"/>
                <w:szCs w:val="16"/>
              </w:rPr>
            </w:pPr>
            <w:r>
              <w:rPr>
                <w:rFonts w:ascii="Verdana" w:hAnsi="Verdana"/>
                <w:sz w:val="16"/>
                <w:szCs w:val="16"/>
              </w:rPr>
              <w:t>7,13%</w:t>
            </w:r>
          </w:p>
        </w:tc>
        <w:tc>
          <w:tcPr>
            <w:tcW w:w="1134" w:type="dxa"/>
          </w:tcPr>
          <w:p w14:paraId="1BCDACB7"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C67B06A" w14:textId="77777777" w:rsidR="0022723F" w:rsidRPr="00B81A28" w:rsidRDefault="0022723F" w:rsidP="00365F35">
            <w:pPr>
              <w:spacing w:before="40" w:after="40" w:line="300" w:lineRule="atLeast"/>
              <w:jc w:val="center"/>
              <w:rPr>
                <w:rFonts w:ascii="Verdana" w:hAnsi="Verdana"/>
                <w:sz w:val="16"/>
                <w:szCs w:val="16"/>
              </w:rPr>
            </w:pPr>
            <w:r w:rsidRPr="00B81A28">
              <w:rPr>
                <w:rFonts w:ascii="Verdana" w:hAnsi="Verdana"/>
                <w:sz w:val="16"/>
                <w:szCs w:val="16"/>
              </w:rPr>
              <w:t>-</w:t>
            </w:r>
          </w:p>
        </w:tc>
      </w:tr>
      <w:tr w:rsidR="0022723F" w:rsidRPr="00B81A28" w14:paraId="015B36E5" w14:textId="77777777" w:rsidTr="00365F35">
        <w:tc>
          <w:tcPr>
            <w:tcW w:w="14884" w:type="dxa"/>
            <w:gridSpan w:val="10"/>
            <w:vAlign w:val="center"/>
          </w:tcPr>
          <w:p w14:paraId="7F33CD62" w14:textId="2AE39C85" w:rsidR="0022723F" w:rsidRPr="00FC742B" w:rsidRDefault="0022723F" w:rsidP="00365F35">
            <w:pPr>
              <w:spacing w:before="40" w:after="40" w:line="300" w:lineRule="atLeast"/>
              <w:rPr>
                <w:rFonts w:ascii="Verdana" w:hAnsi="Verdana"/>
                <w:i/>
                <w:sz w:val="15"/>
                <w:szCs w:val="15"/>
              </w:rPr>
            </w:pPr>
            <w:r w:rsidRPr="00FC742B">
              <w:rPr>
                <w:rFonts w:ascii="Verdana" w:hAnsi="Verdana"/>
                <w:i/>
                <w:sz w:val="15"/>
                <w:szCs w:val="15"/>
              </w:rPr>
              <w:t xml:space="preserve">Source: etfSA.co.za / Profile Media – </w:t>
            </w:r>
            <w:r w:rsidR="00D13FF3">
              <w:rPr>
                <w:rFonts w:ascii="Verdana" w:hAnsi="Verdana"/>
                <w:i/>
                <w:sz w:val="15"/>
                <w:szCs w:val="15"/>
              </w:rPr>
              <w:t>Funds</w:t>
            </w:r>
            <w:r w:rsidRPr="00FC742B">
              <w:rPr>
                <w:rFonts w:ascii="Verdana" w:hAnsi="Verdana"/>
                <w:i/>
                <w:sz w:val="15"/>
                <w:szCs w:val="15"/>
              </w:rPr>
              <w:t xml:space="preserve"> Data (</w:t>
            </w:r>
            <w:r>
              <w:rPr>
                <w:rFonts w:ascii="Verdana" w:hAnsi="Verdana"/>
                <w:i/>
                <w:sz w:val="15"/>
                <w:szCs w:val="15"/>
              </w:rPr>
              <w:t>31</w:t>
            </w:r>
            <w:r w:rsidRPr="00FC742B">
              <w:rPr>
                <w:rFonts w:ascii="Verdana" w:hAnsi="Verdana"/>
                <w:i/>
                <w:sz w:val="15"/>
                <w:szCs w:val="15"/>
              </w:rPr>
              <w:t>/</w:t>
            </w:r>
            <w:r>
              <w:rPr>
                <w:rFonts w:ascii="Verdana" w:hAnsi="Verdana"/>
                <w:i/>
                <w:sz w:val="15"/>
                <w:szCs w:val="15"/>
              </w:rPr>
              <w:t>12</w:t>
            </w:r>
            <w:r w:rsidRPr="00FC742B">
              <w:rPr>
                <w:rFonts w:ascii="Verdana" w:hAnsi="Verdana"/>
                <w:i/>
                <w:sz w:val="15"/>
                <w:szCs w:val="15"/>
              </w:rPr>
              <w:t>/2018)</w:t>
            </w:r>
          </w:p>
        </w:tc>
      </w:tr>
    </w:tbl>
    <w:p w14:paraId="2355A046" w14:textId="77777777" w:rsidR="0022723F" w:rsidRDefault="0022723F" w:rsidP="0022723F">
      <w:pPr>
        <w:rPr>
          <w:rFonts w:ascii="Verdana" w:hAnsi="Verdana"/>
        </w:rPr>
      </w:pPr>
    </w:p>
    <w:bookmarkEnd w:id="8"/>
    <w:p w14:paraId="26F24FEF" w14:textId="77777777" w:rsidR="0022723F" w:rsidRDefault="0022723F" w:rsidP="0022723F">
      <w:pPr>
        <w:ind w:right="567"/>
        <w:jc w:val="both"/>
        <w:rPr>
          <w:rFonts w:ascii="Verdana" w:hAnsi="Verdana"/>
        </w:rPr>
      </w:pPr>
    </w:p>
    <w:p w14:paraId="38F15323" w14:textId="77777777" w:rsidR="0022723F" w:rsidRDefault="0022723F" w:rsidP="0022723F">
      <w:pPr>
        <w:ind w:right="567"/>
        <w:jc w:val="both"/>
        <w:rPr>
          <w:rFonts w:ascii="Verdana" w:hAnsi="Verdana"/>
        </w:rPr>
      </w:pPr>
    </w:p>
    <w:p w14:paraId="1D0F369A" w14:textId="77777777" w:rsidR="0022723F" w:rsidRPr="00B81A28" w:rsidRDefault="0022723F" w:rsidP="0022723F">
      <w:pPr>
        <w:ind w:right="567"/>
        <w:jc w:val="both"/>
        <w:rPr>
          <w:rFonts w:ascii="Verdana" w:hAnsi="Verdana"/>
        </w:rPr>
      </w:pPr>
    </w:p>
    <w:p w14:paraId="6BAE7BAC" w14:textId="77777777" w:rsidR="0022723F" w:rsidRPr="00B81A28" w:rsidRDefault="0022723F" w:rsidP="0022723F">
      <w:pPr>
        <w:pBdr>
          <w:top w:val="single" w:sz="4" w:space="1" w:color="auto"/>
        </w:pBdr>
        <w:spacing w:after="0" w:line="240" w:lineRule="auto"/>
        <w:ind w:right="567"/>
        <w:rPr>
          <w:rFonts w:ascii="Verdana" w:hAnsi="Verdana"/>
          <w:sz w:val="14"/>
          <w:szCs w:val="14"/>
          <w:lang w:eastAsia="en-ZA"/>
        </w:rPr>
      </w:pPr>
      <w:r w:rsidRPr="00B81A28">
        <w:rPr>
          <w:rFonts w:ascii="Verdana" w:hAnsi="Verdana"/>
          <w:b/>
          <w:i/>
          <w:color w:val="0F0D35"/>
          <w:sz w:val="15"/>
          <w:szCs w:val="15"/>
        </w:rPr>
        <w:t xml:space="preserve">Disclaimer: </w:t>
      </w:r>
      <w:r w:rsidRPr="00B81A28">
        <w:rPr>
          <w:rFonts w:ascii="Verdana" w:hAnsi="Verdana"/>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1FCB6B80" w14:textId="77777777" w:rsidR="0022723F" w:rsidRPr="00B81A28" w:rsidRDefault="0022723F" w:rsidP="0022723F">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59E7C445" w14:textId="77777777" w:rsidR="0022723F" w:rsidRPr="00B81A28" w:rsidRDefault="0022723F" w:rsidP="0022723F">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2B6182CE" w14:textId="77777777" w:rsidR="0022723F" w:rsidRPr="00B81A28" w:rsidRDefault="0022723F" w:rsidP="0022723F">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56E3D65A" w14:textId="77777777" w:rsidR="0022723F" w:rsidRPr="00B81A28" w:rsidRDefault="0022723F" w:rsidP="0022723F">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B81A28">
        <w:rPr>
          <w:rFonts w:ascii="Verdana" w:hAnsi="Verdana"/>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p w14:paraId="7DA31967" w14:textId="77777777" w:rsidR="0022723F" w:rsidRDefault="0022723F" w:rsidP="0022723F">
      <w:pPr>
        <w:pBdr>
          <w:top w:val="single" w:sz="4" w:space="1" w:color="auto"/>
        </w:pBdr>
        <w:spacing w:after="0" w:line="240" w:lineRule="auto"/>
        <w:jc w:val="center"/>
        <w:rPr>
          <w:rFonts w:ascii="Verdana" w:hAnsi="Verdana"/>
          <w:sz w:val="15"/>
          <w:szCs w:val="15"/>
        </w:rPr>
      </w:pPr>
      <w:r w:rsidRPr="00B81A28">
        <w:rPr>
          <w:rFonts w:ascii="Verdana" w:hAnsi="Verdana"/>
          <w:sz w:val="15"/>
          <w:szCs w:val="15"/>
        </w:rPr>
        <w:br w:type="page"/>
      </w:r>
    </w:p>
    <w:p w14:paraId="75127508" w14:textId="77777777" w:rsidR="0022723F" w:rsidRPr="00B81A28" w:rsidRDefault="0022723F" w:rsidP="0022723F">
      <w:pPr>
        <w:pBdr>
          <w:top w:val="single" w:sz="4" w:space="1" w:color="auto"/>
        </w:pBdr>
        <w:spacing w:after="0" w:line="240" w:lineRule="auto"/>
        <w:rPr>
          <w:rFonts w:ascii="Verdana" w:hAnsi="Verdana"/>
          <w:sz w:val="15"/>
          <w:szCs w:val="15"/>
        </w:rPr>
      </w:pPr>
    </w:p>
    <w:p w14:paraId="6020B468" w14:textId="77777777" w:rsidR="0022723F" w:rsidRPr="00B81A28" w:rsidRDefault="0022723F" w:rsidP="0022723F">
      <w:pPr>
        <w:spacing w:after="0" w:line="240" w:lineRule="auto"/>
        <w:rPr>
          <w:rFonts w:ascii="Verdana" w:hAnsi="Verdana"/>
          <w:sz w:val="16"/>
          <w:szCs w:val="16"/>
        </w:rPr>
      </w:pPr>
      <w:r w:rsidRPr="00B81A28">
        <w:rPr>
          <w:rFonts w:ascii="Verdana" w:hAnsi="Verdana"/>
          <w:noProof/>
          <w:lang w:eastAsia="en-ZA"/>
        </w:rPr>
        <w:drawing>
          <wp:inline distT="0" distB="0" distL="0" distR="0" wp14:anchorId="08532744" wp14:editId="79161000">
            <wp:extent cx="3057525" cy="642486"/>
            <wp:effectExtent l="0" t="0" r="0" b="5715"/>
            <wp:docPr id="17" name="Picture 17"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22723F" w:rsidRPr="00B81A28" w14:paraId="02124ADA" w14:textId="77777777" w:rsidTr="00365F35">
        <w:tc>
          <w:tcPr>
            <w:tcW w:w="14884" w:type="dxa"/>
            <w:gridSpan w:val="7"/>
            <w:shd w:val="clear" w:color="auto" w:fill="CB2229"/>
            <w:vAlign w:val="center"/>
          </w:tcPr>
          <w:p w14:paraId="61B5E766"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1A7B2A4B" w14:textId="77777777" w:rsidR="0022723F" w:rsidRPr="00B81A28" w:rsidRDefault="0022723F" w:rsidP="00365F35">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w:t>
            </w:r>
            <w:r w:rsidRPr="00B81A28">
              <w:rPr>
                <w:rFonts w:ascii="Verdana" w:hAnsi="Verdana"/>
                <w:b/>
                <w:color w:val="FFFFFF"/>
                <w:sz w:val="20"/>
                <w:szCs w:val="20"/>
              </w:rPr>
              <w:t xml:space="preserve"> 2018</w:t>
            </w:r>
            <w:r>
              <w:rPr>
                <w:rFonts w:ascii="Verdana" w:hAnsi="Verdana"/>
                <w:b/>
                <w:color w:val="FFFFFF"/>
                <w:sz w:val="20"/>
                <w:szCs w:val="20"/>
              </w:rPr>
              <w:t xml:space="preserve">   </w:t>
            </w:r>
            <w:r w:rsidRPr="00B81A28">
              <w:rPr>
                <w:rFonts w:ascii="Verdana" w:hAnsi="Verdana"/>
                <w:b/>
                <w:color w:val="FFFFFF"/>
                <w:sz w:val="20"/>
                <w:szCs w:val="20"/>
              </w:rPr>
              <w:t>(Total Returns – dividends reinvested)</w:t>
            </w:r>
          </w:p>
        </w:tc>
      </w:tr>
      <w:tr w:rsidR="0022723F" w:rsidRPr="00B81A28" w14:paraId="171509F4" w14:textId="77777777" w:rsidTr="00365F35">
        <w:tc>
          <w:tcPr>
            <w:tcW w:w="5245" w:type="dxa"/>
            <w:shd w:val="clear" w:color="auto" w:fill="4C4C4C"/>
          </w:tcPr>
          <w:p w14:paraId="12CE4B3D" w14:textId="77777777" w:rsidR="0022723F" w:rsidRPr="0067766B" w:rsidRDefault="0022723F" w:rsidP="00365F35">
            <w:pPr>
              <w:spacing w:before="40" w:after="40" w:line="30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0F2925ED"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38A0B982"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08F983DA"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6743EA94"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338B2C4C"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7D2F3519" w14:textId="77777777" w:rsidR="0022723F" w:rsidRPr="00B81A28" w:rsidRDefault="0022723F" w:rsidP="00365F35">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2723F" w:rsidRPr="00B81A28" w14:paraId="61AE5641" w14:textId="77777777" w:rsidTr="00365F35">
        <w:tc>
          <w:tcPr>
            <w:tcW w:w="5245" w:type="dxa"/>
            <w:shd w:val="clear" w:color="auto" w:fill="auto"/>
          </w:tcPr>
          <w:p w14:paraId="1D2B9183" w14:textId="77777777" w:rsidR="0022723F" w:rsidRPr="00AE5F39" w:rsidRDefault="0022723F" w:rsidP="00365F35">
            <w:pPr>
              <w:spacing w:before="40" w:after="40" w:line="280" w:lineRule="atLeast"/>
              <w:rPr>
                <w:rFonts w:ascii="Verdana" w:hAnsi="Verdana"/>
                <w:b/>
                <w:color w:val="000000" w:themeColor="text1"/>
                <w:sz w:val="16"/>
                <w:szCs w:val="16"/>
              </w:rPr>
            </w:pPr>
            <w:r w:rsidRPr="00AE5F39">
              <w:rPr>
                <w:rFonts w:ascii="Verdana" w:hAnsi="Verdana"/>
                <w:b/>
                <w:color w:val="000000" w:themeColor="text1"/>
                <w:sz w:val="16"/>
                <w:szCs w:val="16"/>
              </w:rPr>
              <w:t>FTSE/JSE TOP 40 INDEX (Total Return)</w:t>
            </w:r>
          </w:p>
        </w:tc>
        <w:tc>
          <w:tcPr>
            <w:tcW w:w="1606" w:type="dxa"/>
            <w:shd w:val="clear" w:color="auto" w:fill="auto"/>
          </w:tcPr>
          <w:p w14:paraId="2B7A0716" w14:textId="43E217C8" w:rsidR="0022723F" w:rsidRPr="00AE5F39" w:rsidRDefault="00195540" w:rsidP="00365F35">
            <w:pPr>
              <w:tabs>
                <w:tab w:val="left" w:pos="1050"/>
              </w:tabs>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4,76%</w:t>
            </w:r>
          </w:p>
        </w:tc>
        <w:tc>
          <w:tcPr>
            <w:tcW w:w="1607" w:type="dxa"/>
            <w:shd w:val="clear" w:color="auto" w:fill="auto"/>
          </w:tcPr>
          <w:p w14:paraId="036EAF30" w14:textId="0584C9C7" w:rsidR="0022723F" w:rsidRPr="00AE5F39" w:rsidRDefault="00195540" w:rsidP="00365F35">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(5,25%)</w:t>
            </w:r>
          </w:p>
        </w:tc>
        <w:tc>
          <w:tcPr>
            <w:tcW w:w="1606" w:type="dxa"/>
            <w:shd w:val="clear" w:color="auto" w:fill="auto"/>
          </w:tcPr>
          <w:p w14:paraId="48436FE5" w14:textId="6C39849A" w:rsidR="0022723F" w:rsidRPr="00AE5F39" w:rsidRDefault="00195540" w:rsidP="00365F35">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(8,31%)</w:t>
            </w:r>
          </w:p>
        </w:tc>
        <w:tc>
          <w:tcPr>
            <w:tcW w:w="1607" w:type="dxa"/>
            <w:shd w:val="clear" w:color="auto" w:fill="auto"/>
          </w:tcPr>
          <w:p w14:paraId="5E288B84" w14:textId="3D3696F3" w:rsidR="0022723F" w:rsidRPr="00AE5F39" w:rsidRDefault="00195540" w:rsidP="00365F35">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3,55%</w:t>
            </w:r>
          </w:p>
        </w:tc>
        <w:tc>
          <w:tcPr>
            <w:tcW w:w="1606" w:type="dxa"/>
            <w:shd w:val="clear" w:color="auto" w:fill="auto"/>
          </w:tcPr>
          <w:p w14:paraId="547D334C" w14:textId="5CFE37A2" w:rsidR="0022723F" w:rsidRPr="00AE5F39" w:rsidRDefault="00195540" w:rsidP="00365F35">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5,44%</w:t>
            </w:r>
          </w:p>
        </w:tc>
        <w:tc>
          <w:tcPr>
            <w:tcW w:w="1607" w:type="dxa"/>
            <w:shd w:val="clear" w:color="auto" w:fill="auto"/>
          </w:tcPr>
          <w:p w14:paraId="6225DD79" w14:textId="2D56F0E0" w:rsidR="0022723F" w:rsidRPr="00AE5F39" w:rsidRDefault="00195540" w:rsidP="00365F35">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12,28%</w:t>
            </w:r>
          </w:p>
        </w:tc>
      </w:tr>
      <w:tr w:rsidR="0022723F" w:rsidRPr="00B81A28" w14:paraId="42F5D56E" w14:textId="77777777" w:rsidTr="00365F35">
        <w:tc>
          <w:tcPr>
            <w:tcW w:w="5245" w:type="dxa"/>
          </w:tcPr>
          <w:p w14:paraId="782FD9A5"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 xml:space="preserve">Kagiso Top 40 Tracker Fund </w:t>
            </w:r>
          </w:p>
        </w:tc>
        <w:tc>
          <w:tcPr>
            <w:tcW w:w="1606" w:type="dxa"/>
          </w:tcPr>
          <w:p w14:paraId="5EBD8D92" w14:textId="529AF82B" w:rsidR="0022723F" w:rsidRPr="00B81A28" w:rsidRDefault="00E765F5" w:rsidP="00365F35">
            <w:pPr>
              <w:tabs>
                <w:tab w:val="left" w:pos="1050"/>
              </w:tabs>
              <w:spacing w:before="40" w:after="40" w:line="280" w:lineRule="atLeast"/>
              <w:jc w:val="center"/>
              <w:rPr>
                <w:rFonts w:ascii="Verdana" w:hAnsi="Verdana"/>
                <w:sz w:val="16"/>
                <w:szCs w:val="16"/>
              </w:rPr>
            </w:pPr>
            <w:r>
              <w:rPr>
                <w:rFonts w:ascii="Verdana" w:hAnsi="Verdana"/>
                <w:sz w:val="16"/>
                <w:szCs w:val="16"/>
              </w:rPr>
              <w:t>4,66%</w:t>
            </w:r>
          </w:p>
        </w:tc>
        <w:tc>
          <w:tcPr>
            <w:tcW w:w="1607" w:type="dxa"/>
          </w:tcPr>
          <w:p w14:paraId="28ECF2FB" w14:textId="6AA348E5"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(5,46%)</w:t>
            </w:r>
          </w:p>
        </w:tc>
        <w:tc>
          <w:tcPr>
            <w:tcW w:w="1606" w:type="dxa"/>
          </w:tcPr>
          <w:p w14:paraId="253251F7" w14:textId="1D2FF352"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(9,05%)</w:t>
            </w:r>
          </w:p>
        </w:tc>
        <w:tc>
          <w:tcPr>
            <w:tcW w:w="1607" w:type="dxa"/>
          </w:tcPr>
          <w:p w14:paraId="167F2ED9" w14:textId="75AF1DEA"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2,57%</w:t>
            </w:r>
          </w:p>
        </w:tc>
        <w:tc>
          <w:tcPr>
            <w:tcW w:w="1606" w:type="dxa"/>
          </w:tcPr>
          <w:p w14:paraId="28350490" w14:textId="4504F0CA"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4,47%</w:t>
            </w:r>
          </w:p>
        </w:tc>
        <w:tc>
          <w:tcPr>
            <w:tcW w:w="1607" w:type="dxa"/>
            <w:shd w:val="clear" w:color="auto" w:fill="auto"/>
          </w:tcPr>
          <w:p w14:paraId="14FCD7F7" w14:textId="7A9F459E"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11,32%</w:t>
            </w:r>
          </w:p>
        </w:tc>
      </w:tr>
      <w:tr w:rsidR="0022723F" w:rsidRPr="00B81A28" w14:paraId="11A0E979" w14:textId="77777777" w:rsidTr="00365F35">
        <w:tc>
          <w:tcPr>
            <w:tcW w:w="5245" w:type="dxa"/>
          </w:tcPr>
          <w:p w14:paraId="6C09A75D"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Momentum Top 40 Index Fund</w:t>
            </w:r>
          </w:p>
        </w:tc>
        <w:tc>
          <w:tcPr>
            <w:tcW w:w="1606" w:type="dxa"/>
          </w:tcPr>
          <w:p w14:paraId="496682C9" w14:textId="3555E7D6" w:rsidR="0022723F" w:rsidRPr="00B81A28" w:rsidRDefault="00E765F5" w:rsidP="00365F35">
            <w:pPr>
              <w:tabs>
                <w:tab w:val="left" w:pos="1050"/>
              </w:tabs>
              <w:spacing w:before="40" w:after="40" w:line="280" w:lineRule="atLeast"/>
              <w:jc w:val="center"/>
              <w:rPr>
                <w:rFonts w:ascii="Verdana" w:hAnsi="Verdana"/>
                <w:sz w:val="16"/>
                <w:szCs w:val="16"/>
              </w:rPr>
            </w:pPr>
            <w:r>
              <w:rPr>
                <w:rFonts w:ascii="Verdana" w:hAnsi="Verdana"/>
                <w:sz w:val="16"/>
                <w:szCs w:val="16"/>
              </w:rPr>
              <w:t>4,69%</w:t>
            </w:r>
          </w:p>
        </w:tc>
        <w:tc>
          <w:tcPr>
            <w:tcW w:w="1607" w:type="dxa"/>
          </w:tcPr>
          <w:p w14:paraId="7CB4375A" w14:textId="4BF77D0A"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(4,76%)</w:t>
            </w:r>
          </w:p>
        </w:tc>
        <w:tc>
          <w:tcPr>
            <w:tcW w:w="1606" w:type="dxa"/>
          </w:tcPr>
          <w:p w14:paraId="28BC6BD6" w14:textId="09220CD6"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(8,96%)</w:t>
            </w:r>
          </w:p>
        </w:tc>
        <w:tc>
          <w:tcPr>
            <w:tcW w:w="1607" w:type="dxa"/>
          </w:tcPr>
          <w:p w14:paraId="5F81B932" w14:textId="5213E12D"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2,89%</w:t>
            </w:r>
          </w:p>
        </w:tc>
        <w:tc>
          <w:tcPr>
            <w:tcW w:w="1606" w:type="dxa"/>
          </w:tcPr>
          <w:p w14:paraId="0EAAA5CF" w14:textId="20B2BA74"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4,73%</w:t>
            </w:r>
          </w:p>
        </w:tc>
        <w:tc>
          <w:tcPr>
            <w:tcW w:w="1607" w:type="dxa"/>
            <w:shd w:val="clear" w:color="auto" w:fill="auto"/>
          </w:tcPr>
          <w:p w14:paraId="43A7A63A" w14:textId="4DF10CA1"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11,49%</w:t>
            </w:r>
          </w:p>
        </w:tc>
      </w:tr>
      <w:tr w:rsidR="0022723F" w:rsidRPr="00B81A28" w14:paraId="57EF5687" w14:textId="77777777" w:rsidTr="00365F35">
        <w:tc>
          <w:tcPr>
            <w:tcW w:w="5245" w:type="dxa"/>
          </w:tcPr>
          <w:p w14:paraId="652977BC"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Satrix Equally Weighted Top 40 Index Fund</w:t>
            </w:r>
          </w:p>
        </w:tc>
        <w:tc>
          <w:tcPr>
            <w:tcW w:w="1606" w:type="dxa"/>
          </w:tcPr>
          <w:p w14:paraId="02E34AA8" w14:textId="207107EF" w:rsidR="0022723F" w:rsidRPr="00B81A28" w:rsidRDefault="00E765F5" w:rsidP="00365F35">
            <w:pPr>
              <w:tabs>
                <w:tab w:val="left" w:pos="1050"/>
              </w:tabs>
              <w:spacing w:before="40" w:after="40" w:line="280" w:lineRule="atLeast"/>
              <w:jc w:val="center"/>
              <w:rPr>
                <w:rFonts w:ascii="Verdana" w:hAnsi="Verdana"/>
                <w:sz w:val="16"/>
                <w:szCs w:val="16"/>
              </w:rPr>
            </w:pPr>
            <w:r>
              <w:rPr>
                <w:rFonts w:ascii="Verdana" w:hAnsi="Verdana"/>
                <w:sz w:val="16"/>
                <w:szCs w:val="16"/>
              </w:rPr>
              <w:t>2,97%</w:t>
            </w:r>
          </w:p>
        </w:tc>
        <w:tc>
          <w:tcPr>
            <w:tcW w:w="1607" w:type="dxa"/>
          </w:tcPr>
          <w:p w14:paraId="64B3BCF6" w14:textId="2C077090"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(0,90%)</w:t>
            </w:r>
          </w:p>
        </w:tc>
        <w:tc>
          <w:tcPr>
            <w:tcW w:w="1606" w:type="dxa"/>
          </w:tcPr>
          <w:p w14:paraId="5E651078" w14:textId="15E64A09"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(11,46%)</w:t>
            </w:r>
          </w:p>
        </w:tc>
        <w:tc>
          <w:tcPr>
            <w:tcW w:w="1607" w:type="dxa"/>
          </w:tcPr>
          <w:p w14:paraId="6635BA09" w14:textId="1881F559"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(0,30%)</w:t>
            </w:r>
          </w:p>
        </w:tc>
        <w:tc>
          <w:tcPr>
            <w:tcW w:w="1606" w:type="dxa"/>
          </w:tcPr>
          <w:p w14:paraId="362EE16F" w14:textId="6885321B"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1,85%</w:t>
            </w:r>
          </w:p>
        </w:tc>
        <w:tc>
          <w:tcPr>
            <w:tcW w:w="1607" w:type="dxa"/>
            <w:shd w:val="clear" w:color="auto" w:fill="auto"/>
          </w:tcPr>
          <w:p w14:paraId="3F8B23F5"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695D23A4" w14:textId="77777777" w:rsidTr="00365F35">
        <w:tc>
          <w:tcPr>
            <w:tcW w:w="5245" w:type="dxa"/>
          </w:tcPr>
          <w:p w14:paraId="13D761CC"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Satrix Top 40 Index Fund</w:t>
            </w:r>
          </w:p>
        </w:tc>
        <w:tc>
          <w:tcPr>
            <w:tcW w:w="1606" w:type="dxa"/>
          </w:tcPr>
          <w:p w14:paraId="48CF800A" w14:textId="67C6045B" w:rsidR="0022723F" w:rsidRPr="00B81A28" w:rsidRDefault="00E765F5" w:rsidP="00365F35">
            <w:pPr>
              <w:tabs>
                <w:tab w:val="left" w:pos="1050"/>
              </w:tabs>
              <w:spacing w:before="40" w:after="40" w:line="280" w:lineRule="atLeast"/>
              <w:jc w:val="center"/>
              <w:rPr>
                <w:rFonts w:ascii="Verdana" w:hAnsi="Verdana"/>
                <w:sz w:val="16"/>
                <w:szCs w:val="16"/>
              </w:rPr>
            </w:pPr>
            <w:r>
              <w:rPr>
                <w:rFonts w:ascii="Verdana" w:hAnsi="Verdana"/>
                <w:sz w:val="16"/>
                <w:szCs w:val="16"/>
              </w:rPr>
              <w:t>4,69%</w:t>
            </w:r>
          </w:p>
        </w:tc>
        <w:tc>
          <w:tcPr>
            <w:tcW w:w="1607" w:type="dxa"/>
          </w:tcPr>
          <w:p w14:paraId="5B6FCA8F" w14:textId="28602FEC"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(5,37%)</w:t>
            </w:r>
          </w:p>
        </w:tc>
        <w:tc>
          <w:tcPr>
            <w:tcW w:w="1606" w:type="dxa"/>
          </w:tcPr>
          <w:p w14:paraId="6ABAC25D" w14:textId="730B5431"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(8,91%)</w:t>
            </w:r>
          </w:p>
        </w:tc>
        <w:tc>
          <w:tcPr>
            <w:tcW w:w="1607" w:type="dxa"/>
          </w:tcPr>
          <w:p w14:paraId="19BF51A3" w14:textId="3934C9CC"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2,87%</w:t>
            </w:r>
          </w:p>
        </w:tc>
        <w:tc>
          <w:tcPr>
            <w:tcW w:w="1606" w:type="dxa"/>
          </w:tcPr>
          <w:p w14:paraId="5BABAA9D" w14:textId="7BE14D55"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4,32%</w:t>
            </w:r>
          </w:p>
        </w:tc>
        <w:tc>
          <w:tcPr>
            <w:tcW w:w="1607" w:type="dxa"/>
            <w:shd w:val="clear" w:color="auto" w:fill="auto"/>
          </w:tcPr>
          <w:p w14:paraId="63BD1F0D"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11039FCF" w14:textId="77777777" w:rsidTr="00365F35">
        <w:tc>
          <w:tcPr>
            <w:tcW w:w="5245" w:type="dxa"/>
          </w:tcPr>
          <w:p w14:paraId="352D3653"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Stanlib ALSI 40 Fund</w:t>
            </w:r>
          </w:p>
        </w:tc>
        <w:tc>
          <w:tcPr>
            <w:tcW w:w="1606" w:type="dxa"/>
          </w:tcPr>
          <w:p w14:paraId="2289EFA3" w14:textId="3C8F40D9" w:rsidR="0022723F" w:rsidRPr="00B81A28" w:rsidRDefault="00E765F5" w:rsidP="00365F35">
            <w:pPr>
              <w:tabs>
                <w:tab w:val="left" w:pos="1050"/>
              </w:tabs>
              <w:spacing w:before="40" w:after="40" w:line="280" w:lineRule="atLeast"/>
              <w:jc w:val="center"/>
              <w:rPr>
                <w:rFonts w:ascii="Verdana" w:hAnsi="Verdana"/>
                <w:sz w:val="16"/>
                <w:szCs w:val="16"/>
              </w:rPr>
            </w:pPr>
            <w:r>
              <w:rPr>
                <w:rFonts w:ascii="Verdana" w:hAnsi="Verdana"/>
                <w:sz w:val="16"/>
                <w:szCs w:val="16"/>
              </w:rPr>
              <w:t>4,53%</w:t>
            </w:r>
          </w:p>
        </w:tc>
        <w:tc>
          <w:tcPr>
            <w:tcW w:w="1607" w:type="dxa"/>
          </w:tcPr>
          <w:p w14:paraId="20BAFFC2" w14:textId="7ED85403"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(5,35%)</w:t>
            </w:r>
          </w:p>
        </w:tc>
        <w:tc>
          <w:tcPr>
            <w:tcW w:w="1606" w:type="dxa"/>
          </w:tcPr>
          <w:p w14:paraId="40F26A27" w14:textId="0D2BF6D3"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(8,65%)</w:t>
            </w:r>
          </w:p>
        </w:tc>
        <w:tc>
          <w:tcPr>
            <w:tcW w:w="1607" w:type="dxa"/>
          </w:tcPr>
          <w:p w14:paraId="2EDF283F" w14:textId="1B739101"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3,17%</w:t>
            </w:r>
          </w:p>
        </w:tc>
        <w:tc>
          <w:tcPr>
            <w:tcW w:w="1606" w:type="dxa"/>
          </w:tcPr>
          <w:p w14:paraId="4217B6B4" w14:textId="24A7744D"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4,92%</w:t>
            </w:r>
          </w:p>
        </w:tc>
        <w:tc>
          <w:tcPr>
            <w:tcW w:w="1607" w:type="dxa"/>
            <w:shd w:val="clear" w:color="auto" w:fill="auto"/>
          </w:tcPr>
          <w:p w14:paraId="22C8EB9D" w14:textId="10FE5C81"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11,61%</w:t>
            </w:r>
          </w:p>
        </w:tc>
      </w:tr>
      <w:tr w:rsidR="0022723F" w:rsidRPr="00B81A28" w14:paraId="64DB3ED4" w14:textId="77777777" w:rsidTr="00365F35">
        <w:tc>
          <w:tcPr>
            <w:tcW w:w="5245" w:type="dxa"/>
          </w:tcPr>
          <w:p w14:paraId="53167D66"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Sygnia Top 40 Index Fund</w:t>
            </w:r>
          </w:p>
        </w:tc>
        <w:tc>
          <w:tcPr>
            <w:tcW w:w="1606" w:type="dxa"/>
          </w:tcPr>
          <w:p w14:paraId="20D58A8C" w14:textId="21893FCB" w:rsidR="0022723F" w:rsidRPr="00B81A28" w:rsidRDefault="00E765F5" w:rsidP="00365F35">
            <w:pPr>
              <w:tabs>
                <w:tab w:val="left" w:pos="1050"/>
              </w:tabs>
              <w:spacing w:before="40" w:after="40" w:line="280" w:lineRule="atLeast"/>
              <w:jc w:val="center"/>
              <w:rPr>
                <w:rFonts w:ascii="Verdana" w:hAnsi="Verdana"/>
                <w:sz w:val="16"/>
                <w:szCs w:val="16"/>
              </w:rPr>
            </w:pPr>
            <w:r>
              <w:rPr>
                <w:rFonts w:ascii="Verdana" w:hAnsi="Verdana"/>
                <w:sz w:val="16"/>
                <w:szCs w:val="16"/>
              </w:rPr>
              <w:t>4,69%</w:t>
            </w:r>
          </w:p>
        </w:tc>
        <w:tc>
          <w:tcPr>
            <w:tcW w:w="1607" w:type="dxa"/>
          </w:tcPr>
          <w:p w14:paraId="3B30E431" w14:textId="7EA220CC"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(5,44%)</w:t>
            </w:r>
          </w:p>
        </w:tc>
        <w:tc>
          <w:tcPr>
            <w:tcW w:w="1606" w:type="dxa"/>
          </w:tcPr>
          <w:p w14:paraId="5DAF02A4" w14:textId="514A2F8E"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(9,03%)</w:t>
            </w:r>
          </w:p>
        </w:tc>
        <w:tc>
          <w:tcPr>
            <w:tcW w:w="1607" w:type="dxa"/>
          </w:tcPr>
          <w:p w14:paraId="1E053B6D" w14:textId="57DACB0D"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2,83%</w:t>
            </w:r>
          </w:p>
        </w:tc>
        <w:tc>
          <w:tcPr>
            <w:tcW w:w="1606" w:type="dxa"/>
          </w:tcPr>
          <w:p w14:paraId="49C58303" w14:textId="29EA511A"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4,76%</w:t>
            </w:r>
          </w:p>
        </w:tc>
        <w:tc>
          <w:tcPr>
            <w:tcW w:w="1607" w:type="dxa"/>
            <w:shd w:val="clear" w:color="auto" w:fill="auto"/>
          </w:tcPr>
          <w:p w14:paraId="393FEFB1"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4B2C5687" w14:textId="77777777" w:rsidTr="00365F35">
        <w:tc>
          <w:tcPr>
            <w:tcW w:w="5245" w:type="dxa"/>
          </w:tcPr>
          <w:p w14:paraId="4A062993"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Sygnia SWIX Index Fund</w:t>
            </w:r>
          </w:p>
        </w:tc>
        <w:tc>
          <w:tcPr>
            <w:tcW w:w="1606" w:type="dxa"/>
          </w:tcPr>
          <w:p w14:paraId="6975CF15" w14:textId="4D4826BE" w:rsidR="0022723F" w:rsidRPr="00B81A28" w:rsidRDefault="00E765F5" w:rsidP="00365F35">
            <w:pPr>
              <w:tabs>
                <w:tab w:val="left" w:pos="1050"/>
              </w:tabs>
              <w:spacing w:before="40" w:after="40" w:line="280" w:lineRule="atLeast"/>
              <w:jc w:val="center"/>
              <w:rPr>
                <w:rFonts w:ascii="Verdana" w:hAnsi="Verdana"/>
                <w:sz w:val="16"/>
                <w:szCs w:val="16"/>
              </w:rPr>
            </w:pPr>
            <w:r>
              <w:rPr>
                <w:rFonts w:ascii="Verdana" w:hAnsi="Verdana"/>
                <w:sz w:val="16"/>
                <w:szCs w:val="16"/>
              </w:rPr>
              <w:t>2,79%</w:t>
            </w:r>
          </w:p>
        </w:tc>
        <w:tc>
          <w:tcPr>
            <w:tcW w:w="1607" w:type="dxa"/>
          </w:tcPr>
          <w:p w14:paraId="67963AEF" w14:textId="33B3558D"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(4,15%)</w:t>
            </w:r>
          </w:p>
        </w:tc>
        <w:tc>
          <w:tcPr>
            <w:tcW w:w="1606" w:type="dxa"/>
          </w:tcPr>
          <w:p w14:paraId="095FC8A8" w14:textId="4BFC96A8"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(12,56%)</w:t>
            </w:r>
          </w:p>
        </w:tc>
        <w:tc>
          <w:tcPr>
            <w:tcW w:w="1607" w:type="dxa"/>
          </w:tcPr>
          <w:p w14:paraId="3AA182BD" w14:textId="214473BC"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2,77%</w:t>
            </w:r>
          </w:p>
        </w:tc>
        <w:tc>
          <w:tcPr>
            <w:tcW w:w="1606" w:type="dxa"/>
          </w:tcPr>
          <w:p w14:paraId="61215EDB" w14:textId="12A98BC4" w:rsidR="0022723F" w:rsidRPr="00B81A28" w:rsidRDefault="00E765F5" w:rsidP="00365F35">
            <w:pPr>
              <w:spacing w:before="40" w:after="40" w:line="280" w:lineRule="atLeast"/>
              <w:jc w:val="center"/>
              <w:rPr>
                <w:rFonts w:ascii="Verdana" w:hAnsi="Verdana"/>
                <w:sz w:val="16"/>
                <w:szCs w:val="16"/>
              </w:rPr>
            </w:pPr>
            <w:r>
              <w:rPr>
                <w:rFonts w:ascii="Verdana" w:hAnsi="Verdana"/>
                <w:sz w:val="16"/>
                <w:szCs w:val="16"/>
              </w:rPr>
              <w:t>5,15%</w:t>
            </w:r>
          </w:p>
        </w:tc>
        <w:tc>
          <w:tcPr>
            <w:tcW w:w="1607" w:type="dxa"/>
            <w:shd w:val="clear" w:color="auto" w:fill="auto"/>
          </w:tcPr>
          <w:p w14:paraId="5840DB5D"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48C0AD8F" w14:textId="77777777" w:rsidTr="00365F35">
        <w:tc>
          <w:tcPr>
            <w:tcW w:w="14884" w:type="dxa"/>
            <w:gridSpan w:val="7"/>
            <w:shd w:val="clear" w:color="auto" w:fill="7583BD"/>
            <w:vAlign w:val="center"/>
          </w:tcPr>
          <w:p w14:paraId="7F00476A" w14:textId="77777777" w:rsidR="0022723F" w:rsidRPr="00B81A28" w:rsidRDefault="0022723F" w:rsidP="00365F35">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BOND INDEX TRACKING UNIT TRUSTS (Total Return)</w:t>
            </w:r>
          </w:p>
        </w:tc>
      </w:tr>
      <w:tr w:rsidR="0022723F" w:rsidRPr="00BC54C5" w14:paraId="4304442F" w14:textId="77777777" w:rsidTr="00365F35">
        <w:tc>
          <w:tcPr>
            <w:tcW w:w="5245" w:type="dxa"/>
          </w:tcPr>
          <w:p w14:paraId="22CF3120" w14:textId="77777777" w:rsidR="0022723F" w:rsidRPr="00BC54C5" w:rsidRDefault="0022723F" w:rsidP="00365F35">
            <w:pPr>
              <w:spacing w:before="40" w:after="20" w:line="260" w:lineRule="atLeast"/>
              <w:rPr>
                <w:rFonts w:ascii="Verdana" w:hAnsi="Verdana"/>
                <w:b/>
                <w:sz w:val="16"/>
                <w:szCs w:val="16"/>
              </w:rPr>
            </w:pPr>
            <w:r>
              <w:rPr>
                <w:rFonts w:ascii="Verdana" w:hAnsi="Verdana"/>
                <w:b/>
                <w:sz w:val="16"/>
                <w:szCs w:val="16"/>
              </w:rPr>
              <w:t>All Bond Index</w:t>
            </w:r>
          </w:p>
        </w:tc>
        <w:tc>
          <w:tcPr>
            <w:tcW w:w="1606" w:type="dxa"/>
          </w:tcPr>
          <w:p w14:paraId="019C5ADE" w14:textId="50688DC4" w:rsidR="0022723F" w:rsidRPr="00BC54C5" w:rsidRDefault="00E765F5" w:rsidP="00365F35">
            <w:pPr>
              <w:tabs>
                <w:tab w:val="left" w:pos="1050"/>
              </w:tabs>
              <w:spacing w:before="40" w:after="20" w:line="260" w:lineRule="atLeast"/>
              <w:jc w:val="center"/>
              <w:rPr>
                <w:rFonts w:ascii="Verdana" w:hAnsi="Verdana"/>
                <w:b/>
                <w:sz w:val="16"/>
                <w:szCs w:val="16"/>
              </w:rPr>
            </w:pPr>
            <w:r>
              <w:rPr>
                <w:rFonts w:ascii="Verdana" w:hAnsi="Verdana"/>
                <w:b/>
                <w:sz w:val="16"/>
                <w:szCs w:val="16"/>
              </w:rPr>
              <w:t>0,64%</w:t>
            </w:r>
          </w:p>
        </w:tc>
        <w:tc>
          <w:tcPr>
            <w:tcW w:w="1607" w:type="dxa"/>
          </w:tcPr>
          <w:p w14:paraId="665699A3" w14:textId="74145092" w:rsidR="0022723F" w:rsidRPr="00BC54C5" w:rsidRDefault="00E765F5" w:rsidP="00365F35">
            <w:pPr>
              <w:spacing w:before="40" w:after="20" w:line="260" w:lineRule="atLeast"/>
              <w:jc w:val="center"/>
              <w:rPr>
                <w:rFonts w:ascii="Verdana" w:hAnsi="Verdana"/>
                <w:b/>
                <w:sz w:val="16"/>
                <w:szCs w:val="16"/>
              </w:rPr>
            </w:pPr>
            <w:r>
              <w:rPr>
                <w:rFonts w:ascii="Verdana" w:hAnsi="Verdana"/>
                <w:b/>
                <w:sz w:val="16"/>
                <w:szCs w:val="16"/>
              </w:rPr>
              <w:t>2,80%</w:t>
            </w:r>
          </w:p>
        </w:tc>
        <w:tc>
          <w:tcPr>
            <w:tcW w:w="1606" w:type="dxa"/>
          </w:tcPr>
          <w:p w14:paraId="2350FBC0" w14:textId="3ACB3691" w:rsidR="0022723F" w:rsidRPr="00BC54C5" w:rsidRDefault="00E765F5" w:rsidP="00365F35">
            <w:pPr>
              <w:spacing w:before="40" w:after="20" w:line="260" w:lineRule="atLeast"/>
              <w:jc w:val="center"/>
              <w:rPr>
                <w:rFonts w:ascii="Verdana" w:hAnsi="Verdana"/>
                <w:b/>
                <w:sz w:val="16"/>
                <w:szCs w:val="16"/>
              </w:rPr>
            </w:pPr>
            <w:r>
              <w:rPr>
                <w:rFonts w:ascii="Verdana" w:hAnsi="Verdana"/>
                <w:b/>
                <w:sz w:val="16"/>
                <w:szCs w:val="16"/>
              </w:rPr>
              <w:t>7,74%</w:t>
            </w:r>
          </w:p>
        </w:tc>
        <w:tc>
          <w:tcPr>
            <w:tcW w:w="1607" w:type="dxa"/>
          </w:tcPr>
          <w:p w14:paraId="74D6CB84" w14:textId="3964BB3B" w:rsidR="0022723F" w:rsidRPr="00BC54C5" w:rsidRDefault="00E765F5" w:rsidP="00365F35">
            <w:pPr>
              <w:spacing w:before="40" w:after="20" w:line="260" w:lineRule="atLeast"/>
              <w:jc w:val="center"/>
              <w:rPr>
                <w:rFonts w:ascii="Verdana" w:hAnsi="Verdana"/>
                <w:b/>
                <w:sz w:val="16"/>
                <w:szCs w:val="16"/>
              </w:rPr>
            </w:pPr>
            <w:r>
              <w:rPr>
                <w:rFonts w:ascii="Verdana" w:hAnsi="Verdana"/>
                <w:b/>
                <w:sz w:val="16"/>
                <w:szCs w:val="16"/>
              </w:rPr>
              <w:t>11,07%</w:t>
            </w:r>
          </w:p>
        </w:tc>
        <w:tc>
          <w:tcPr>
            <w:tcW w:w="1606" w:type="dxa"/>
          </w:tcPr>
          <w:p w14:paraId="6F4A6DD4" w14:textId="033FE7AB" w:rsidR="0022723F" w:rsidRPr="00BC54C5" w:rsidRDefault="00E765F5" w:rsidP="00365F35">
            <w:pPr>
              <w:spacing w:before="40" w:after="20" w:line="260" w:lineRule="atLeast"/>
              <w:jc w:val="center"/>
              <w:rPr>
                <w:rFonts w:ascii="Verdana" w:hAnsi="Verdana"/>
                <w:b/>
                <w:sz w:val="16"/>
                <w:szCs w:val="16"/>
              </w:rPr>
            </w:pPr>
            <w:r>
              <w:rPr>
                <w:rFonts w:ascii="Verdana" w:hAnsi="Verdana"/>
                <w:b/>
                <w:sz w:val="16"/>
                <w:szCs w:val="16"/>
              </w:rPr>
              <w:t>7,71%</w:t>
            </w:r>
          </w:p>
        </w:tc>
        <w:tc>
          <w:tcPr>
            <w:tcW w:w="1607" w:type="dxa"/>
            <w:shd w:val="clear" w:color="auto" w:fill="auto"/>
          </w:tcPr>
          <w:p w14:paraId="156446FE" w14:textId="5856E29A" w:rsidR="0022723F" w:rsidRPr="00BC54C5" w:rsidRDefault="00E765F5" w:rsidP="00365F35">
            <w:pPr>
              <w:spacing w:before="40" w:after="20" w:line="260" w:lineRule="atLeast"/>
              <w:jc w:val="center"/>
              <w:rPr>
                <w:rFonts w:ascii="Verdana" w:hAnsi="Verdana"/>
                <w:b/>
                <w:sz w:val="16"/>
                <w:szCs w:val="16"/>
              </w:rPr>
            </w:pPr>
            <w:r>
              <w:rPr>
                <w:rFonts w:ascii="Verdana" w:hAnsi="Verdana"/>
                <w:b/>
                <w:sz w:val="16"/>
                <w:szCs w:val="16"/>
              </w:rPr>
              <w:t>7,68%</w:t>
            </w:r>
          </w:p>
        </w:tc>
      </w:tr>
      <w:tr w:rsidR="0022723F" w:rsidRPr="00B81A28" w14:paraId="12ACE071" w14:textId="77777777" w:rsidTr="00365F35">
        <w:tc>
          <w:tcPr>
            <w:tcW w:w="5245" w:type="dxa"/>
          </w:tcPr>
          <w:p w14:paraId="15B8849C" w14:textId="77777777" w:rsidR="0022723F" w:rsidRPr="00B81A28" w:rsidRDefault="0022723F" w:rsidP="00365F35">
            <w:pPr>
              <w:spacing w:before="40" w:after="20" w:line="260" w:lineRule="atLeast"/>
              <w:rPr>
                <w:rFonts w:ascii="Verdana" w:hAnsi="Verdana"/>
                <w:sz w:val="16"/>
                <w:szCs w:val="16"/>
              </w:rPr>
            </w:pPr>
            <w:r w:rsidRPr="00B81A28">
              <w:rPr>
                <w:rFonts w:ascii="Verdana" w:hAnsi="Verdana"/>
                <w:sz w:val="16"/>
                <w:szCs w:val="16"/>
              </w:rPr>
              <w:t>Ashburton GOVI Tracker Fund</w:t>
            </w:r>
          </w:p>
        </w:tc>
        <w:tc>
          <w:tcPr>
            <w:tcW w:w="1606" w:type="dxa"/>
          </w:tcPr>
          <w:p w14:paraId="62C41DBA" w14:textId="22A353B5" w:rsidR="0022723F" w:rsidRPr="00B81A28" w:rsidRDefault="00E765F5" w:rsidP="00365F35">
            <w:pPr>
              <w:tabs>
                <w:tab w:val="left" w:pos="1050"/>
              </w:tabs>
              <w:spacing w:before="40" w:after="20" w:line="260" w:lineRule="atLeast"/>
              <w:jc w:val="center"/>
              <w:rPr>
                <w:rFonts w:ascii="Verdana" w:hAnsi="Verdana"/>
                <w:sz w:val="16"/>
                <w:szCs w:val="16"/>
              </w:rPr>
            </w:pPr>
            <w:r>
              <w:rPr>
                <w:rFonts w:ascii="Verdana" w:hAnsi="Verdana"/>
                <w:sz w:val="16"/>
                <w:szCs w:val="16"/>
              </w:rPr>
              <w:t>0,58%</w:t>
            </w:r>
          </w:p>
        </w:tc>
        <w:tc>
          <w:tcPr>
            <w:tcW w:w="1607" w:type="dxa"/>
          </w:tcPr>
          <w:p w14:paraId="18B5463C" w14:textId="5F489362"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2,47%</w:t>
            </w:r>
          </w:p>
        </w:tc>
        <w:tc>
          <w:tcPr>
            <w:tcW w:w="1606" w:type="dxa"/>
          </w:tcPr>
          <w:p w14:paraId="7D542138" w14:textId="1723EDC3"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6,29%</w:t>
            </w:r>
          </w:p>
        </w:tc>
        <w:tc>
          <w:tcPr>
            <w:tcW w:w="1607" w:type="dxa"/>
          </w:tcPr>
          <w:p w14:paraId="1F8B4EBE"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c>
          <w:tcPr>
            <w:tcW w:w="1606" w:type="dxa"/>
          </w:tcPr>
          <w:p w14:paraId="3E5889FE"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65B2AD3D"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r>
      <w:tr w:rsidR="0022723F" w:rsidRPr="00B81A28" w14:paraId="3EDF15F3" w14:textId="77777777" w:rsidTr="00365F35">
        <w:tc>
          <w:tcPr>
            <w:tcW w:w="5245" w:type="dxa"/>
          </w:tcPr>
          <w:p w14:paraId="0D2B1C61" w14:textId="77777777" w:rsidR="0022723F" w:rsidRPr="00B81A28" w:rsidRDefault="0022723F" w:rsidP="00365F35">
            <w:pPr>
              <w:spacing w:before="40" w:after="20" w:line="260" w:lineRule="atLeast"/>
              <w:rPr>
                <w:rFonts w:ascii="Verdana" w:hAnsi="Verdana"/>
                <w:sz w:val="16"/>
                <w:szCs w:val="16"/>
              </w:rPr>
            </w:pPr>
            <w:r w:rsidRPr="00B81A28">
              <w:rPr>
                <w:rFonts w:ascii="Verdana" w:hAnsi="Verdana"/>
                <w:sz w:val="16"/>
                <w:szCs w:val="16"/>
              </w:rPr>
              <w:t>Satrix Bond Index Fund</w:t>
            </w:r>
          </w:p>
        </w:tc>
        <w:tc>
          <w:tcPr>
            <w:tcW w:w="1606" w:type="dxa"/>
          </w:tcPr>
          <w:p w14:paraId="49EC7A19" w14:textId="5C30756A" w:rsidR="0022723F" w:rsidRPr="00B81A28" w:rsidRDefault="00E765F5" w:rsidP="00365F35">
            <w:pPr>
              <w:tabs>
                <w:tab w:val="left" w:pos="1050"/>
              </w:tabs>
              <w:spacing w:before="40" w:after="20" w:line="260" w:lineRule="atLeast"/>
              <w:jc w:val="center"/>
              <w:rPr>
                <w:rFonts w:ascii="Verdana" w:hAnsi="Verdana"/>
                <w:sz w:val="16"/>
                <w:szCs w:val="16"/>
              </w:rPr>
            </w:pPr>
            <w:r>
              <w:rPr>
                <w:rFonts w:ascii="Verdana" w:hAnsi="Verdana"/>
                <w:sz w:val="16"/>
                <w:szCs w:val="16"/>
              </w:rPr>
              <w:t>0,59%</w:t>
            </w:r>
          </w:p>
        </w:tc>
        <w:tc>
          <w:tcPr>
            <w:tcW w:w="1607" w:type="dxa"/>
          </w:tcPr>
          <w:p w14:paraId="1014E827" w14:textId="49B8849F"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2,64%</w:t>
            </w:r>
          </w:p>
        </w:tc>
        <w:tc>
          <w:tcPr>
            <w:tcW w:w="1606" w:type="dxa"/>
          </w:tcPr>
          <w:p w14:paraId="0D1AD632" w14:textId="25CB47ED"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7,18%</w:t>
            </w:r>
          </w:p>
        </w:tc>
        <w:tc>
          <w:tcPr>
            <w:tcW w:w="1607" w:type="dxa"/>
          </w:tcPr>
          <w:p w14:paraId="5997EE37" w14:textId="170E11D5"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10,50%</w:t>
            </w:r>
          </w:p>
        </w:tc>
        <w:tc>
          <w:tcPr>
            <w:tcW w:w="1606" w:type="dxa"/>
          </w:tcPr>
          <w:p w14:paraId="349A9AB5"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2A2DECB8"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r>
      <w:tr w:rsidR="0022723F" w:rsidRPr="00B81A28" w14:paraId="5121E93A" w14:textId="77777777" w:rsidTr="00365F35">
        <w:tc>
          <w:tcPr>
            <w:tcW w:w="5245" w:type="dxa"/>
          </w:tcPr>
          <w:p w14:paraId="0F59F395" w14:textId="77777777" w:rsidR="0022723F" w:rsidRPr="00B81A28" w:rsidRDefault="0022723F" w:rsidP="00365F35">
            <w:pPr>
              <w:spacing w:before="40" w:after="20" w:line="260" w:lineRule="atLeast"/>
              <w:rPr>
                <w:rFonts w:ascii="Verdana" w:hAnsi="Verdana"/>
                <w:sz w:val="16"/>
                <w:szCs w:val="16"/>
              </w:rPr>
            </w:pPr>
            <w:r w:rsidRPr="00B81A28">
              <w:rPr>
                <w:rFonts w:ascii="Verdana" w:hAnsi="Verdana"/>
                <w:sz w:val="16"/>
                <w:szCs w:val="16"/>
              </w:rPr>
              <w:t>Stanlib ALBI Tracker Fund</w:t>
            </w:r>
          </w:p>
        </w:tc>
        <w:tc>
          <w:tcPr>
            <w:tcW w:w="1606" w:type="dxa"/>
          </w:tcPr>
          <w:p w14:paraId="08E2489D" w14:textId="55AEB0DC" w:rsidR="0022723F" w:rsidRPr="00B81A28" w:rsidRDefault="00E765F5" w:rsidP="00365F35">
            <w:pPr>
              <w:tabs>
                <w:tab w:val="left" w:pos="1050"/>
              </w:tabs>
              <w:spacing w:before="40" w:after="20" w:line="260" w:lineRule="atLeast"/>
              <w:jc w:val="center"/>
              <w:rPr>
                <w:rFonts w:ascii="Verdana" w:hAnsi="Verdana"/>
                <w:sz w:val="16"/>
                <w:szCs w:val="16"/>
              </w:rPr>
            </w:pPr>
            <w:r>
              <w:rPr>
                <w:rFonts w:ascii="Verdana" w:hAnsi="Verdana"/>
                <w:sz w:val="16"/>
                <w:szCs w:val="16"/>
              </w:rPr>
              <w:t>0,60%</w:t>
            </w:r>
          </w:p>
        </w:tc>
        <w:tc>
          <w:tcPr>
            <w:tcW w:w="1607" w:type="dxa"/>
          </w:tcPr>
          <w:p w14:paraId="6C086C53" w14:textId="36A6B316"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2,86%</w:t>
            </w:r>
          </w:p>
        </w:tc>
        <w:tc>
          <w:tcPr>
            <w:tcW w:w="1606" w:type="dxa"/>
          </w:tcPr>
          <w:p w14:paraId="1A309C53" w14:textId="2706419D"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7,37%</w:t>
            </w:r>
          </w:p>
        </w:tc>
        <w:tc>
          <w:tcPr>
            <w:tcW w:w="1607" w:type="dxa"/>
          </w:tcPr>
          <w:p w14:paraId="55E9CC7B" w14:textId="02F20F5D"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10,48%</w:t>
            </w:r>
          </w:p>
        </w:tc>
        <w:tc>
          <w:tcPr>
            <w:tcW w:w="1606" w:type="dxa"/>
          </w:tcPr>
          <w:p w14:paraId="05566A99"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5F440FE0"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r>
      <w:tr w:rsidR="0022723F" w:rsidRPr="00B81A28" w14:paraId="57650A70" w14:textId="77777777" w:rsidTr="00365F35">
        <w:tc>
          <w:tcPr>
            <w:tcW w:w="5245" w:type="dxa"/>
          </w:tcPr>
          <w:p w14:paraId="1CFD42A5" w14:textId="77777777" w:rsidR="0022723F" w:rsidRPr="00B81A28" w:rsidRDefault="0022723F" w:rsidP="00365F35">
            <w:pPr>
              <w:spacing w:before="40" w:after="20" w:line="260" w:lineRule="atLeast"/>
              <w:rPr>
                <w:rFonts w:ascii="Verdana" w:hAnsi="Verdana"/>
                <w:sz w:val="16"/>
                <w:szCs w:val="16"/>
              </w:rPr>
            </w:pPr>
            <w:r w:rsidRPr="00B81A28">
              <w:rPr>
                <w:rFonts w:ascii="Verdana" w:hAnsi="Verdana"/>
                <w:sz w:val="16"/>
                <w:szCs w:val="16"/>
              </w:rPr>
              <w:t>Stanlib Inflation-Linked Bond Tracker Fund</w:t>
            </w:r>
          </w:p>
        </w:tc>
        <w:tc>
          <w:tcPr>
            <w:tcW w:w="1606" w:type="dxa"/>
          </w:tcPr>
          <w:p w14:paraId="3AF26EFC" w14:textId="198D0761" w:rsidR="0022723F" w:rsidRPr="00B81A28" w:rsidRDefault="00E765F5" w:rsidP="00365F35">
            <w:pPr>
              <w:tabs>
                <w:tab w:val="left" w:pos="1050"/>
              </w:tabs>
              <w:spacing w:before="40" w:after="20" w:line="260" w:lineRule="atLeast"/>
              <w:jc w:val="center"/>
              <w:rPr>
                <w:rFonts w:ascii="Verdana" w:hAnsi="Verdana"/>
                <w:sz w:val="16"/>
                <w:szCs w:val="16"/>
              </w:rPr>
            </w:pPr>
            <w:r>
              <w:rPr>
                <w:rFonts w:ascii="Verdana" w:hAnsi="Verdana"/>
                <w:sz w:val="16"/>
                <w:szCs w:val="16"/>
              </w:rPr>
              <w:t>0,63%</w:t>
            </w:r>
          </w:p>
        </w:tc>
        <w:tc>
          <w:tcPr>
            <w:tcW w:w="1607" w:type="dxa"/>
          </w:tcPr>
          <w:p w14:paraId="0198987C" w14:textId="47D26520"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0,10%</w:t>
            </w:r>
          </w:p>
        </w:tc>
        <w:tc>
          <w:tcPr>
            <w:tcW w:w="1606" w:type="dxa"/>
          </w:tcPr>
          <w:p w14:paraId="561E85D7" w14:textId="2695CAEC"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(0,76%)</w:t>
            </w:r>
          </w:p>
        </w:tc>
        <w:tc>
          <w:tcPr>
            <w:tcW w:w="1607" w:type="dxa"/>
          </w:tcPr>
          <w:p w14:paraId="6C017D2B" w14:textId="77B63171"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1,94%</w:t>
            </w:r>
          </w:p>
        </w:tc>
        <w:tc>
          <w:tcPr>
            <w:tcW w:w="1606" w:type="dxa"/>
          </w:tcPr>
          <w:p w14:paraId="102BCDCA"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7B8278E6"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r>
      <w:tr w:rsidR="0022723F" w:rsidRPr="00B81A28" w14:paraId="6093A1DC" w14:textId="77777777" w:rsidTr="00365F35">
        <w:tc>
          <w:tcPr>
            <w:tcW w:w="5245" w:type="dxa"/>
          </w:tcPr>
          <w:p w14:paraId="5A4E4054" w14:textId="77777777" w:rsidR="0022723F" w:rsidRPr="00B81A28" w:rsidRDefault="0022723F" w:rsidP="00365F35">
            <w:pPr>
              <w:spacing w:before="40" w:after="20" w:line="260" w:lineRule="atLeast"/>
              <w:rPr>
                <w:rFonts w:ascii="Verdana" w:hAnsi="Verdana"/>
                <w:sz w:val="16"/>
                <w:szCs w:val="16"/>
              </w:rPr>
            </w:pPr>
            <w:r>
              <w:rPr>
                <w:rFonts w:ascii="Verdana" w:hAnsi="Verdana"/>
                <w:sz w:val="16"/>
                <w:szCs w:val="16"/>
              </w:rPr>
              <w:t>Stanlib Global Bond Index Feeder</w:t>
            </w:r>
          </w:p>
        </w:tc>
        <w:tc>
          <w:tcPr>
            <w:tcW w:w="1606" w:type="dxa"/>
          </w:tcPr>
          <w:p w14:paraId="0706C7F6" w14:textId="6DDD25C7" w:rsidR="0022723F" w:rsidRPr="00B81A28" w:rsidRDefault="00E765F5" w:rsidP="00365F35">
            <w:pPr>
              <w:tabs>
                <w:tab w:val="left" w:pos="1050"/>
              </w:tabs>
              <w:spacing w:before="40" w:after="20" w:line="260" w:lineRule="atLeast"/>
              <w:jc w:val="center"/>
              <w:rPr>
                <w:rFonts w:ascii="Verdana" w:hAnsi="Verdana"/>
                <w:sz w:val="16"/>
                <w:szCs w:val="16"/>
              </w:rPr>
            </w:pPr>
            <w:r>
              <w:rPr>
                <w:rFonts w:ascii="Verdana" w:hAnsi="Verdana"/>
                <w:sz w:val="16"/>
                <w:szCs w:val="16"/>
              </w:rPr>
              <w:t>6,24%</w:t>
            </w:r>
          </w:p>
        </w:tc>
        <w:tc>
          <w:tcPr>
            <w:tcW w:w="1607" w:type="dxa"/>
          </w:tcPr>
          <w:p w14:paraId="2A31DBFF" w14:textId="34ABFA4B"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4,40%</w:t>
            </w:r>
          </w:p>
        </w:tc>
        <w:tc>
          <w:tcPr>
            <w:tcW w:w="1606" w:type="dxa"/>
          </w:tcPr>
          <w:p w14:paraId="55D17EE2" w14:textId="77777777" w:rsidR="0022723F" w:rsidRPr="00B81A28" w:rsidRDefault="0022723F" w:rsidP="00365F35">
            <w:pPr>
              <w:spacing w:before="40" w:after="20" w:line="260" w:lineRule="atLeast"/>
              <w:jc w:val="center"/>
              <w:rPr>
                <w:rFonts w:ascii="Verdana" w:hAnsi="Verdana"/>
                <w:sz w:val="16"/>
                <w:szCs w:val="16"/>
              </w:rPr>
            </w:pPr>
            <w:r>
              <w:rPr>
                <w:rFonts w:ascii="Verdana" w:hAnsi="Verdana"/>
                <w:sz w:val="16"/>
                <w:szCs w:val="16"/>
              </w:rPr>
              <w:t>-</w:t>
            </w:r>
          </w:p>
        </w:tc>
        <w:tc>
          <w:tcPr>
            <w:tcW w:w="1607" w:type="dxa"/>
          </w:tcPr>
          <w:p w14:paraId="60FD753F" w14:textId="77777777" w:rsidR="0022723F" w:rsidRPr="00B81A28" w:rsidRDefault="0022723F" w:rsidP="00365F35">
            <w:pPr>
              <w:spacing w:before="40" w:after="20" w:line="260" w:lineRule="atLeast"/>
              <w:jc w:val="center"/>
              <w:rPr>
                <w:rFonts w:ascii="Verdana" w:hAnsi="Verdana"/>
                <w:sz w:val="16"/>
                <w:szCs w:val="16"/>
              </w:rPr>
            </w:pPr>
            <w:r>
              <w:rPr>
                <w:rFonts w:ascii="Verdana" w:hAnsi="Verdana"/>
                <w:sz w:val="16"/>
                <w:szCs w:val="16"/>
              </w:rPr>
              <w:t>-</w:t>
            </w:r>
          </w:p>
        </w:tc>
        <w:tc>
          <w:tcPr>
            <w:tcW w:w="1606" w:type="dxa"/>
          </w:tcPr>
          <w:p w14:paraId="7687E739" w14:textId="77777777" w:rsidR="0022723F" w:rsidRPr="00B81A28" w:rsidRDefault="0022723F" w:rsidP="00365F35">
            <w:pPr>
              <w:spacing w:before="40" w:after="20" w:line="26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56BE60C7" w14:textId="77777777" w:rsidR="0022723F" w:rsidRPr="00B81A28" w:rsidRDefault="0022723F" w:rsidP="00365F35">
            <w:pPr>
              <w:spacing w:before="40" w:after="20" w:line="260" w:lineRule="atLeast"/>
              <w:jc w:val="center"/>
              <w:rPr>
                <w:rFonts w:ascii="Verdana" w:hAnsi="Verdana"/>
                <w:sz w:val="16"/>
                <w:szCs w:val="16"/>
              </w:rPr>
            </w:pPr>
            <w:r>
              <w:rPr>
                <w:rFonts w:ascii="Verdana" w:hAnsi="Verdana"/>
                <w:sz w:val="16"/>
                <w:szCs w:val="16"/>
              </w:rPr>
              <w:t>-</w:t>
            </w:r>
          </w:p>
        </w:tc>
      </w:tr>
      <w:tr w:rsidR="0022723F" w:rsidRPr="00B81A28" w14:paraId="1820E72E" w14:textId="77777777" w:rsidTr="00365F35">
        <w:tc>
          <w:tcPr>
            <w:tcW w:w="5245" w:type="dxa"/>
          </w:tcPr>
          <w:p w14:paraId="1AB56086" w14:textId="77777777" w:rsidR="0022723F" w:rsidRPr="00B81A28" w:rsidRDefault="0022723F" w:rsidP="00365F35">
            <w:pPr>
              <w:spacing w:before="40" w:after="20" w:line="260" w:lineRule="atLeast"/>
              <w:rPr>
                <w:rFonts w:ascii="Verdana" w:hAnsi="Verdana"/>
                <w:sz w:val="16"/>
                <w:szCs w:val="16"/>
              </w:rPr>
            </w:pPr>
            <w:r w:rsidRPr="00B81A28">
              <w:rPr>
                <w:rFonts w:ascii="Verdana" w:hAnsi="Verdana"/>
                <w:sz w:val="16"/>
                <w:szCs w:val="16"/>
              </w:rPr>
              <w:t>Sygnia All Bond Index Fund</w:t>
            </w:r>
          </w:p>
        </w:tc>
        <w:tc>
          <w:tcPr>
            <w:tcW w:w="1606" w:type="dxa"/>
          </w:tcPr>
          <w:p w14:paraId="3B44A1DD" w14:textId="5B12A290" w:rsidR="0022723F" w:rsidRPr="00B81A28" w:rsidRDefault="00E765F5" w:rsidP="00365F35">
            <w:pPr>
              <w:tabs>
                <w:tab w:val="left" w:pos="1050"/>
              </w:tabs>
              <w:spacing w:before="40" w:after="20" w:line="260" w:lineRule="atLeast"/>
              <w:jc w:val="center"/>
              <w:rPr>
                <w:rFonts w:ascii="Verdana" w:hAnsi="Verdana"/>
                <w:sz w:val="16"/>
                <w:szCs w:val="16"/>
              </w:rPr>
            </w:pPr>
            <w:r>
              <w:rPr>
                <w:rFonts w:ascii="Verdana" w:hAnsi="Verdana"/>
                <w:sz w:val="16"/>
                <w:szCs w:val="16"/>
              </w:rPr>
              <w:t>0,40%</w:t>
            </w:r>
          </w:p>
        </w:tc>
        <w:tc>
          <w:tcPr>
            <w:tcW w:w="1607" w:type="dxa"/>
          </w:tcPr>
          <w:p w14:paraId="53026311" w14:textId="0F17F921"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2,60%</w:t>
            </w:r>
          </w:p>
        </w:tc>
        <w:tc>
          <w:tcPr>
            <w:tcW w:w="1606" w:type="dxa"/>
          </w:tcPr>
          <w:p w14:paraId="1D9F5D78" w14:textId="7FC4751A"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7,08%</w:t>
            </w:r>
          </w:p>
        </w:tc>
        <w:tc>
          <w:tcPr>
            <w:tcW w:w="1607" w:type="dxa"/>
          </w:tcPr>
          <w:p w14:paraId="05D1735A" w14:textId="118B705F" w:rsidR="0022723F" w:rsidRPr="00B81A28" w:rsidRDefault="00E765F5" w:rsidP="00365F35">
            <w:pPr>
              <w:spacing w:before="40" w:after="20" w:line="260" w:lineRule="atLeast"/>
              <w:jc w:val="center"/>
              <w:rPr>
                <w:rFonts w:ascii="Verdana" w:hAnsi="Verdana"/>
                <w:sz w:val="16"/>
                <w:szCs w:val="16"/>
              </w:rPr>
            </w:pPr>
            <w:r>
              <w:rPr>
                <w:rFonts w:ascii="Verdana" w:hAnsi="Verdana"/>
                <w:sz w:val="16"/>
                <w:szCs w:val="16"/>
              </w:rPr>
              <w:t>10,34%</w:t>
            </w:r>
          </w:p>
        </w:tc>
        <w:tc>
          <w:tcPr>
            <w:tcW w:w="1606" w:type="dxa"/>
          </w:tcPr>
          <w:p w14:paraId="4F43045C"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590B0DE5"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r>
      <w:tr w:rsidR="0022723F" w:rsidRPr="00FC742B" w14:paraId="7186DE8F" w14:textId="77777777" w:rsidTr="00365F35">
        <w:tc>
          <w:tcPr>
            <w:tcW w:w="14884" w:type="dxa"/>
            <w:gridSpan w:val="7"/>
            <w:shd w:val="clear" w:color="auto" w:fill="7583BD"/>
            <w:vAlign w:val="center"/>
          </w:tcPr>
          <w:p w14:paraId="41519326" w14:textId="77777777" w:rsidR="0022723F" w:rsidRPr="00FC742B" w:rsidRDefault="0022723F" w:rsidP="00365F35">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PROPERTY INDEX TRACKING UNIT TRUSTS (Total Return)</w:t>
            </w:r>
          </w:p>
        </w:tc>
      </w:tr>
      <w:tr w:rsidR="0022723F" w:rsidRPr="00BC54C5" w14:paraId="7BEA84AE" w14:textId="77777777" w:rsidTr="00365F35">
        <w:tc>
          <w:tcPr>
            <w:tcW w:w="5245" w:type="dxa"/>
          </w:tcPr>
          <w:p w14:paraId="5E151845" w14:textId="77777777" w:rsidR="0022723F" w:rsidRPr="00BC54C5" w:rsidRDefault="0022723F" w:rsidP="00365F35">
            <w:pPr>
              <w:spacing w:before="40" w:after="20" w:line="260" w:lineRule="atLeast"/>
              <w:rPr>
                <w:rFonts w:ascii="Verdana" w:hAnsi="Verdana"/>
                <w:b/>
                <w:sz w:val="16"/>
                <w:szCs w:val="16"/>
              </w:rPr>
            </w:pPr>
            <w:r>
              <w:rPr>
                <w:rFonts w:ascii="Verdana" w:hAnsi="Verdana"/>
                <w:b/>
                <w:sz w:val="16"/>
                <w:szCs w:val="16"/>
              </w:rPr>
              <w:t>FTSE/JSE SA Listed Property Index (SAPY)</w:t>
            </w:r>
          </w:p>
        </w:tc>
        <w:tc>
          <w:tcPr>
            <w:tcW w:w="1606" w:type="dxa"/>
          </w:tcPr>
          <w:p w14:paraId="6A5106E0" w14:textId="39FA6B43" w:rsidR="0022723F" w:rsidRPr="00BC54C5" w:rsidRDefault="00E765F5" w:rsidP="00365F35">
            <w:pPr>
              <w:tabs>
                <w:tab w:val="left" w:pos="1050"/>
              </w:tabs>
              <w:spacing w:before="40" w:after="20" w:line="260" w:lineRule="atLeast"/>
              <w:jc w:val="center"/>
              <w:rPr>
                <w:rFonts w:ascii="Verdana" w:hAnsi="Verdana"/>
                <w:b/>
                <w:sz w:val="16"/>
                <w:szCs w:val="16"/>
              </w:rPr>
            </w:pPr>
            <w:r>
              <w:rPr>
                <w:rFonts w:ascii="Verdana" w:hAnsi="Verdana"/>
                <w:b/>
                <w:sz w:val="16"/>
                <w:szCs w:val="16"/>
              </w:rPr>
              <w:t>(1,06%)</w:t>
            </w:r>
          </w:p>
        </w:tc>
        <w:tc>
          <w:tcPr>
            <w:tcW w:w="1607" w:type="dxa"/>
          </w:tcPr>
          <w:p w14:paraId="4181AA39" w14:textId="3B3C8F37" w:rsidR="0022723F" w:rsidRPr="00BC54C5" w:rsidRDefault="00E765F5" w:rsidP="00365F35">
            <w:pPr>
              <w:spacing w:before="40" w:after="20" w:line="260" w:lineRule="atLeast"/>
              <w:jc w:val="center"/>
              <w:rPr>
                <w:rFonts w:ascii="Verdana" w:hAnsi="Verdana"/>
                <w:b/>
                <w:sz w:val="16"/>
                <w:szCs w:val="16"/>
              </w:rPr>
            </w:pPr>
            <w:r>
              <w:rPr>
                <w:rFonts w:ascii="Verdana" w:hAnsi="Verdana"/>
                <w:b/>
                <w:sz w:val="16"/>
                <w:szCs w:val="16"/>
              </w:rPr>
              <w:t>(3,99%)</w:t>
            </w:r>
          </w:p>
        </w:tc>
        <w:tc>
          <w:tcPr>
            <w:tcW w:w="1606" w:type="dxa"/>
          </w:tcPr>
          <w:p w14:paraId="266C274C" w14:textId="1F50F6E2" w:rsidR="0022723F" w:rsidRPr="00BC54C5" w:rsidRDefault="00E765F5" w:rsidP="00365F35">
            <w:pPr>
              <w:spacing w:before="40" w:after="20" w:line="260" w:lineRule="atLeast"/>
              <w:jc w:val="center"/>
              <w:rPr>
                <w:rFonts w:ascii="Verdana" w:hAnsi="Verdana"/>
                <w:b/>
                <w:sz w:val="16"/>
                <w:szCs w:val="16"/>
              </w:rPr>
            </w:pPr>
            <w:r>
              <w:rPr>
                <w:rFonts w:ascii="Verdana" w:hAnsi="Verdana"/>
                <w:b/>
                <w:sz w:val="16"/>
                <w:szCs w:val="16"/>
              </w:rPr>
              <w:t>(25,26%)</w:t>
            </w:r>
          </w:p>
        </w:tc>
        <w:tc>
          <w:tcPr>
            <w:tcW w:w="1607" w:type="dxa"/>
          </w:tcPr>
          <w:p w14:paraId="1E2C593E" w14:textId="2A62AD80" w:rsidR="0022723F" w:rsidRPr="00BC54C5" w:rsidRDefault="00E765F5" w:rsidP="00365F35">
            <w:pPr>
              <w:spacing w:before="40" w:after="20" w:line="260" w:lineRule="atLeast"/>
              <w:jc w:val="center"/>
              <w:rPr>
                <w:rFonts w:ascii="Verdana" w:hAnsi="Verdana"/>
                <w:b/>
                <w:sz w:val="16"/>
                <w:szCs w:val="16"/>
              </w:rPr>
            </w:pPr>
            <w:r>
              <w:rPr>
                <w:rFonts w:ascii="Verdana" w:hAnsi="Verdana"/>
                <w:b/>
                <w:sz w:val="16"/>
                <w:szCs w:val="16"/>
              </w:rPr>
              <w:t>(1,19%)</w:t>
            </w:r>
          </w:p>
        </w:tc>
        <w:tc>
          <w:tcPr>
            <w:tcW w:w="1606" w:type="dxa"/>
          </w:tcPr>
          <w:p w14:paraId="26684FB4" w14:textId="113FED02" w:rsidR="0022723F" w:rsidRPr="00BC54C5" w:rsidRDefault="00E765F5" w:rsidP="00365F35">
            <w:pPr>
              <w:spacing w:before="40" w:after="20" w:line="260" w:lineRule="atLeast"/>
              <w:jc w:val="center"/>
              <w:rPr>
                <w:rFonts w:ascii="Verdana" w:hAnsi="Verdana"/>
                <w:b/>
                <w:sz w:val="16"/>
                <w:szCs w:val="16"/>
              </w:rPr>
            </w:pPr>
            <w:r>
              <w:rPr>
                <w:rFonts w:ascii="Verdana" w:hAnsi="Verdana"/>
                <w:b/>
                <w:sz w:val="16"/>
                <w:szCs w:val="16"/>
              </w:rPr>
              <w:t>5,70%</w:t>
            </w:r>
          </w:p>
        </w:tc>
        <w:tc>
          <w:tcPr>
            <w:tcW w:w="1607" w:type="dxa"/>
            <w:shd w:val="clear" w:color="auto" w:fill="auto"/>
          </w:tcPr>
          <w:p w14:paraId="0AC67E5E" w14:textId="1087551E" w:rsidR="0022723F" w:rsidRPr="00BC54C5" w:rsidRDefault="00E765F5" w:rsidP="00365F35">
            <w:pPr>
              <w:spacing w:before="40" w:after="20" w:line="260" w:lineRule="atLeast"/>
              <w:jc w:val="center"/>
              <w:rPr>
                <w:rFonts w:ascii="Verdana" w:hAnsi="Verdana"/>
                <w:b/>
                <w:sz w:val="16"/>
                <w:szCs w:val="16"/>
              </w:rPr>
            </w:pPr>
            <w:r>
              <w:rPr>
                <w:rFonts w:ascii="Verdana" w:hAnsi="Verdana"/>
                <w:b/>
                <w:sz w:val="16"/>
                <w:szCs w:val="16"/>
              </w:rPr>
              <w:t>12,09%</w:t>
            </w:r>
          </w:p>
        </w:tc>
      </w:tr>
      <w:tr w:rsidR="0022723F" w:rsidRPr="00B81A28" w14:paraId="17005AC2" w14:textId="77777777" w:rsidTr="00365F35">
        <w:tc>
          <w:tcPr>
            <w:tcW w:w="5245" w:type="dxa"/>
          </w:tcPr>
          <w:p w14:paraId="6EF111AD" w14:textId="77777777" w:rsidR="0022723F" w:rsidRPr="00B81A28" w:rsidRDefault="0022723F" w:rsidP="00365F35">
            <w:pPr>
              <w:spacing w:before="40" w:after="20" w:line="260" w:lineRule="atLeast"/>
              <w:rPr>
                <w:rFonts w:ascii="Verdana" w:hAnsi="Verdana"/>
                <w:sz w:val="16"/>
                <w:szCs w:val="16"/>
              </w:rPr>
            </w:pPr>
            <w:r w:rsidRPr="00B81A28">
              <w:rPr>
                <w:rFonts w:ascii="Verdana" w:hAnsi="Verdana"/>
                <w:sz w:val="16"/>
                <w:szCs w:val="16"/>
              </w:rPr>
              <w:t>Ashburton Property Tracker Fund</w:t>
            </w:r>
          </w:p>
        </w:tc>
        <w:tc>
          <w:tcPr>
            <w:tcW w:w="1606" w:type="dxa"/>
          </w:tcPr>
          <w:p w14:paraId="31400D77" w14:textId="7E10F664" w:rsidR="0022723F" w:rsidRPr="00B81A28" w:rsidRDefault="00894031" w:rsidP="00365F35">
            <w:pPr>
              <w:tabs>
                <w:tab w:val="left" w:pos="1050"/>
              </w:tabs>
              <w:spacing w:before="40" w:after="20" w:line="260" w:lineRule="atLeast"/>
              <w:jc w:val="center"/>
              <w:rPr>
                <w:rFonts w:ascii="Verdana" w:hAnsi="Verdana"/>
                <w:sz w:val="16"/>
                <w:szCs w:val="16"/>
              </w:rPr>
            </w:pPr>
            <w:r>
              <w:rPr>
                <w:rFonts w:ascii="Verdana" w:hAnsi="Verdana"/>
                <w:sz w:val="16"/>
                <w:szCs w:val="16"/>
              </w:rPr>
              <w:t>(1,16%)</w:t>
            </w:r>
          </w:p>
        </w:tc>
        <w:tc>
          <w:tcPr>
            <w:tcW w:w="1607" w:type="dxa"/>
          </w:tcPr>
          <w:p w14:paraId="01514C33" w14:textId="66527EBE"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(4,20%)</w:t>
            </w:r>
          </w:p>
        </w:tc>
        <w:tc>
          <w:tcPr>
            <w:tcW w:w="1606" w:type="dxa"/>
          </w:tcPr>
          <w:p w14:paraId="26E4FC52" w14:textId="5518626A"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(25,88%)</w:t>
            </w:r>
          </w:p>
        </w:tc>
        <w:tc>
          <w:tcPr>
            <w:tcW w:w="1607" w:type="dxa"/>
          </w:tcPr>
          <w:p w14:paraId="39B0ADAF"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c>
          <w:tcPr>
            <w:tcW w:w="1606" w:type="dxa"/>
          </w:tcPr>
          <w:p w14:paraId="4A03D406"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0FE9CA3E"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r>
      <w:tr w:rsidR="0022723F" w:rsidRPr="00B81A28" w14:paraId="6CE04EB9" w14:textId="77777777" w:rsidTr="00365F35">
        <w:tc>
          <w:tcPr>
            <w:tcW w:w="5245" w:type="dxa"/>
          </w:tcPr>
          <w:p w14:paraId="03A67ABB" w14:textId="77777777" w:rsidR="0022723F" w:rsidRPr="00B81A28" w:rsidRDefault="0022723F" w:rsidP="00365F35">
            <w:pPr>
              <w:spacing w:before="40" w:after="20" w:line="260" w:lineRule="atLeast"/>
              <w:rPr>
                <w:rFonts w:ascii="Verdana" w:hAnsi="Verdana"/>
                <w:sz w:val="16"/>
                <w:szCs w:val="16"/>
              </w:rPr>
            </w:pPr>
            <w:r w:rsidRPr="00B81A28">
              <w:rPr>
                <w:rFonts w:ascii="Verdana" w:hAnsi="Verdana"/>
                <w:sz w:val="16"/>
                <w:szCs w:val="16"/>
              </w:rPr>
              <w:t>Satrix Property Index Fund</w:t>
            </w:r>
          </w:p>
        </w:tc>
        <w:tc>
          <w:tcPr>
            <w:tcW w:w="1606" w:type="dxa"/>
          </w:tcPr>
          <w:p w14:paraId="24BEF888" w14:textId="68A0D34B" w:rsidR="0022723F" w:rsidRPr="00B81A28" w:rsidRDefault="00894031" w:rsidP="00365F35">
            <w:pPr>
              <w:tabs>
                <w:tab w:val="left" w:pos="1050"/>
              </w:tabs>
              <w:spacing w:before="40" w:after="20" w:line="260" w:lineRule="atLeast"/>
              <w:jc w:val="center"/>
              <w:rPr>
                <w:rFonts w:ascii="Verdana" w:hAnsi="Verdana"/>
                <w:sz w:val="16"/>
                <w:szCs w:val="16"/>
              </w:rPr>
            </w:pPr>
            <w:r>
              <w:rPr>
                <w:rFonts w:ascii="Verdana" w:hAnsi="Verdana"/>
                <w:sz w:val="16"/>
                <w:szCs w:val="16"/>
              </w:rPr>
              <w:t>(1,17%)</w:t>
            </w:r>
          </w:p>
        </w:tc>
        <w:tc>
          <w:tcPr>
            <w:tcW w:w="1607" w:type="dxa"/>
          </w:tcPr>
          <w:p w14:paraId="4D512D68" w14:textId="40371B0A"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(4,19%)</w:t>
            </w:r>
          </w:p>
        </w:tc>
        <w:tc>
          <w:tcPr>
            <w:tcW w:w="1606" w:type="dxa"/>
          </w:tcPr>
          <w:p w14:paraId="3E47CADE" w14:textId="1CF8047C"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(25,69%)</w:t>
            </w:r>
          </w:p>
        </w:tc>
        <w:tc>
          <w:tcPr>
            <w:tcW w:w="1607" w:type="dxa"/>
          </w:tcPr>
          <w:p w14:paraId="633E898D" w14:textId="4B77838D"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(1,80%)</w:t>
            </w:r>
          </w:p>
        </w:tc>
        <w:tc>
          <w:tcPr>
            <w:tcW w:w="1606" w:type="dxa"/>
          </w:tcPr>
          <w:p w14:paraId="712FDD6E" w14:textId="2D7498CD"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5,22%</w:t>
            </w:r>
          </w:p>
        </w:tc>
        <w:tc>
          <w:tcPr>
            <w:tcW w:w="1607" w:type="dxa"/>
            <w:shd w:val="clear" w:color="auto" w:fill="auto"/>
          </w:tcPr>
          <w:p w14:paraId="544EC4CA" w14:textId="77777777" w:rsidR="0022723F" w:rsidRPr="00B81A28" w:rsidRDefault="0022723F" w:rsidP="00365F35">
            <w:pPr>
              <w:spacing w:before="40" w:after="20" w:line="260" w:lineRule="atLeast"/>
              <w:jc w:val="center"/>
              <w:rPr>
                <w:rFonts w:ascii="Verdana" w:hAnsi="Verdana"/>
                <w:sz w:val="16"/>
                <w:szCs w:val="16"/>
              </w:rPr>
            </w:pPr>
            <w:r>
              <w:rPr>
                <w:rFonts w:ascii="Verdana" w:hAnsi="Verdana"/>
                <w:sz w:val="16"/>
                <w:szCs w:val="16"/>
              </w:rPr>
              <w:t>-</w:t>
            </w:r>
          </w:p>
        </w:tc>
      </w:tr>
      <w:tr w:rsidR="0022723F" w:rsidRPr="00B81A28" w14:paraId="7A3B6473" w14:textId="77777777" w:rsidTr="00365F35">
        <w:tc>
          <w:tcPr>
            <w:tcW w:w="5245" w:type="dxa"/>
          </w:tcPr>
          <w:p w14:paraId="74390B23" w14:textId="77777777" w:rsidR="0022723F" w:rsidRPr="00B81A28" w:rsidRDefault="0022723F" w:rsidP="00365F35">
            <w:pPr>
              <w:spacing w:before="40" w:after="20" w:line="260" w:lineRule="atLeast"/>
              <w:rPr>
                <w:rFonts w:ascii="Verdana" w:hAnsi="Verdana"/>
                <w:sz w:val="16"/>
                <w:szCs w:val="16"/>
              </w:rPr>
            </w:pPr>
            <w:r w:rsidRPr="00B81A28">
              <w:rPr>
                <w:rFonts w:ascii="Verdana" w:hAnsi="Verdana"/>
                <w:sz w:val="16"/>
                <w:szCs w:val="16"/>
              </w:rPr>
              <w:t>Prudential Enhanced SA Property Tracker Fund</w:t>
            </w:r>
          </w:p>
        </w:tc>
        <w:tc>
          <w:tcPr>
            <w:tcW w:w="1606" w:type="dxa"/>
          </w:tcPr>
          <w:p w14:paraId="4B6D2856" w14:textId="2A37C9CC" w:rsidR="0022723F" w:rsidRPr="00B81A28" w:rsidRDefault="00894031" w:rsidP="00365F35">
            <w:pPr>
              <w:tabs>
                <w:tab w:val="left" w:pos="1050"/>
              </w:tabs>
              <w:spacing w:before="40" w:after="20" w:line="260" w:lineRule="atLeast"/>
              <w:jc w:val="center"/>
              <w:rPr>
                <w:rFonts w:ascii="Verdana" w:hAnsi="Verdana"/>
                <w:sz w:val="16"/>
                <w:szCs w:val="16"/>
              </w:rPr>
            </w:pPr>
            <w:r>
              <w:rPr>
                <w:rFonts w:ascii="Verdana" w:hAnsi="Verdana"/>
                <w:sz w:val="16"/>
                <w:szCs w:val="16"/>
              </w:rPr>
              <w:t>(1,58%)</w:t>
            </w:r>
          </w:p>
        </w:tc>
        <w:tc>
          <w:tcPr>
            <w:tcW w:w="1607" w:type="dxa"/>
          </w:tcPr>
          <w:p w14:paraId="35B1575D" w14:textId="71E61C4B"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(4,90%)</w:t>
            </w:r>
          </w:p>
        </w:tc>
        <w:tc>
          <w:tcPr>
            <w:tcW w:w="1606" w:type="dxa"/>
          </w:tcPr>
          <w:p w14:paraId="6F7168BE" w14:textId="3142E375"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(25,37%)</w:t>
            </w:r>
          </w:p>
        </w:tc>
        <w:tc>
          <w:tcPr>
            <w:tcW w:w="1607" w:type="dxa"/>
          </w:tcPr>
          <w:p w14:paraId="6CCC38AE" w14:textId="5E1D795D"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(1,95%)</w:t>
            </w:r>
          </w:p>
        </w:tc>
        <w:tc>
          <w:tcPr>
            <w:tcW w:w="1606" w:type="dxa"/>
          </w:tcPr>
          <w:p w14:paraId="71A76E8F" w14:textId="0545A4A7"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5,57%</w:t>
            </w:r>
          </w:p>
        </w:tc>
        <w:tc>
          <w:tcPr>
            <w:tcW w:w="1607" w:type="dxa"/>
            <w:shd w:val="clear" w:color="auto" w:fill="auto"/>
          </w:tcPr>
          <w:p w14:paraId="3F494DD3" w14:textId="578ECDA3"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11,95%</w:t>
            </w:r>
          </w:p>
        </w:tc>
      </w:tr>
      <w:tr w:rsidR="0022723F" w:rsidRPr="00B81A28" w14:paraId="1CD943D9" w14:textId="77777777" w:rsidTr="00365F35">
        <w:tc>
          <w:tcPr>
            <w:tcW w:w="5245" w:type="dxa"/>
          </w:tcPr>
          <w:p w14:paraId="538996F2" w14:textId="77777777" w:rsidR="0022723F" w:rsidRPr="00B81A28" w:rsidRDefault="0022723F" w:rsidP="00365F35">
            <w:pPr>
              <w:spacing w:before="40" w:after="20" w:line="260" w:lineRule="atLeast"/>
              <w:rPr>
                <w:rFonts w:ascii="Verdana" w:hAnsi="Verdana"/>
                <w:sz w:val="16"/>
                <w:szCs w:val="16"/>
              </w:rPr>
            </w:pPr>
            <w:r>
              <w:rPr>
                <w:rFonts w:ascii="Verdana" w:hAnsi="Verdana"/>
                <w:sz w:val="16"/>
                <w:szCs w:val="16"/>
              </w:rPr>
              <w:t>Stanlib Global REIT Index Feeder Fund</w:t>
            </w:r>
          </w:p>
        </w:tc>
        <w:tc>
          <w:tcPr>
            <w:tcW w:w="1606" w:type="dxa"/>
          </w:tcPr>
          <w:p w14:paraId="6070B5D4" w14:textId="10FC6C8D" w:rsidR="0022723F" w:rsidRPr="00B81A28" w:rsidRDefault="00894031" w:rsidP="00365F35">
            <w:pPr>
              <w:tabs>
                <w:tab w:val="left" w:pos="1050"/>
              </w:tabs>
              <w:spacing w:before="40" w:after="20" w:line="260" w:lineRule="atLeast"/>
              <w:jc w:val="center"/>
              <w:rPr>
                <w:rFonts w:ascii="Verdana" w:hAnsi="Verdana"/>
                <w:sz w:val="16"/>
                <w:szCs w:val="16"/>
              </w:rPr>
            </w:pPr>
            <w:r>
              <w:rPr>
                <w:rFonts w:ascii="Verdana" w:hAnsi="Verdana"/>
                <w:sz w:val="16"/>
                <w:szCs w:val="16"/>
              </w:rPr>
              <w:t>(3,33%)</w:t>
            </w:r>
          </w:p>
        </w:tc>
        <w:tc>
          <w:tcPr>
            <w:tcW w:w="1607" w:type="dxa"/>
          </w:tcPr>
          <w:p w14:paraId="5EFC5FC7" w14:textId="5BD024FF"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(5,20%)</w:t>
            </w:r>
          </w:p>
        </w:tc>
        <w:tc>
          <w:tcPr>
            <w:tcW w:w="1606" w:type="dxa"/>
          </w:tcPr>
          <w:p w14:paraId="12F3465D" w14:textId="77777777" w:rsidR="0022723F" w:rsidRPr="00B81A28" w:rsidRDefault="0022723F" w:rsidP="00365F35">
            <w:pPr>
              <w:spacing w:before="40" w:after="20" w:line="260" w:lineRule="atLeast"/>
              <w:jc w:val="center"/>
              <w:rPr>
                <w:rFonts w:ascii="Verdana" w:hAnsi="Verdana"/>
                <w:sz w:val="16"/>
                <w:szCs w:val="16"/>
              </w:rPr>
            </w:pPr>
            <w:r>
              <w:rPr>
                <w:rFonts w:ascii="Verdana" w:hAnsi="Verdana"/>
                <w:sz w:val="16"/>
                <w:szCs w:val="16"/>
              </w:rPr>
              <w:t>-</w:t>
            </w:r>
          </w:p>
        </w:tc>
        <w:tc>
          <w:tcPr>
            <w:tcW w:w="1607" w:type="dxa"/>
          </w:tcPr>
          <w:p w14:paraId="19DF14EF" w14:textId="77777777" w:rsidR="0022723F" w:rsidRPr="00B81A28" w:rsidRDefault="0022723F" w:rsidP="00365F35">
            <w:pPr>
              <w:spacing w:before="40" w:after="20" w:line="260" w:lineRule="atLeast"/>
              <w:jc w:val="center"/>
              <w:rPr>
                <w:rFonts w:ascii="Verdana" w:hAnsi="Verdana"/>
                <w:sz w:val="16"/>
                <w:szCs w:val="16"/>
              </w:rPr>
            </w:pPr>
            <w:r>
              <w:rPr>
                <w:rFonts w:ascii="Verdana" w:hAnsi="Verdana"/>
                <w:sz w:val="16"/>
                <w:szCs w:val="16"/>
              </w:rPr>
              <w:t>-</w:t>
            </w:r>
          </w:p>
        </w:tc>
        <w:tc>
          <w:tcPr>
            <w:tcW w:w="1606" w:type="dxa"/>
          </w:tcPr>
          <w:p w14:paraId="1E32E2AD" w14:textId="77777777" w:rsidR="0022723F" w:rsidRPr="00B81A28" w:rsidRDefault="0022723F" w:rsidP="00365F35">
            <w:pPr>
              <w:spacing w:before="40" w:after="20" w:line="26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212ED620" w14:textId="77777777" w:rsidR="0022723F" w:rsidRPr="00B81A28" w:rsidRDefault="0022723F" w:rsidP="00365F35">
            <w:pPr>
              <w:spacing w:before="40" w:after="20" w:line="260" w:lineRule="atLeast"/>
              <w:jc w:val="center"/>
              <w:rPr>
                <w:rFonts w:ascii="Verdana" w:hAnsi="Verdana"/>
                <w:sz w:val="16"/>
                <w:szCs w:val="16"/>
              </w:rPr>
            </w:pPr>
            <w:r>
              <w:rPr>
                <w:rFonts w:ascii="Verdana" w:hAnsi="Verdana"/>
                <w:sz w:val="16"/>
                <w:szCs w:val="16"/>
              </w:rPr>
              <w:t>-</w:t>
            </w:r>
          </w:p>
        </w:tc>
      </w:tr>
      <w:tr w:rsidR="0022723F" w:rsidRPr="00B81A28" w14:paraId="52EAEB94" w14:textId="77777777" w:rsidTr="00365F35">
        <w:tc>
          <w:tcPr>
            <w:tcW w:w="5245" w:type="dxa"/>
          </w:tcPr>
          <w:p w14:paraId="560C947A" w14:textId="77777777" w:rsidR="0022723F" w:rsidRPr="00B81A28" w:rsidRDefault="0022723F" w:rsidP="00365F35">
            <w:pPr>
              <w:spacing w:before="40" w:after="20" w:line="260" w:lineRule="atLeast"/>
              <w:rPr>
                <w:rFonts w:ascii="Verdana" w:hAnsi="Verdana"/>
                <w:sz w:val="16"/>
                <w:szCs w:val="16"/>
              </w:rPr>
            </w:pPr>
            <w:r w:rsidRPr="00B81A28">
              <w:rPr>
                <w:rFonts w:ascii="Verdana" w:hAnsi="Verdana"/>
                <w:sz w:val="16"/>
                <w:szCs w:val="16"/>
              </w:rPr>
              <w:t>Sygnia Listed Property Index Fund</w:t>
            </w:r>
          </w:p>
        </w:tc>
        <w:tc>
          <w:tcPr>
            <w:tcW w:w="1606" w:type="dxa"/>
          </w:tcPr>
          <w:p w14:paraId="3BA8F273" w14:textId="1C29C5F6" w:rsidR="0022723F" w:rsidRPr="00B81A28" w:rsidRDefault="00894031" w:rsidP="00365F35">
            <w:pPr>
              <w:tabs>
                <w:tab w:val="left" w:pos="1050"/>
              </w:tabs>
              <w:spacing w:before="40" w:after="20" w:line="260" w:lineRule="atLeast"/>
              <w:jc w:val="center"/>
              <w:rPr>
                <w:rFonts w:ascii="Verdana" w:hAnsi="Verdana"/>
                <w:sz w:val="16"/>
                <w:szCs w:val="16"/>
              </w:rPr>
            </w:pPr>
            <w:r>
              <w:rPr>
                <w:rFonts w:ascii="Verdana" w:hAnsi="Verdana"/>
                <w:sz w:val="16"/>
                <w:szCs w:val="16"/>
              </w:rPr>
              <w:t>(0,98%)</w:t>
            </w:r>
          </w:p>
        </w:tc>
        <w:tc>
          <w:tcPr>
            <w:tcW w:w="1607" w:type="dxa"/>
          </w:tcPr>
          <w:p w14:paraId="5B69EF5B" w14:textId="5DC34CC3"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(4,11%)</w:t>
            </w:r>
          </w:p>
        </w:tc>
        <w:tc>
          <w:tcPr>
            <w:tcW w:w="1606" w:type="dxa"/>
          </w:tcPr>
          <w:p w14:paraId="0A105E23" w14:textId="3C154E25"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(25,73%)</w:t>
            </w:r>
          </w:p>
        </w:tc>
        <w:tc>
          <w:tcPr>
            <w:tcW w:w="1607" w:type="dxa"/>
          </w:tcPr>
          <w:p w14:paraId="30F823A8" w14:textId="513CDD9A"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(1,71%)</w:t>
            </w:r>
          </w:p>
        </w:tc>
        <w:tc>
          <w:tcPr>
            <w:tcW w:w="1606" w:type="dxa"/>
          </w:tcPr>
          <w:p w14:paraId="3A7CADB0" w14:textId="517B7E99" w:rsidR="0022723F" w:rsidRPr="00B81A28" w:rsidRDefault="00894031" w:rsidP="00365F35">
            <w:pPr>
              <w:spacing w:before="40" w:after="20" w:line="260" w:lineRule="atLeast"/>
              <w:jc w:val="center"/>
              <w:rPr>
                <w:rFonts w:ascii="Verdana" w:hAnsi="Verdana"/>
                <w:sz w:val="16"/>
                <w:szCs w:val="16"/>
              </w:rPr>
            </w:pPr>
            <w:r>
              <w:rPr>
                <w:rFonts w:ascii="Verdana" w:hAnsi="Verdana"/>
                <w:sz w:val="16"/>
                <w:szCs w:val="16"/>
              </w:rPr>
              <w:t>5,30%</w:t>
            </w:r>
          </w:p>
        </w:tc>
        <w:tc>
          <w:tcPr>
            <w:tcW w:w="1607" w:type="dxa"/>
            <w:shd w:val="clear" w:color="auto" w:fill="auto"/>
          </w:tcPr>
          <w:p w14:paraId="5C20019E" w14:textId="77777777" w:rsidR="0022723F" w:rsidRPr="00B81A28" w:rsidRDefault="0022723F" w:rsidP="00365F35">
            <w:pPr>
              <w:spacing w:before="40" w:after="20" w:line="260" w:lineRule="atLeast"/>
              <w:jc w:val="center"/>
              <w:rPr>
                <w:rFonts w:ascii="Verdana" w:hAnsi="Verdana"/>
                <w:sz w:val="16"/>
                <w:szCs w:val="16"/>
              </w:rPr>
            </w:pPr>
            <w:r w:rsidRPr="00B81A28">
              <w:rPr>
                <w:rFonts w:ascii="Verdana" w:hAnsi="Verdana"/>
                <w:sz w:val="16"/>
                <w:szCs w:val="16"/>
              </w:rPr>
              <w:t>-</w:t>
            </w:r>
          </w:p>
        </w:tc>
      </w:tr>
    </w:tbl>
    <w:p w14:paraId="195C7D29" w14:textId="77777777" w:rsidR="0022723F" w:rsidRDefault="0022723F" w:rsidP="0022723F">
      <w:pPr>
        <w:spacing w:after="160" w:line="259" w:lineRule="auto"/>
      </w:pPr>
      <w:r>
        <w:br w:type="page"/>
      </w:r>
    </w:p>
    <w:p w14:paraId="0C3A530F" w14:textId="77777777" w:rsidR="0022723F" w:rsidRPr="00B81A28" w:rsidRDefault="0022723F" w:rsidP="0022723F">
      <w:pPr>
        <w:spacing w:after="0" w:line="240" w:lineRule="auto"/>
        <w:rPr>
          <w:rFonts w:ascii="Verdana" w:hAnsi="Verdana"/>
          <w:sz w:val="15"/>
          <w:szCs w:val="15"/>
        </w:rPr>
      </w:pPr>
    </w:p>
    <w:p w14:paraId="34910CAA" w14:textId="77777777" w:rsidR="0022723F" w:rsidRPr="00B81A28" w:rsidRDefault="0022723F" w:rsidP="0022723F">
      <w:pPr>
        <w:spacing w:after="0" w:line="240" w:lineRule="auto"/>
        <w:rPr>
          <w:rFonts w:ascii="Verdana" w:hAnsi="Verdana"/>
          <w:sz w:val="16"/>
          <w:szCs w:val="16"/>
        </w:rPr>
      </w:pPr>
      <w:r w:rsidRPr="00B81A28">
        <w:rPr>
          <w:rFonts w:ascii="Verdana" w:hAnsi="Verdana"/>
          <w:noProof/>
          <w:lang w:eastAsia="en-ZA"/>
        </w:rPr>
        <w:drawing>
          <wp:inline distT="0" distB="0" distL="0" distR="0" wp14:anchorId="5E70C7F5" wp14:editId="27B3FADD">
            <wp:extent cx="3057525" cy="642486"/>
            <wp:effectExtent l="0" t="0" r="0" b="5715"/>
            <wp:docPr id="2" name="Picture 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22723F" w:rsidRPr="00B81A28" w14:paraId="6BD77156" w14:textId="77777777" w:rsidTr="00365F35">
        <w:tc>
          <w:tcPr>
            <w:tcW w:w="14884" w:type="dxa"/>
            <w:gridSpan w:val="7"/>
            <w:shd w:val="clear" w:color="auto" w:fill="CB2229"/>
            <w:vAlign w:val="center"/>
          </w:tcPr>
          <w:p w14:paraId="3B9FA1A9" w14:textId="77777777" w:rsidR="0022723F" w:rsidRPr="00B81A28" w:rsidRDefault="0022723F" w:rsidP="00365F35">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7609AA4E" w14:textId="77777777" w:rsidR="0022723F" w:rsidRPr="00B81A28" w:rsidRDefault="0022723F" w:rsidP="00365F35">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w:t>
            </w:r>
            <w:r w:rsidRPr="00B81A28">
              <w:rPr>
                <w:rFonts w:ascii="Verdana" w:hAnsi="Verdana"/>
                <w:b/>
                <w:color w:val="FFFFFF"/>
                <w:sz w:val="20"/>
                <w:szCs w:val="20"/>
              </w:rPr>
              <w:t xml:space="preserve"> 2018</w:t>
            </w:r>
            <w:r>
              <w:rPr>
                <w:rFonts w:ascii="Verdana" w:hAnsi="Verdana"/>
                <w:b/>
                <w:color w:val="FFFFFF"/>
                <w:sz w:val="20"/>
                <w:szCs w:val="20"/>
              </w:rPr>
              <w:t xml:space="preserve">   </w:t>
            </w:r>
            <w:r w:rsidRPr="00B81A28">
              <w:rPr>
                <w:rFonts w:ascii="Verdana" w:hAnsi="Verdana"/>
                <w:b/>
                <w:color w:val="FFFFFF"/>
                <w:sz w:val="20"/>
                <w:szCs w:val="20"/>
              </w:rPr>
              <w:t>(Total Returns – dividends reinvested)</w:t>
            </w:r>
          </w:p>
        </w:tc>
      </w:tr>
      <w:tr w:rsidR="0022723F" w:rsidRPr="00B81A28" w14:paraId="517E4D86" w14:textId="77777777" w:rsidTr="00365F35">
        <w:tc>
          <w:tcPr>
            <w:tcW w:w="5245" w:type="dxa"/>
            <w:shd w:val="clear" w:color="auto" w:fill="4C4C4C"/>
          </w:tcPr>
          <w:p w14:paraId="4323EBF3" w14:textId="77777777" w:rsidR="0022723F" w:rsidRPr="0067766B" w:rsidRDefault="0022723F" w:rsidP="00365F35">
            <w:pPr>
              <w:spacing w:before="40" w:after="20" w:line="26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541F9EEB" w14:textId="77777777" w:rsidR="0022723F" w:rsidRPr="00B81A28" w:rsidRDefault="0022723F" w:rsidP="00365F35">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5C208ED0" w14:textId="77777777" w:rsidR="0022723F" w:rsidRPr="00B81A28" w:rsidRDefault="0022723F" w:rsidP="00365F35">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68139B8D" w14:textId="77777777" w:rsidR="0022723F" w:rsidRPr="00B81A28" w:rsidRDefault="0022723F" w:rsidP="00365F35">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53434FD5" w14:textId="77777777" w:rsidR="0022723F" w:rsidRPr="00B81A28" w:rsidRDefault="0022723F" w:rsidP="00365F35">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585A6F86" w14:textId="77777777" w:rsidR="0022723F" w:rsidRPr="00B81A28" w:rsidRDefault="0022723F" w:rsidP="00365F35">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20755D05" w14:textId="77777777" w:rsidR="0022723F" w:rsidRPr="00B81A28" w:rsidRDefault="0022723F" w:rsidP="00365F35">
            <w:pPr>
              <w:spacing w:before="40" w:after="20" w:line="26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2723F" w:rsidRPr="00B81A28" w14:paraId="683DAFFF" w14:textId="77777777" w:rsidTr="00365F35">
        <w:tc>
          <w:tcPr>
            <w:tcW w:w="5245" w:type="dxa"/>
            <w:shd w:val="clear" w:color="auto" w:fill="auto"/>
          </w:tcPr>
          <w:p w14:paraId="7570FD2C" w14:textId="77777777" w:rsidR="0022723F" w:rsidRPr="00AE5F39" w:rsidRDefault="0022723F" w:rsidP="00365F35">
            <w:pPr>
              <w:spacing w:before="40" w:after="40" w:line="280" w:lineRule="atLeast"/>
              <w:rPr>
                <w:rFonts w:ascii="Verdana" w:hAnsi="Verdana"/>
                <w:color w:val="000000" w:themeColor="text1"/>
                <w:sz w:val="16"/>
                <w:szCs w:val="16"/>
              </w:rPr>
            </w:pPr>
            <w:r w:rsidRPr="00AE5F39">
              <w:rPr>
                <w:rFonts w:ascii="Verdana" w:hAnsi="Verdana"/>
                <w:b/>
                <w:color w:val="000000" w:themeColor="text1"/>
                <w:sz w:val="16"/>
                <w:szCs w:val="16"/>
              </w:rPr>
              <w:t>FTSE/JSE ALL SHARE INDEX (Total Return)</w:t>
            </w:r>
          </w:p>
        </w:tc>
        <w:tc>
          <w:tcPr>
            <w:tcW w:w="1606" w:type="dxa"/>
            <w:shd w:val="clear" w:color="auto" w:fill="auto"/>
          </w:tcPr>
          <w:p w14:paraId="0AAD659E" w14:textId="648454C6" w:rsidR="0022723F" w:rsidRPr="00AE5F39" w:rsidRDefault="009C692D" w:rsidP="00365F35">
            <w:pPr>
              <w:tabs>
                <w:tab w:val="left" w:pos="1050"/>
              </w:tabs>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4,25%</w:t>
            </w:r>
          </w:p>
        </w:tc>
        <w:tc>
          <w:tcPr>
            <w:tcW w:w="1607" w:type="dxa"/>
            <w:shd w:val="clear" w:color="auto" w:fill="auto"/>
          </w:tcPr>
          <w:p w14:paraId="39200FC7" w14:textId="1DC64F62" w:rsidR="0022723F" w:rsidRPr="00AE5F39" w:rsidRDefault="009C692D" w:rsidP="00365F35">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(4,88%)</w:t>
            </w:r>
          </w:p>
        </w:tc>
        <w:tc>
          <w:tcPr>
            <w:tcW w:w="1606" w:type="dxa"/>
            <w:shd w:val="clear" w:color="auto" w:fill="auto"/>
          </w:tcPr>
          <w:p w14:paraId="1E0A13AC" w14:textId="71613EB7" w:rsidR="0022723F" w:rsidRPr="00AE5F39" w:rsidRDefault="00995B87" w:rsidP="00365F35">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(8,53%)</w:t>
            </w:r>
          </w:p>
        </w:tc>
        <w:tc>
          <w:tcPr>
            <w:tcW w:w="1607" w:type="dxa"/>
            <w:shd w:val="clear" w:color="auto" w:fill="auto"/>
          </w:tcPr>
          <w:p w14:paraId="03A160D0" w14:textId="606E15C9" w:rsidR="0022723F" w:rsidRPr="00AE5F39" w:rsidRDefault="00995B87" w:rsidP="00365F35">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4,33%</w:t>
            </w:r>
          </w:p>
        </w:tc>
        <w:tc>
          <w:tcPr>
            <w:tcW w:w="1606" w:type="dxa"/>
            <w:shd w:val="clear" w:color="auto" w:fill="auto"/>
          </w:tcPr>
          <w:p w14:paraId="610BCF4C" w14:textId="7BAE541F" w:rsidR="0022723F" w:rsidRPr="00AE5F39" w:rsidRDefault="00995B87" w:rsidP="00365F35">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5,77%</w:t>
            </w:r>
          </w:p>
        </w:tc>
        <w:tc>
          <w:tcPr>
            <w:tcW w:w="1607" w:type="dxa"/>
            <w:shd w:val="clear" w:color="auto" w:fill="auto"/>
          </w:tcPr>
          <w:p w14:paraId="1D1C783E" w14:textId="74DA2E0C" w:rsidR="0022723F" w:rsidRPr="00AE5F39" w:rsidRDefault="00995B87" w:rsidP="00365F35">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12,62%</w:t>
            </w:r>
          </w:p>
        </w:tc>
      </w:tr>
      <w:tr w:rsidR="0022723F" w:rsidRPr="00B81A28" w14:paraId="1F419646" w14:textId="77777777" w:rsidTr="00365F35">
        <w:tc>
          <w:tcPr>
            <w:tcW w:w="5245" w:type="dxa"/>
          </w:tcPr>
          <w:p w14:paraId="2195C2CC"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Gryphon All Share Tracker Fund</w:t>
            </w:r>
          </w:p>
        </w:tc>
        <w:tc>
          <w:tcPr>
            <w:tcW w:w="1606" w:type="dxa"/>
          </w:tcPr>
          <w:p w14:paraId="095EDAF0" w14:textId="75C103F6" w:rsidR="0022723F" w:rsidRPr="00B81A28" w:rsidRDefault="00995B87" w:rsidP="00365F35">
            <w:pPr>
              <w:tabs>
                <w:tab w:val="left" w:pos="1050"/>
              </w:tabs>
              <w:spacing w:before="40" w:after="40" w:line="280" w:lineRule="atLeast"/>
              <w:jc w:val="center"/>
              <w:rPr>
                <w:rFonts w:ascii="Verdana" w:hAnsi="Verdana"/>
                <w:sz w:val="16"/>
                <w:szCs w:val="16"/>
              </w:rPr>
            </w:pPr>
            <w:r>
              <w:rPr>
                <w:rFonts w:ascii="Verdana" w:hAnsi="Verdana"/>
                <w:sz w:val="16"/>
                <w:szCs w:val="16"/>
              </w:rPr>
              <w:t>3,84%</w:t>
            </w:r>
          </w:p>
        </w:tc>
        <w:tc>
          <w:tcPr>
            <w:tcW w:w="1607" w:type="dxa"/>
          </w:tcPr>
          <w:p w14:paraId="1701DFF7" w14:textId="27C3496D"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(5,11%)</w:t>
            </w:r>
          </w:p>
        </w:tc>
        <w:tc>
          <w:tcPr>
            <w:tcW w:w="1606" w:type="dxa"/>
          </w:tcPr>
          <w:p w14:paraId="3DF9B1BD" w14:textId="0F87DDF9"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(6,94%)</w:t>
            </w:r>
          </w:p>
        </w:tc>
        <w:tc>
          <w:tcPr>
            <w:tcW w:w="1607" w:type="dxa"/>
          </w:tcPr>
          <w:p w14:paraId="2F24838A" w14:textId="30AC734D"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4,11%</w:t>
            </w:r>
          </w:p>
        </w:tc>
        <w:tc>
          <w:tcPr>
            <w:tcW w:w="1606" w:type="dxa"/>
          </w:tcPr>
          <w:p w14:paraId="26D723D8" w14:textId="72206AFF"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5,70%</w:t>
            </w:r>
          </w:p>
        </w:tc>
        <w:tc>
          <w:tcPr>
            <w:tcW w:w="1607" w:type="dxa"/>
            <w:shd w:val="clear" w:color="auto" w:fill="auto"/>
          </w:tcPr>
          <w:p w14:paraId="2686DFB9" w14:textId="491341B4"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12,31%</w:t>
            </w:r>
          </w:p>
        </w:tc>
      </w:tr>
      <w:tr w:rsidR="0022723F" w:rsidRPr="00B81A28" w14:paraId="5ABF93D8" w14:textId="77777777" w:rsidTr="00365F35">
        <w:tc>
          <w:tcPr>
            <w:tcW w:w="5245" w:type="dxa"/>
          </w:tcPr>
          <w:p w14:paraId="322EBBA5"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Stanlib Index Fund</w:t>
            </w:r>
          </w:p>
        </w:tc>
        <w:tc>
          <w:tcPr>
            <w:tcW w:w="1606" w:type="dxa"/>
          </w:tcPr>
          <w:p w14:paraId="45E175F8" w14:textId="56E5D270" w:rsidR="0022723F" w:rsidRPr="00B81A28" w:rsidRDefault="00995B87" w:rsidP="00365F35">
            <w:pPr>
              <w:tabs>
                <w:tab w:val="left" w:pos="1050"/>
              </w:tabs>
              <w:spacing w:before="40" w:after="40" w:line="280" w:lineRule="atLeast"/>
              <w:jc w:val="center"/>
              <w:rPr>
                <w:rFonts w:ascii="Verdana" w:hAnsi="Verdana"/>
                <w:sz w:val="16"/>
                <w:szCs w:val="16"/>
              </w:rPr>
            </w:pPr>
            <w:r>
              <w:rPr>
                <w:rFonts w:ascii="Verdana" w:hAnsi="Verdana"/>
                <w:sz w:val="16"/>
                <w:szCs w:val="16"/>
              </w:rPr>
              <w:t>2,78%</w:t>
            </w:r>
          </w:p>
        </w:tc>
        <w:tc>
          <w:tcPr>
            <w:tcW w:w="1607" w:type="dxa"/>
          </w:tcPr>
          <w:p w14:paraId="75777A71" w14:textId="66149E3B"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(4,08%)</w:t>
            </w:r>
          </w:p>
        </w:tc>
        <w:tc>
          <w:tcPr>
            <w:tcW w:w="1606" w:type="dxa"/>
          </w:tcPr>
          <w:p w14:paraId="03A1289B" w14:textId="6F8C2060"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(12,17%)</w:t>
            </w:r>
          </w:p>
        </w:tc>
        <w:tc>
          <w:tcPr>
            <w:tcW w:w="1607" w:type="dxa"/>
          </w:tcPr>
          <w:p w14:paraId="589F76FB" w14:textId="3F5ED3C5"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1,72%</w:t>
            </w:r>
          </w:p>
        </w:tc>
        <w:tc>
          <w:tcPr>
            <w:tcW w:w="1606" w:type="dxa"/>
          </w:tcPr>
          <w:p w14:paraId="78A46F9E" w14:textId="0CD7DD0A"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4,06%</w:t>
            </w:r>
          </w:p>
        </w:tc>
        <w:tc>
          <w:tcPr>
            <w:tcW w:w="1607" w:type="dxa"/>
            <w:shd w:val="clear" w:color="auto" w:fill="auto"/>
          </w:tcPr>
          <w:p w14:paraId="575B0AF1" w14:textId="73247B8C"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11,28%</w:t>
            </w:r>
          </w:p>
        </w:tc>
      </w:tr>
      <w:tr w:rsidR="0022723F" w:rsidRPr="00B81A28" w14:paraId="01C27590" w14:textId="77777777" w:rsidTr="00365F35">
        <w:tc>
          <w:tcPr>
            <w:tcW w:w="5245" w:type="dxa"/>
          </w:tcPr>
          <w:p w14:paraId="0297AC93"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Satrix ALSI Index Fund</w:t>
            </w:r>
          </w:p>
        </w:tc>
        <w:tc>
          <w:tcPr>
            <w:tcW w:w="1606" w:type="dxa"/>
          </w:tcPr>
          <w:p w14:paraId="0FC4347C" w14:textId="71AB4273" w:rsidR="0022723F" w:rsidRPr="00B81A28" w:rsidRDefault="00995B87" w:rsidP="00365F35">
            <w:pPr>
              <w:tabs>
                <w:tab w:val="left" w:pos="1050"/>
              </w:tabs>
              <w:spacing w:before="40" w:after="40" w:line="280" w:lineRule="atLeast"/>
              <w:jc w:val="center"/>
              <w:rPr>
                <w:rFonts w:ascii="Verdana" w:hAnsi="Verdana"/>
                <w:sz w:val="16"/>
                <w:szCs w:val="16"/>
              </w:rPr>
            </w:pPr>
            <w:r>
              <w:rPr>
                <w:rFonts w:ascii="Verdana" w:hAnsi="Verdana"/>
                <w:sz w:val="16"/>
                <w:szCs w:val="16"/>
              </w:rPr>
              <w:t>4,07%</w:t>
            </w:r>
          </w:p>
        </w:tc>
        <w:tc>
          <w:tcPr>
            <w:tcW w:w="1607" w:type="dxa"/>
          </w:tcPr>
          <w:p w14:paraId="751E2B8C" w14:textId="7A5A6CE4"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(4,93%)</w:t>
            </w:r>
          </w:p>
        </w:tc>
        <w:tc>
          <w:tcPr>
            <w:tcW w:w="1606" w:type="dxa"/>
          </w:tcPr>
          <w:p w14:paraId="21799B0A" w14:textId="10FAB884"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(9,21%)</w:t>
            </w:r>
          </w:p>
        </w:tc>
        <w:tc>
          <w:tcPr>
            <w:tcW w:w="1607" w:type="dxa"/>
          </w:tcPr>
          <w:p w14:paraId="513D87CD" w14:textId="4AC3A544"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3,58%</w:t>
            </w:r>
          </w:p>
        </w:tc>
        <w:tc>
          <w:tcPr>
            <w:tcW w:w="1606" w:type="dxa"/>
          </w:tcPr>
          <w:p w14:paraId="408FB404" w14:textId="2EC19157"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5,00%</w:t>
            </w:r>
          </w:p>
        </w:tc>
        <w:tc>
          <w:tcPr>
            <w:tcW w:w="1607" w:type="dxa"/>
            <w:shd w:val="clear" w:color="auto" w:fill="auto"/>
          </w:tcPr>
          <w:p w14:paraId="63F9D08C" w14:textId="292ABBF1"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11,88%</w:t>
            </w:r>
          </w:p>
        </w:tc>
      </w:tr>
      <w:tr w:rsidR="0022723F" w:rsidRPr="00B81A28" w14:paraId="79C655C9" w14:textId="77777777" w:rsidTr="00365F35">
        <w:tc>
          <w:tcPr>
            <w:tcW w:w="5245" w:type="dxa"/>
          </w:tcPr>
          <w:p w14:paraId="1C24BB9A"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Satrix RAFI 40 Index Fund</w:t>
            </w:r>
          </w:p>
        </w:tc>
        <w:tc>
          <w:tcPr>
            <w:tcW w:w="1606" w:type="dxa"/>
          </w:tcPr>
          <w:p w14:paraId="483DD5D1" w14:textId="651E5793" w:rsidR="0022723F" w:rsidRPr="00B81A28" w:rsidRDefault="00995B87" w:rsidP="00365F35">
            <w:pPr>
              <w:tabs>
                <w:tab w:val="left" w:pos="1050"/>
              </w:tabs>
              <w:spacing w:before="40" w:after="40" w:line="280" w:lineRule="atLeast"/>
              <w:jc w:val="center"/>
              <w:rPr>
                <w:rFonts w:ascii="Verdana" w:hAnsi="Verdana"/>
                <w:sz w:val="16"/>
                <w:szCs w:val="16"/>
              </w:rPr>
            </w:pPr>
            <w:r>
              <w:rPr>
                <w:rFonts w:ascii="Verdana" w:hAnsi="Verdana"/>
                <w:sz w:val="16"/>
                <w:szCs w:val="16"/>
              </w:rPr>
              <w:t>5,60%</w:t>
            </w:r>
          </w:p>
        </w:tc>
        <w:tc>
          <w:tcPr>
            <w:tcW w:w="1607" w:type="dxa"/>
          </w:tcPr>
          <w:p w14:paraId="07409FBA" w14:textId="2824B459"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(4,36%)</w:t>
            </w:r>
          </w:p>
        </w:tc>
        <w:tc>
          <w:tcPr>
            <w:tcW w:w="1606" w:type="dxa"/>
          </w:tcPr>
          <w:p w14:paraId="553C4C28" w14:textId="119F1235"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(4,07%)</w:t>
            </w:r>
          </w:p>
        </w:tc>
        <w:tc>
          <w:tcPr>
            <w:tcW w:w="1607" w:type="dxa"/>
          </w:tcPr>
          <w:p w14:paraId="05426D1B" w14:textId="45E17688"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9,62%</w:t>
            </w:r>
          </w:p>
        </w:tc>
        <w:tc>
          <w:tcPr>
            <w:tcW w:w="1606" w:type="dxa"/>
          </w:tcPr>
          <w:p w14:paraId="60605EBA" w14:textId="1CDEA543"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4,78%</w:t>
            </w:r>
          </w:p>
        </w:tc>
        <w:tc>
          <w:tcPr>
            <w:tcW w:w="1607" w:type="dxa"/>
            <w:shd w:val="clear" w:color="auto" w:fill="auto"/>
          </w:tcPr>
          <w:p w14:paraId="6C1EEF11"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63B11F62" w14:textId="77777777" w:rsidTr="00365F35">
        <w:tc>
          <w:tcPr>
            <w:tcW w:w="5245" w:type="dxa"/>
          </w:tcPr>
          <w:p w14:paraId="48D5EE8A"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Ashburton Momentum SA Tracker Fund</w:t>
            </w:r>
          </w:p>
        </w:tc>
        <w:tc>
          <w:tcPr>
            <w:tcW w:w="1606" w:type="dxa"/>
          </w:tcPr>
          <w:p w14:paraId="522CFAF9" w14:textId="1CC83F89" w:rsidR="0022723F" w:rsidRPr="00B81A28" w:rsidRDefault="00995B87" w:rsidP="00365F35">
            <w:pPr>
              <w:tabs>
                <w:tab w:val="left" w:pos="1050"/>
              </w:tabs>
              <w:spacing w:before="40" w:after="40" w:line="280" w:lineRule="atLeast"/>
              <w:jc w:val="center"/>
              <w:rPr>
                <w:rFonts w:ascii="Verdana" w:hAnsi="Verdana"/>
                <w:sz w:val="16"/>
                <w:szCs w:val="16"/>
              </w:rPr>
            </w:pPr>
            <w:r>
              <w:rPr>
                <w:rFonts w:ascii="Verdana" w:hAnsi="Verdana"/>
                <w:sz w:val="16"/>
                <w:szCs w:val="16"/>
              </w:rPr>
              <w:t>5,07%</w:t>
            </w:r>
          </w:p>
        </w:tc>
        <w:tc>
          <w:tcPr>
            <w:tcW w:w="1607" w:type="dxa"/>
          </w:tcPr>
          <w:p w14:paraId="22A5104E" w14:textId="0622FCA5"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0,04%</w:t>
            </w:r>
          </w:p>
        </w:tc>
        <w:tc>
          <w:tcPr>
            <w:tcW w:w="1606" w:type="dxa"/>
          </w:tcPr>
          <w:p w14:paraId="316F3EC1" w14:textId="5BAEB623"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(9,98%)</w:t>
            </w:r>
          </w:p>
        </w:tc>
        <w:tc>
          <w:tcPr>
            <w:tcW w:w="1607" w:type="dxa"/>
          </w:tcPr>
          <w:p w14:paraId="13C7315B"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606" w:type="dxa"/>
          </w:tcPr>
          <w:p w14:paraId="5BBD2F39"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03C97C45"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719425FC" w14:textId="77777777" w:rsidTr="00365F35">
        <w:tc>
          <w:tcPr>
            <w:tcW w:w="5245" w:type="dxa"/>
          </w:tcPr>
          <w:p w14:paraId="1D0DD4E9"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Satrix Momentum Index Fund</w:t>
            </w:r>
          </w:p>
        </w:tc>
        <w:tc>
          <w:tcPr>
            <w:tcW w:w="1606" w:type="dxa"/>
          </w:tcPr>
          <w:p w14:paraId="36ADAE1C" w14:textId="487CB691" w:rsidR="0022723F" w:rsidRPr="00B81A28" w:rsidRDefault="00995B87" w:rsidP="00365F35">
            <w:pPr>
              <w:tabs>
                <w:tab w:val="left" w:pos="1050"/>
              </w:tabs>
              <w:spacing w:before="40" w:after="40" w:line="280" w:lineRule="atLeast"/>
              <w:jc w:val="center"/>
              <w:rPr>
                <w:rFonts w:ascii="Verdana" w:hAnsi="Verdana"/>
                <w:sz w:val="16"/>
                <w:szCs w:val="16"/>
              </w:rPr>
            </w:pPr>
            <w:r>
              <w:rPr>
                <w:rFonts w:ascii="Verdana" w:hAnsi="Verdana"/>
                <w:sz w:val="16"/>
                <w:szCs w:val="16"/>
              </w:rPr>
              <w:t>2,73%</w:t>
            </w:r>
          </w:p>
        </w:tc>
        <w:tc>
          <w:tcPr>
            <w:tcW w:w="1607" w:type="dxa"/>
          </w:tcPr>
          <w:p w14:paraId="3FFD3C3E" w14:textId="5110CDBB"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(5,66%)</w:t>
            </w:r>
          </w:p>
        </w:tc>
        <w:tc>
          <w:tcPr>
            <w:tcW w:w="1606" w:type="dxa"/>
          </w:tcPr>
          <w:p w14:paraId="70FCE8B8" w14:textId="2A4AB046"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(17,68%)</w:t>
            </w:r>
          </w:p>
        </w:tc>
        <w:tc>
          <w:tcPr>
            <w:tcW w:w="1607" w:type="dxa"/>
          </w:tcPr>
          <w:p w14:paraId="3178BEA6" w14:textId="1A6C0339"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2,31%</w:t>
            </w:r>
          </w:p>
        </w:tc>
        <w:tc>
          <w:tcPr>
            <w:tcW w:w="1606" w:type="dxa"/>
          </w:tcPr>
          <w:p w14:paraId="0036BE0D" w14:textId="38A69ED8" w:rsidR="0022723F" w:rsidRPr="00B81A28" w:rsidRDefault="00995B87" w:rsidP="00365F35">
            <w:pPr>
              <w:spacing w:before="40" w:after="40" w:line="280" w:lineRule="atLeast"/>
              <w:jc w:val="center"/>
              <w:rPr>
                <w:rFonts w:ascii="Verdana" w:hAnsi="Verdana"/>
                <w:sz w:val="16"/>
                <w:szCs w:val="16"/>
              </w:rPr>
            </w:pPr>
            <w:r>
              <w:rPr>
                <w:rFonts w:ascii="Verdana" w:hAnsi="Verdana"/>
                <w:sz w:val="16"/>
                <w:szCs w:val="16"/>
              </w:rPr>
              <w:t>7,11%</w:t>
            </w:r>
          </w:p>
        </w:tc>
        <w:tc>
          <w:tcPr>
            <w:tcW w:w="1607" w:type="dxa"/>
            <w:shd w:val="clear" w:color="auto" w:fill="auto"/>
          </w:tcPr>
          <w:p w14:paraId="4F25A0BC"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76972E13" w14:textId="77777777" w:rsidTr="00365F35">
        <w:tc>
          <w:tcPr>
            <w:tcW w:w="5245" w:type="dxa"/>
          </w:tcPr>
          <w:p w14:paraId="5B822D08"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 xml:space="preserve">Old Mutual RAFI 40 </w:t>
            </w:r>
            <w:r>
              <w:rPr>
                <w:rFonts w:ascii="Verdana" w:hAnsi="Verdana"/>
                <w:sz w:val="16"/>
                <w:szCs w:val="16"/>
              </w:rPr>
              <w:t>Index</w:t>
            </w:r>
            <w:r w:rsidRPr="00B81A28">
              <w:rPr>
                <w:rFonts w:ascii="Verdana" w:hAnsi="Verdana"/>
                <w:sz w:val="16"/>
                <w:szCs w:val="16"/>
              </w:rPr>
              <w:t xml:space="preserve"> Fund</w:t>
            </w:r>
          </w:p>
        </w:tc>
        <w:tc>
          <w:tcPr>
            <w:tcW w:w="1606" w:type="dxa"/>
          </w:tcPr>
          <w:p w14:paraId="2C0668BE" w14:textId="6AD0CB05"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5,61%</w:t>
            </w:r>
          </w:p>
        </w:tc>
        <w:tc>
          <w:tcPr>
            <w:tcW w:w="1607" w:type="dxa"/>
          </w:tcPr>
          <w:p w14:paraId="0CED1CE4" w14:textId="6183E708"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(4,31%)</w:t>
            </w:r>
          </w:p>
        </w:tc>
        <w:tc>
          <w:tcPr>
            <w:tcW w:w="1606" w:type="dxa"/>
          </w:tcPr>
          <w:p w14:paraId="7F79FE76" w14:textId="393B9662"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(4,18%)</w:t>
            </w:r>
          </w:p>
        </w:tc>
        <w:tc>
          <w:tcPr>
            <w:tcW w:w="1607" w:type="dxa"/>
          </w:tcPr>
          <w:p w14:paraId="0623F872" w14:textId="34215A55"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9,77%</w:t>
            </w:r>
          </w:p>
        </w:tc>
        <w:tc>
          <w:tcPr>
            <w:tcW w:w="1606" w:type="dxa"/>
          </w:tcPr>
          <w:p w14:paraId="2CFEDF65" w14:textId="7AC65F1B"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5,12%</w:t>
            </w:r>
          </w:p>
        </w:tc>
        <w:tc>
          <w:tcPr>
            <w:tcW w:w="1607" w:type="dxa"/>
            <w:shd w:val="clear" w:color="auto" w:fill="auto"/>
          </w:tcPr>
          <w:p w14:paraId="48CCDF16" w14:textId="3C8AE01B"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11,53%</w:t>
            </w:r>
          </w:p>
        </w:tc>
      </w:tr>
      <w:tr w:rsidR="0022723F" w:rsidRPr="00B81A28" w14:paraId="3403003B" w14:textId="77777777" w:rsidTr="00365F35">
        <w:tc>
          <w:tcPr>
            <w:tcW w:w="5245" w:type="dxa"/>
          </w:tcPr>
          <w:p w14:paraId="20CF7C00"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Ashburton Low Beta SA Composite Tracker Fund</w:t>
            </w:r>
          </w:p>
        </w:tc>
        <w:tc>
          <w:tcPr>
            <w:tcW w:w="1606" w:type="dxa"/>
          </w:tcPr>
          <w:p w14:paraId="52D4D175" w14:textId="5AB47F12"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4,80%</w:t>
            </w:r>
          </w:p>
        </w:tc>
        <w:tc>
          <w:tcPr>
            <w:tcW w:w="1607" w:type="dxa"/>
          </w:tcPr>
          <w:p w14:paraId="49745DF4" w14:textId="23024E7C"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(6,55%)</w:t>
            </w:r>
          </w:p>
        </w:tc>
        <w:tc>
          <w:tcPr>
            <w:tcW w:w="1606" w:type="dxa"/>
          </w:tcPr>
          <w:p w14:paraId="10453B6D" w14:textId="169CD5ED"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(11,21%)</w:t>
            </w:r>
          </w:p>
        </w:tc>
        <w:tc>
          <w:tcPr>
            <w:tcW w:w="1607" w:type="dxa"/>
          </w:tcPr>
          <w:p w14:paraId="4B0579A6"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606" w:type="dxa"/>
          </w:tcPr>
          <w:p w14:paraId="2C189FDC"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47B98A7F"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4BBCFF8E" w14:textId="77777777" w:rsidTr="00365F35">
        <w:tc>
          <w:tcPr>
            <w:tcW w:w="5245" w:type="dxa"/>
          </w:tcPr>
          <w:p w14:paraId="722CA5F5"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Ashburton Enhanced Value SA Tracker Fund</w:t>
            </w:r>
          </w:p>
        </w:tc>
        <w:tc>
          <w:tcPr>
            <w:tcW w:w="1606" w:type="dxa"/>
          </w:tcPr>
          <w:p w14:paraId="35E78FA1" w14:textId="1EAEF8BB"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0,51%</w:t>
            </w:r>
          </w:p>
        </w:tc>
        <w:tc>
          <w:tcPr>
            <w:tcW w:w="1607" w:type="dxa"/>
          </w:tcPr>
          <w:p w14:paraId="0F7DF56C" w14:textId="4FC400A2"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(8,47%)</w:t>
            </w:r>
          </w:p>
        </w:tc>
        <w:tc>
          <w:tcPr>
            <w:tcW w:w="1606" w:type="dxa"/>
          </w:tcPr>
          <w:p w14:paraId="6E3CF338" w14:textId="55D4C736"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(9,41%)</w:t>
            </w:r>
          </w:p>
        </w:tc>
        <w:tc>
          <w:tcPr>
            <w:tcW w:w="1607" w:type="dxa"/>
          </w:tcPr>
          <w:p w14:paraId="334B9405"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606" w:type="dxa"/>
          </w:tcPr>
          <w:p w14:paraId="757A5436"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70FD97FF"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66440AE4" w14:textId="77777777" w:rsidTr="00365F35">
        <w:tc>
          <w:tcPr>
            <w:tcW w:w="5245" w:type="dxa"/>
          </w:tcPr>
          <w:p w14:paraId="2CA4D669"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Satrix Balanced Index Fund</w:t>
            </w:r>
          </w:p>
        </w:tc>
        <w:tc>
          <w:tcPr>
            <w:tcW w:w="1606" w:type="dxa"/>
          </w:tcPr>
          <w:p w14:paraId="4AC23C3B" w14:textId="68D51C52"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1,06%</w:t>
            </w:r>
          </w:p>
        </w:tc>
        <w:tc>
          <w:tcPr>
            <w:tcW w:w="1607" w:type="dxa"/>
          </w:tcPr>
          <w:p w14:paraId="188D8538" w14:textId="4948204E"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(2,74%)</w:t>
            </w:r>
          </w:p>
        </w:tc>
        <w:tc>
          <w:tcPr>
            <w:tcW w:w="1606" w:type="dxa"/>
          </w:tcPr>
          <w:p w14:paraId="083C6A66" w14:textId="10EE2E64"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(6,02%)</w:t>
            </w:r>
          </w:p>
        </w:tc>
        <w:tc>
          <w:tcPr>
            <w:tcW w:w="1607" w:type="dxa"/>
          </w:tcPr>
          <w:p w14:paraId="10CA6F40" w14:textId="04B9C902"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5,19%</w:t>
            </w:r>
          </w:p>
        </w:tc>
        <w:tc>
          <w:tcPr>
            <w:tcW w:w="1606" w:type="dxa"/>
          </w:tcPr>
          <w:p w14:paraId="411A9376" w14:textId="333C65F6"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6,37%</w:t>
            </w:r>
          </w:p>
        </w:tc>
        <w:tc>
          <w:tcPr>
            <w:tcW w:w="1607" w:type="dxa"/>
            <w:shd w:val="clear" w:color="auto" w:fill="auto"/>
          </w:tcPr>
          <w:p w14:paraId="3397EBF6"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7CDBBFA6" w14:textId="77777777" w:rsidTr="00365F35">
        <w:tc>
          <w:tcPr>
            <w:tcW w:w="5245" w:type="dxa"/>
          </w:tcPr>
          <w:p w14:paraId="5B62B474"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Satrix Low Equity Balanced Index Fund</w:t>
            </w:r>
          </w:p>
        </w:tc>
        <w:tc>
          <w:tcPr>
            <w:tcW w:w="1606" w:type="dxa"/>
          </w:tcPr>
          <w:p w14:paraId="74B1A7FE" w14:textId="764A4E47"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0,55%</w:t>
            </w:r>
          </w:p>
        </w:tc>
        <w:tc>
          <w:tcPr>
            <w:tcW w:w="1607" w:type="dxa"/>
          </w:tcPr>
          <w:p w14:paraId="5E86C404" w14:textId="743B5D60"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(1,52%)</w:t>
            </w:r>
          </w:p>
        </w:tc>
        <w:tc>
          <w:tcPr>
            <w:tcW w:w="1606" w:type="dxa"/>
          </w:tcPr>
          <w:p w14:paraId="731ABA52" w14:textId="754ABB33"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0,37%</w:t>
            </w:r>
          </w:p>
        </w:tc>
        <w:tc>
          <w:tcPr>
            <w:tcW w:w="1607" w:type="dxa"/>
          </w:tcPr>
          <w:p w14:paraId="636AD911" w14:textId="7ADD4DC7"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4,52%</w:t>
            </w:r>
          </w:p>
        </w:tc>
        <w:tc>
          <w:tcPr>
            <w:tcW w:w="1606" w:type="dxa"/>
          </w:tcPr>
          <w:p w14:paraId="151655FE"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14EDAB92"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235B75B1" w14:textId="77777777" w:rsidTr="00365F35">
        <w:tc>
          <w:tcPr>
            <w:tcW w:w="5245" w:type="dxa"/>
          </w:tcPr>
          <w:p w14:paraId="15544BAD"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Satrix Dividend Plus Index Fund</w:t>
            </w:r>
          </w:p>
        </w:tc>
        <w:tc>
          <w:tcPr>
            <w:tcW w:w="1606" w:type="dxa"/>
          </w:tcPr>
          <w:p w14:paraId="5DE7F5CD" w14:textId="6B357AD0"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4,49%</w:t>
            </w:r>
          </w:p>
        </w:tc>
        <w:tc>
          <w:tcPr>
            <w:tcW w:w="1607" w:type="dxa"/>
          </w:tcPr>
          <w:p w14:paraId="26CD9E07" w14:textId="02EA9FF6"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(1,05%)</w:t>
            </w:r>
          </w:p>
        </w:tc>
        <w:tc>
          <w:tcPr>
            <w:tcW w:w="1606" w:type="dxa"/>
          </w:tcPr>
          <w:p w14:paraId="3934433E" w14:textId="414D3194"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(2,62%)</w:t>
            </w:r>
          </w:p>
        </w:tc>
        <w:tc>
          <w:tcPr>
            <w:tcW w:w="1607" w:type="dxa"/>
          </w:tcPr>
          <w:p w14:paraId="25046D0E" w14:textId="17A93B4B"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14,99%</w:t>
            </w:r>
          </w:p>
        </w:tc>
        <w:tc>
          <w:tcPr>
            <w:tcW w:w="1606" w:type="dxa"/>
          </w:tcPr>
          <w:p w14:paraId="35D86929" w14:textId="55881118"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5,57%</w:t>
            </w:r>
          </w:p>
        </w:tc>
        <w:tc>
          <w:tcPr>
            <w:tcW w:w="1607" w:type="dxa"/>
            <w:shd w:val="clear" w:color="auto" w:fill="auto"/>
          </w:tcPr>
          <w:p w14:paraId="4A4710C7"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71F03310" w14:textId="77777777" w:rsidTr="00365F35">
        <w:tc>
          <w:tcPr>
            <w:tcW w:w="5245" w:type="dxa"/>
          </w:tcPr>
          <w:p w14:paraId="06BEC126"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Stanlib Sector Neutral Growth &amp; Quality Index Tracker Fund</w:t>
            </w:r>
          </w:p>
        </w:tc>
        <w:tc>
          <w:tcPr>
            <w:tcW w:w="1606" w:type="dxa"/>
          </w:tcPr>
          <w:p w14:paraId="5F048AF8" w14:textId="3EF3E65A"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1,30%</w:t>
            </w:r>
          </w:p>
        </w:tc>
        <w:tc>
          <w:tcPr>
            <w:tcW w:w="1607" w:type="dxa"/>
          </w:tcPr>
          <w:p w14:paraId="4C5446D3" w14:textId="2E97F672"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(6,89%)</w:t>
            </w:r>
          </w:p>
        </w:tc>
        <w:tc>
          <w:tcPr>
            <w:tcW w:w="1606" w:type="dxa"/>
          </w:tcPr>
          <w:p w14:paraId="582DFAB9" w14:textId="3582840B"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(13,34%)</w:t>
            </w:r>
          </w:p>
        </w:tc>
        <w:tc>
          <w:tcPr>
            <w:tcW w:w="1607" w:type="dxa"/>
          </w:tcPr>
          <w:p w14:paraId="76F85E86"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314F3A49"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477BC2E2"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r>
      <w:tr w:rsidR="0022723F" w:rsidRPr="00B81A28" w14:paraId="348CBC1D" w14:textId="77777777" w:rsidTr="00365F35">
        <w:tc>
          <w:tcPr>
            <w:tcW w:w="5245" w:type="dxa"/>
          </w:tcPr>
          <w:p w14:paraId="26E3DA49"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Stanlib Sector Neutral Momentum Index Tracker Fund</w:t>
            </w:r>
          </w:p>
        </w:tc>
        <w:tc>
          <w:tcPr>
            <w:tcW w:w="1606" w:type="dxa"/>
          </w:tcPr>
          <w:p w14:paraId="0E39E489" w14:textId="446A1215"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4,33%</w:t>
            </w:r>
          </w:p>
        </w:tc>
        <w:tc>
          <w:tcPr>
            <w:tcW w:w="1607" w:type="dxa"/>
          </w:tcPr>
          <w:p w14:paraId="5E011038" w14:textId="31FDD74F"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(2,97%)</w:t>
            </w:r>
          </w:p>
        </w:tc>
        <w:tc>
          <w:tcPr>
            <w:tcW w:w="1606" w:type="dxa"/>
          </w:tcPr>
          <w:p w14:paraId="69D813E0" w14:textId="28999F03"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(9,66%)</w:t>
            </w:r>
          </w:p>
        </w:tc>
        <w:tc>
          <w:tcPr>
            <w:tcW w:w="1607" w:type="dxa"/>
          </w:tcPr>
          <w:p w14:paraId="217F68EB"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2FE8D278"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11DF09EE"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r>
      <w:tr w:rsidR="0022723F" w:rsidRPr="00B81A28" w14:paraId="535564EE" w14:textId="77777777" w:rsidTr="00365F35">
        <w:tc>
          <w:tcPr>
            <w:tcW w:w="5245" w:type="dxa"/>
          </w:tcPr>
          <w:p w14:paraId="16197769"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Stanlib Sector Neutral Value Index Tracker Fund</w:t>
            </w:r>
          </w:p>
        </w:tc>
        <w:tc>
          <w:tcPr>
            <w:tcW w:w="1606" w:type="dxa"/>
          </w:tcPr>
          <w:p w14:paraId="6A06A692" w14:textId="519986EB"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3,18%</w:t>
            </w:r>
          </w:p>
        </w:tc>
        <w:tc>
          <w:tcPr>
            <w:tcW w:w="1607" w:type="dxa"/>
          </w:tcPr>
          <w:p w14:paraId="1C312E6B" w14:textId="356585A9"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(5,62%)</w:t>
            </w:r>
          </w:p>
        </w:tc>
        <w:tc>
          <w:tcPr>
            <w:tcW w:w="1606" w:type="dxa"/>
          </w:tcPr>
          <w:p w14:paraId="25CE909F" w14:textId="2FEEC567"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(6,28%)</w:t>
            </w:r>
          </w:p>
        </w:tc>
        <w:tc>
          <w:tcPr>
            <w:tcW w:w="1607" w:type="dxa"/>
          </w:tcPr>
          <w:p w14:paraId="008EDDC3"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03DE2596"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7C549141"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r>
      <w:tr w:rsidR="0022723F" w:rsidRPr="00B81A28" w14:paraId="11A737BE" w14:textId="77777777" w:rsidTr="00365F35">
        <w:tc>
          <w:tcPr>
            <w:tcW w:w="5245" w:type="dxa"/>
          </w:tcPr>
          <w:p w14:paraId="0E0DD1DC"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Sygnia Dividend Index Fund</w:t>
            </w:r>
          </w:p>
        </w:tc>
        <w:tc>
          <w:tcPr>
            <w:tcW w:w="1606" w:type="dxa"/>
          </w:tcPr>
          <w:p w14:paraId="43389EC4" w14:textId="60FE5488"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4,61%</w:t>
            </w:r>
          </w:p>
        </w:tc>
        <w:tc>
          <w:tcPr>
            <w:tcW w:w="1607" w:type="dxa"/>
          </w:tcPr>
          <w:p w14:paraId="6E2FA7BB" w14:textId="5494A5A7"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(0,93%)</w:t>
            </w:r>
          </w:p>
        </w:tc>
        <w:tc>
          <w:tcPr>
            <w:tcW w:w="1606" w:type="dxa"/>
          </w:tcPr>
          <w:p w14:paraId="3542ABAB" w14:textId="4F6D4C7D"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(2,29%)</w:t>
            </w:r>
          </w:p>
        </w:tc>
        <w:tc>
          <w:tcPr>
            <w:tcW w:w="1607" w:type="dxa"/>
          </w:tcPr>
          <w:p w14:paraId="59C086FA" w14:textId="5033F65A"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15,07%</w:t>
            </w:r>
          </w:p>
        </w:tc>
        <w:tc>
          <w:tcPr>
            <w:tcW w:w="1606" w:type="dxa"/>
          </w:tcPr>
          <w:p w14:paraId="4A070614" w14:textId="7FDE9139"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5,74%</w:t>
            </w:r>
          </w:p>
        </w:tc>
        <w:tc>
          <w:tcPr>
            <w:tcW w:w="1607" w:type="dxa"/>
            <w:shd w:val="clear" w:color="auto" w:fill="auto"/>
          </w:tcPr>
          <w:p w14:paraId="0A80FE44"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bl>
    <w:p w14:paraId="571240F9" w14:textId="77777777" w:rsidR="0022723F" w:rsidRDefault="0022723F" w:rsidP="0022723F">
      <w:pPr>
        <w:spacing w:after="160" w:line="259" w:lineRule="auto"/>
        <w:rPr>
          <w:rFonts w:ascii="Verdana" w:hAnsi="Verdana"/>
          <w:sz w:val="15"/>
          <w:szCs w:val="15"/>
        </w:rPr>
      </w:pPr>
      <w:r>
        <w:rPr>
          <w:rFonts w:ascii="Verdana" w:hAnsi="Verdana"/>
          <w:sz w:val="15"/>
          <w:szCs w:val="15"/>
        </w:rPr>
        <w:br w:type="page"/>
      </w:r>
    </w:p>
    <w:p w14:paraId="72537F33" w14:textId="77777777" w:rsidR="0022723F" w:rsidRPr="00B81A28" w:rsidRDefault="0022723F" w:rsidP="0022723F">
      <w:pPr>
        <w:spacing w:after="0" w:line="240" w:lineRule="auto"/>
        <w:rPr>
          <w:rFonts w:ascii="Verdana" w:hAnsi="Verdana"/>
          <w:sz w:val="15"/>
          <w:szCs w:val="15"/>
        </w:rPr>
      </w:pPr>
    </w:p>
    <w:p w14:paraId="0843B334" w14:textId="77777777" w:rsidR="0022723F" w:rsidRPr="00B81A28" w:rsidRDefault="0022723F" w:rsidP="0022723F">
      <w:pPr>
        <w:spacing w:after="0" w:line="240" w:lineRule="auto"/>
        <w:rPr>
          <w:rFonts w:ascii="Verdana" w:hAnsi="Verdana"/>
          <w:sz w:val="16"/>
          <w:szCs w:val="16"/>
        </w:rPr>
      </w:pPr>
      <w:r w:rsidRPr="00B81A28">
        <w:rPr>
          <w:rFonts w:ascii="Verdana" w:hAnsi="Verdana"/>
          <w:noProof/>
          <w:lang w:eastAsia="en-ZA"/>
        </w:rPr>
        <w:drawing>
          <wp:inline distT="0" distB="0" distL="0" distR="0" wp14:anchorId="3EABC99A" wp14:editId="5F61E033">
            <wp:extent cx="3057525" cy="642486"/>
            <wp:effectExtent l="0" t="0" r="0" b="5715"/>
            <wp:docPr id="18" name="Picture 1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22723F" w:rsidRPr="00B81A28" w14:paraId="3D43CC96" w14:textId="77777777" w:rsidTr="00365F35">
        <w:tc>
          <w:tcPr>
            <w:tcW w:w="14884" w:type="dxa"/>
            <w:gridSpan w:val="7"/>
            <w:shd w:val="clear" w:color="auto" w:fill="CB2229"/>
            <w:vAlign w:val="center"/>
          </w:tcPr>
          <w:p w14:paraId="283E861E" w14:textId="77777777" w:rsidR="0022723F" w:rsidRPr="00B81A28" w:rsidRDefault="0022723F" w:rsidP="00365F35">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01ABF788" w14:textId="77777777" w:rsidR="0022723F" w:rsidRPr="00B81A28" w:rsidRDefault="0022723F" w:rsidP="00365F35">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w:t>
            </w:r>
            <w:r w:rsidRPr="00B81A28">
              <w:rPr>
                <w:rFonts w:ascii="Verdana" w:hAnsi="Verdana"/>
                <w:b/>
                <w:color w:val="FFFFFF"/>
                <w:sz w:val="20"/>
                <w:szCs w:val="20"/>
              </w:rPr>
              <w:t xml:space="preserve"> 2018</w:t>
            </w:r>
            <w:r>
              <w:rPr>
                <w:rFonts w:ascii="Verdana" w:hAnsi="Verdana"/>
                <w:b/>
                <w:color w:val="FFFFFF"/>
                <w:sz w:val="20"/>
                <w:szCs w:val="20"/>
              </w:rPr>
              <w:t xml:space="preserve">   </w:t>
            </w:r>
            <w:r w:rsidRPr="00B81A28">
              <w:rPr>
                <w:rFonts w:ascii="Verdana" w:hAnsi="Verdana"/>
                <w:b/>
                <w:color w:val="FFFFFF"/>
                <w:sz w:val="20"/>
                <w:szCs w:val="20"/>
              </w:rPr>
              <w:t>(Total Returns – dividends reinvested)</w:t>
            </w:r>
          </w:p>
        </w:tc>
      </w:tr>
      <w:tr w:rsidR="0022723F" w:rsidRPr="00B81A28" w14:paraId="3A9421DF" w14:textId="77777777" w:rsidTr="00365F35">
        <w:tc>
          <w:tcPr>
            <w:tcW w:w="5245" w:type="dxa"/>
            <w:shd w:val="clear" w:color="auto" w:fill="4C4C4C"/>
          </w:tcPr>
          <w:p w14:paraId="6D0C6877" w14:textId="77777777" w:rsidR="0022723F" w:rsidRPr="0067766B" w:rsidRDefault="0022723F" w:rsidP="00365F35">
            <w:pPr>
              <w:spacing w:before="40" w:after="40" w:line="28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10108323" w14:textId="77777777" w:rsidR="0022723F" w:rsidRPr="00B81A28" w:rsidRDefault="0022723F" w:rsidP="00365F35">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64838A63" w14:textId="77777777" w:rsidR="0022723F" w:rsidRPr="00B81A28" w:rsidRDefault="0022723F" w:rsidP="00365F35">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2560EC68" w14:textId="77777777" w:rsidR="0022723F" w:rsidRPr="00B81A28" w:rsidRDefault="0022723F" w:rsidP="00365F35">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125A0F9A" w14:textId="77777777" w:rsidR="0022723F" w:rsidRPr="00B81A28" w:rsidRDefault="0022723F" w:rsidP="00365F35">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241534CE" w14:textId="77777777" w:rsidR="0022723F" w:rsidRPr="00B81A28" w:rsidRDefault="0022723F" w:rsidP="00365F35">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5C977C9B" w14:textId="77777777" w:rsidR="0022723F" w:rsidRPr="00B81A28" w:rsidRDefault="0022723F" w:rsidP="00365F35">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22723F" w:rsidRPr="00B81A28" w14:paraId="528B5C32" w14:textId="77777777" w:rsidTr="00365F35">
        <w:tc>
          <w:tcPr>
            <w:tcW w:w="14884" w:type="dxa"/>
            <w:gridSpan w:val="7"/>
            <w:shd w:val="clear" w:color="auto" w:fill="7583BD"/>
            <w:vAlign w:val="center"/>
          </w:tcPr>
          <w:p w14:paraId="5FE44080" w14:textId="77777777" w:rsidR="0022723F" w:rsidRPr="00FC742B" w:rsidRDefault="0022723F" w:rsidP="00365F35">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MSCI WORLD INDEX TRACKING UNIT TRUSTS (Total Return)</w:t>
            </w:r>
          </w:p>
        </w:tc>
      </w:tr>
      <w:tr w:rsidR="0022723F" w:rsidRPr="00BC54C5" w14:paraId="44158B90" w14:textId="77777777" w:rsidTr="00365F35">
        <w:tc>
          <w:tcPr>
            <w:tcW w:w="5245" w:type="dxa"/>
          </w:tcPr>
          <w:p w14:paraId="475CC101" w14:textId="77777777" w:rsidR="0022723F" w:rsidRPr="00BC54C5" w:rsidRDefault="0022723F" w:rsidP="00365F35">
            <w:pPr>
              <w:spacing w:before="40" w:after="40" w:line="280" w:lineRule="atLeast"/>
              <w:rPr>
                <w:rFonts w:ascii="Verdana" w:hAnsi="Verdana"/>
                <w:b/>
                <w:sz w:val="16"/>
                <w:szCs w:val="16"/>
              </w:rPr>
            </w:pPr>
            <w:r>
              <w:rPr>
                <w:rFonts w:ascii="Verdana" w:hAnsi="Verdana"/>
                <w:b/>
                <w:sz w:val="16"/>
                <w:szCs w:val="16"/>
              </w:rPr>
              <w:t>MSCI World Index (Rands)</w:t>
            </w:r>
          </w:p>
        </w:tc>
        <w:tc>
          <w:tcPr>
            <w:tcW w:w="1606" w:type="dxa"/>
          </w:tcPr>
          <w:p w14:paraId="4C653135" w14:textId="013990A1" w:rsidR="0022723F" w:rsidRPr="00BC54C5" w:rsidRDefault="00982637" w:rsidP="00365F35">
            <w:pPr>
              <w:tabs>
                <w:tab w:val="left" w:pos="1050"/>
              </w:tabs>
              <w:spacing w:before="40" w:after="40" w:line="280" w:lineRule="atLeast"/>
              <w:jc w:val="center"/>
              <w:rPr>
                <w:rFonts w:ascii="Verdana" w:hAnsi="Verdana"/>
                <w:b/>
                <w:sz w:val="16"/>
                <w:szCs w:val="16"/>
              </w:rPr>
            </w:pPr>
            <w:r>
              <w:rPr>
                <w:rFonts w:ascii="Verdana" w:hAnsi="Verdana"/>
                <w:b/>
                <w:sz w:val="16"/>
                <w:szCs w:val="16"/>
              </w:rPr>
              <w:t>(3,94%)</w:t>
            </w:r>
          </w:p>
        </w:tc>
        <w:tc>
          <w:tcPr>
            <w:tcW w:w="1607" w:type="dxa"/>
          </w:tcPr>
          <w:p w14:paraId="611DA308" w14:textId="09537106" w:rsidR="0022723F" w:rsidRPr="00BC54C5" w:rsidRDefault="00982637" w:rsidP="00365F35">
            <w:pPr>
              <w:spacing w:before="40" w:after="40" w:line="280" w:lineRule="atLeast"/>
              <w:jc w:val="center"/>
              <w:rPr>
                <w:rFonts w:ascii="Verdana" w:hAnsi="Verdana"/>
                <w:b/>
                <w:sz w:val="16"/>
                <w:szCs w:val="16"/>
              </w:rPr>
            </w:pPr>
            <w:r>
              <w:rPr>
                <w:rFonts w:ascii="Verdana" w:hAnsi="Verdana"/>
                <w:b/>
                <w:sz w:val="16"/>
                <w:szCs w:val="16"/>
              </w:rPr>
              <w:t>(12,37%)</w:t>
            </w:r>
          </w:p>
        </w:tc>
        <w:tc>
          <w:tcPr>
            <w:tcW w:w="1606" w:type="dxa"/>
          </w:tcPr>
          <w:p w14:paraId="49044F82" w14:textId="78D70250" w:rsidR="0022723F" w:rsidRPr="00BC54C5" w:rsidRDefault="00982637" w:rsidP="00365F35">
            <w:pPr>
              <w:spacing w:before="40" w:after="40" w:line="280" w:lineRule="atLeast"/>
              <w:jc w:val="center"/>
              <w:rPr>
                <w:rFonts w:ascii="Verdana" w:hAnsi="Verdana"/>
                <w:b/>
                <w:sz w:val="16"/>
                <w:szCs w:val="16"/>
              </w:rPr>
            </w:pPr>
            <w:r>
              <w:rPr>
                <w:rFonts w:ascii="Verdana" w:hAnsi="Verdana"/>
                <w:b/>
                <w:sz w:val="16"/>
                <w:szCs w:val="16"/>
              </w:rPr>
              <w:t>4,13%</w:t>
            </w:r>
          </w:p>
        </w:tc>
        <w:tc>
          <w:tcPr>
            <w:tcW w:w="1607" w:type="dxa"/>
          </w:tcPr>
          <w:p w14:paraId="456B13C1" w14:textId="72834B9A" w:rsidR="0022723F" w:rsidRPr="00BC54C5" w:rsidRDefault="00982637" w:rsidP="00365F35">
            <w:pPr>
              <w:spacing w:before="40" w:after="40" w:line="280" w:lineRule="atLeast"/>
              <w:jc w:val="center"/>
              <w:rPr>
                <w:rFonts w:ascii="Verdana" w:hAnsi="Verdana"/>
                <w:b/>
                <w:sz w:val="16"/>
                <w:szCs w:val="16"/>
              </w:rPr>
            </w:pPr>
            <w:r>
              <w:rPr>
                <w:rFonts w:ascii="Verdana" w:hAnsi="Verdana"/>
                <w:b/>
                <w:sz w:val="16"/>
                <w:szCs w:val="16"/>
              </w:rPr>
              <w:t>1,38%</w:t>
            </w:r>
          </w:p>
        </w:tc>
        <w:tc>
          <w:tcPr>
            <w:tcW w:w="1606" w:type="dxa"/>
          </w:tcPr>
          <w:p w14:paraId="37E1B1AC" w14:textId="31AC3CEA" w:rsidR="0022723F" w:rsidRPr="00BC54C5" w:rsidRDefault="00982637" w:rsidP="00365F35">
            <w:pPr>
              <w:spacing w:before="40" w:after="40" w:line="280" w:lineRule="atLeast"/>
              <w:jc w:val="center"/>
              <w:rPr>
                <w:rFonts w:ascii="Verdana" w:hAnsi="Verdana"/>
                <w:b/>
                <w:sz w:val="16"/>
                <w:szCs w:val="16"/>
              </w:rPr>
            </w:pPr>
            <w:r>
              <w:rPr>
                <w:rFonts w:ascii="Verdana" w:hAnsi="Verdana"/>
                <w:b/>
                <w:sz w:val="16"/>
                <w:szCs w:val="16"/>
              </w:rPr>
              <w:t>9,51%</w:t>
            </w:r>
          </w:p>
        </w:tc>
        <w:tc>
          <w:tcPr>
            <w:tcW w:w="1607" w:type="dxa"/>
            <w:shd w:val="clear" w:color="auto" w:fill="auto"/>
          </w:tcPr>
          <w:p w14:paraId="6869F62A" w14:textId="13C68F3B" w:rsidR="0022723F" w:rsidRPr="00BC54C5" w:rsidRDefault="00982637" w:rsidP="00365F35">
            <w:pPr>
              <w:spacing w:before="40" w:after="40" w:line="280" w:lineRule="atLeast"/>
              <w:jc w:val="center"/>
              <w:rPr>
                <w:rFonts w:ascii="Verdana" w:hAnsi="Verdana"/>
                <w:b/>
                <w:sz w:val="16"/>
                <w:szCs w:val="16"/>
              </w:rPr>
            </w:pPr>
            <w:r>
              <w:rPr>
                <w:rFonts w:ascii="Verdana" w:hAnsi="Verdana"/>
                <w:b/>
                <w:sz w:val="16"/>
                <w:szCs w:val="16"/>
              </w:rPr>
              <w:t>12,24%</w:t>
            </w:r>
          </w:p>
        </w:tc>
      </w:tr>
      <w:tr w:rsidR="0022723F" w:rsidRPr="00B81A28" w14:paraId="41E1BE4D" w14:textId="77777777" w:rsidTr="00365F35">
        <w:tc>
          <w:tcPr>
            <w:tcW w:w="5245" w:type="dxa"/>
          </w:tcPr>
          <w:p w14:paraId="0997F925"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 xml:space="preserve">Old Mutual </w:t>
            </w:r>
            <w:r>
              <w:rPr>
                <w:rFonts w:ascii="Verdana" w:hAnsi="Verdana"/>
                <w:sz w:val="16"/>
                <w:szCs w:val="16"/>
              </w:rPr>
              <w:t>FTSE</w:t>
            </w:r>
            <w:r w:rsidRPr="00B81A28">
              <w:rPr>
                <w:rFonts w:ascii="Verdana" w:hAnsi="Verdana"/>
                <w:sz w:val="16"/>
                <w:szCs w:val="16"/>
              </w:rPr>
              <w:t xml:space="preserve"> RAFI </w:t>
            </w:r>
            <w:r>
              <w:rPr>
                <w:rFonts w:ascii="Verdana" w:hAnsi="Verdana"/>
                <w:sz w:val="16"/>
                <w:szCs w:val="16"/>
              </w:rPr>
              <w:t xml:space="preserve">All World </w:t>
            </w:r>
            <w:r w:rsidRPr="00B81A28">
              <w:rPr>
                <w:rFonts w:ascii="Verdana" w:hAnsi="Verdana"/>
                <w:sz w:val="16"/>
                <w:szCs w:val="16"/>
              </w:rPr>
              <w:t>Index Fund</w:t>
            </w:r>
          </w:p>
        </w:tc>
        <w:tc>
          <w:tcPr>
            <w:tcW w:w="1606" w:type="dxa"/>
          </w:tcPr>
          <w:p w14:paraId="263DAE26" w14:textId="1EA820A2"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(3,62%)</w:t>
            </w:r>
          </w:p>
        </w:tc>
        <w:tc>
          <w:tcPr>
            <w:tcW w:w="1607" w:type="dxa"/>
          </w:tcPr>
          <w:p w14:paraId="274EBA01" w14:textId="105399B2"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(12,97%)</w:t>
            </w:r>
          </w:p>
        </w:tc>
        <w:tc>
          <w:tcPr>
            <w:tcW w:w="1606" w:type="dxa"/>
          </w:tcPr>
          <w:p w14:paraId="124275CF" w14:textId="2B3B7AAC"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0,28%</w:t>
            </w:r>
          </w:p>
        </w:tc>
        <w:tc>
          <w:tcPr>
            <w:tcW w:w="1607" w:type="dxa"/>
          </w:tcPr>
          <w:p w14:paraId="1AAE3794" w14:textId="5DC1A523"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1,83%</w:t>
            </w:r>
          </w:p>
        </w:tc>
        <w:tc>
          <w:tcPr>
            <w:tcW w:w="1606" w:type="dxa"/>
          </w:tcPr>
          <w:p w14:paraId="2896F724" w14:textId="27E76206"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8,22%</w:t>
            </w:r>
          </w:p>
        </w:tc>
        <w:tc>
          <w:tcPr>
            <w:tcW w:w="1607" w:type="dxa"/>
            <w:shd w:val="clear" w:color="auto" w:fill="auto"/>
          </w:tcPr>
          <w:p w14:paraId="4293F9C4"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45644B8C" w14:textId="77777777" w:rsidTr="00365F35">
        <w:tc>
          <w:tcPr>
            <w:tcW w:w="5245" w:type="dxa"/>
          </w:tcPr>
          <w:p w14:paraId="0C4E719C" w14:textId="77777777" w:rsidR="0022723F" w:rsidRPr="00B81A28" w:rsidRDefault="0022723F" w:rsidP="00365F35">
            <w:pPr>
              <w:spacing w:before="40" w:after="40" w:line="280" w:lineRule="atLeast"/>
              <w:rPr>
                <w:rFonts w:ascii="Verdana" w:hAnsi="Verdana"/>
                <w:sz w:val="16"/>
                <w:szCs w:val="16"/>
              </w:rPr>
            </w:pPr>
            <w:r w:rsidRPr="00B81A28">
              <w:rPr>
                <w:rFonts w:ascii="Verdana" w:hAnsi="Verdana"/>
                <w:sz w:val="16"/>
                <w:szCs w:val="16"/>
              </w:rPr>
              <w:t>Satrix MSCI World Equity Index Feeder Fund</w:t>
            </w:r>
          </w:p>
        </w:tc>
        <w:tc>
          <w:tcPr>
            <w:tcW w:w="1606" w:type="dxa"/>
          </w:tcPr>
          <w:p w14:paraId="386914C9" w14:textId="4A0F5399"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(4,46%)</w:t>
            </w:r>
          </w:p>
        </w:tc>
        <w:tc>
          <w:tcPr>
            <w:tcW w:w="1607" w:type="dxa"/>
          </w:tcPr>
          <w:p w14:paraId="324F35D1" w14:textId="3D1F597F"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(12,54%)</w:t>
            </w:r>
          </w:p>
        </w:tc>
        <w:tc>
          <w:tcPr>
            <w:tcW w:w="1606" w:type="dxa"/>
          </w:tcPr>
          <w:p w14:paraId="23D061C1" w14:textId="117C955C"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4,45%</w:t>
            </w:r>
          </w:p>
        </w:tc>
        <w:tc>
          <w:tcPr>
            <w:tcW w:w="1607" w:type="dxa"/>
          </w:tcPr>
          <w:p w14:paraId="0C42DFE4" w14:textId="6FB1F3C2"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2,46%</w:t>
            </w:r>
          </w:p>
        </w:tc>
        <w:tc>
          <w:tcPr>
            <w:tcW w:w="1606" w:type="dxa"/>
          </w:tcPr>
          <w:p w14:paraId="7C93D8D5" w14:textId="41B9A8FE"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10,28%</w:t>
            </w:r>
          </w:p>
        </w:tc>
        <w:tc>
          <w:tcPr>
            <w:tcW w:w="1607" w:type="dxa"/>
            <w:shd w:val="clear" w:color="auto" w:fill="auto"/>
          </w:tcPr>
          <w:p w14:paraId="4EF26D9F" w14:textId="77777777" w:rsidR="0022723F" w:rsidRPr="00B81A28" w:rsidRDefault="0022723F" w:rsidP="00365F35">
            <w:pPr>
              <w:spacing w:before="40" w:after="40" w:line="280" w:lineRule="atLeast"/>
              <w:jc w:val="center"/>
              <w:rPr>
                <w:rFonts w:ascii="Verdana" w:hAnsi="Verdana"/>
                <w:sz w:val="16"/>
                <w:szCs w:val="16"/>
              </w:rPr>
            </w:pPr>
            <w:r w:rsidRPr="00B81A28">
              <w:rPr>
                <w:rFonts w:ascii="Verdana" w:hAnsi="Verdana"/>
                <w:sz w:val="16"/>
                <w:szCs w:val="16"/>
              </w:rPr>
              <w:t>-</w:t>
            </w:r>
          </w:p>
        </w:tc>
      </w:tr>
      <w:tr w:rsidR="0022723F" w:rsidRPr="00B81A28" w14:paraId="346C164F" w14:textId="77777777" w:rsidTr="00365F35">
        <w:tc>
          <w:tcPr>
            <w:tcW w:w="5245" w:type="dxa"/>
          </w:tcPr>
          <w:p w14:paraId="33B30B15"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Stanlib S&amp;P Index Feeder Fund</w:t>
            </w:r>
          </w:p>
        </w:tc>
        <w:tc>
          <w:tcPr>
            <w:tcW w:w="1606" w:type="dxa"/>
          </w:tcPr>
          <w:p w14:paraId="76BCFA92" w14:textId="5D7462F9"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(5,12%)</w:t>
            </w:r>
          </w:p>
        </w:tc>
        <w:tc>
          <w:tcPr>
            <w:tcW w:w="1607" w:type="dxa"/>
          </w:tcPr>
          <w:p w14:paraId="4AE599FD" w14:textId="6E7556B8"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(12,21%)</w:t>
            </w:r>
          </w:p>
        </w:tc>
        <w:tc>
          <w:tcPr>
            <w:tcW w:w="1606" w:type="dxa"/>
          </w:tcPr>
          <w:p w14:paraId="65516EED"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7" w:type="dxa"/>
          </w:tcPr>
          <w:p w14:paraId="00196925"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69E36B42"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5496B35F"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r>
      <w:tr w:rsidR="0022723F" w:rsidRPr="00B81A28" w14:paraId="543C8EC5" w14:textId="77777777" w:rsidTr="00365F35">
        <w:tc>
          <w:tcPr>
            <w:tcW w:w="5245" w:type="dxa"/>
          </w:tcPr>
          <w:p w14:paraId="31A0A386"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Stanlib S&amp;P Info Tech Feeder Fund</w:t>
            </w:r>
          </w:p>
        </w:tc>
        <w:tc>
          <w:tcPr>
            <w:tcW w:w="1606" w:type="dxa"/>
          </w:tcPr>
          <w:p w14:paraId="7AAE28D0" w14:textId="7AD166FA"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4,73%</w:t>
            </w:r>
          </w:p>
        </w:tc>
        <w:tc>
          <w:tcPr>
            <w:tcW w:w="1607" w:type="dxa"/>
          </w:tcPr>
          <w:p w14:paraId="0660AB4D" w14:textId="2B8DF4F4"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(15,80%)</w:t>
            </w:r>
          </w:p>
        </w:tc>
        <w:tc>
          <w:tcPr>
            <w:tcW w:w="1606" w:type="dxa"/>
          </w:tcPr>
          <w:p w14:paraId="459866A3"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7" w:type="dxa"/>
          </w:tcPr>
          <w:p w14:paraId="02A667DD"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44EB4B4C"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11B47D6E"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r>
      <w:tr w:rsidR="0022723F" w:rsidRPr="00B81A28" w14:paraId="50E556F1" w14:textId="77777777" w:rsidTr="00365F35">
        <w:tc>
          <w:tcPr>
            <w:tcW w:w="5245" w:type="dxa"/>
          </w:tcPr>
          <w:p w14:paraId="323E030B" w14:textId="77777777" w:rsidR="0022723F" w:rsidRPr="00B81A28" w:rsidRDefault="0022723F" w:rsidP="00365F35">
            <w:pPr>
              <w:spacing w:before="40" w:after="40" w:line="280" w:lineRule="atLeast"/>
              <w:rPr>
                <w:rFonts w:ascii="Verdana" w:hAnsi="Verdana"/>
                <w:sz w:val="16"/>
                <w:szCs w:val="16"/>
              </w:rPr>
            </w:pPr>
            <w:r>
              <w:rPr>
                <w:rFonts w:ascii="Verdana" w:hAnsi="Verdana"/>
                <w:sz w:val="16"/>
                <w:szCs w:val="16"/>
              </w:rPr>
              <w:t>Stanlib MSCI World Index Feeder Fund</w:t>
            </w:r>
          </w:p>
        </w:tc>
        <w:tc>
          <w:tcPr>
            <w:tcW w:w="1606" w:type="dxa"/>
          </w:tcPr>
          <w:p w14:paraId="100790EB" w14:textId="11FDAAF7" w:rsidR="0022723F" w:rsidRPr="00B81A28" w:rsidRDefault="00982637" w:rsidP="00365F35">
            <w:pPr>
              <w:tabs>
                <w:tab w:val="left" w:pos="1050"/>
              </w:tabs>
              <w:spacing w:before="40" w:after="40" w:line="280" w:lineRule="atLeast"/>
              <w:jc w:val="center"/>
              <w:rPr>
                <w:rFonts w:ascii="Verdana" w:hAnsi="Verdana"/>
                <w:sz w:val="16"/>
                <w:szCs w:val="16"/>
              </w:rPr>
            </w:pPr>
            <w:r>
              <w:rPr>
                <w:rFonts w:ascii="Verdana" w:hAnsi="Verdana"/>
                <w:sz w:val="16"/>
                <w:szCs w:val="16"/>
              </w:rPr>
              <w:t>(3,74%)</w:t>
            </w:r>
          </w:p>
        </w:tc>
        <w:tc>
          <w:tcPr>
            <w:tcW w:w="1607" w:type="dxa"/>
          </w:tcPr>
          <w:p w14:paraId="0D4F4BA2" w14:textId="27E44209" w:rsidR="0022723F" w:rsidRPr="00B81A28" w:rsidRDefault="00982637" w:rsidP="00365F35">
            <w:pPr>
              <w:spacing w:before="40" w:after="40" w:line="280" w:lineRule="atLeast"/>
              <w:jc w:val="center"/>
              <w:rPr>
                <w:rFonts w:ascii="Verdana" w:hAnsi="Verdana"/>
                <w:sz w:val="16"/>
                <w:szCs w:val="16"/>
              </w:rPr>
            </w:pPr>
            <w:r>
              <w:rPr>
                <w:rFonts w:ascii="Verdana" w:hAnsi="Verdana"/>
                <w:sz w:val="16"/>
                <w:szCs w:val="16"/>
              </w:rPr>
              <w:t>(12,09%)</w:t>
            </w:r>
          </w:p>
        </w:tc>
        <w:tc>
          <w:tcPr>
            <w:tcW w:w="1606" w:type="dxa"/>
          </w:tcPr>
          <w:p w14:paraId="36154B89"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7" w:type="dxa"/>
          </w:tcPr>
          <w:p w14:paraId="69FF9DC2"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6" w:type="dxa"/>
          </w:tcPr>
          <w:p w14:paraId="0E541743"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4B0D1B83" w14:textId="77777777" w:rsidR="0022723F" w:rsidRPr="00B81A28" w:rsidRDefault="0022723F" w:rsidP="00365F35">
            <w:pPr>
              <w:spacing w:before="40" w:after="40" w:line="280" w:lineRule="atLeast"/>
              <w:jc w:val="center"/>
              <w:rPr>
                <w:rFonts w:ascii="Verdana" w:hAnsi="Verdana"/>
                <w:sz w:val="16"/>
                <w:szCs w:val="16"/>
              </w:rPr>
            </w:pPr>
            <w:r>
              <w:rPr>
                <w:rFonts w:ascii="Verdana" w:hAnsi="Verdana"/>
                <w:sz w:val="16"/>
                <w:szCs w:val="16"/>
              </w:rPr>
              <w:t>-</w:t>
            </w:r>
          </w:p>
        </w:tc>
      </w:tr>
      <w:tr w:rsidR="0022723F" w:rsidRPr="00B81A28" w14:paraId="3FD046FB" w14:textId="77777777" w:rsidTr="00365F35">
        <w:tc>
          <w:tcPr>
            <w:tcW w:w="14884" w:type="dxa"/>
            <w:gridSpan w:val="7"/>
            <w:vAlign w:val="center"/>
          </w:tcPr>
          <w:p w14:paraId="09453A0A" w14:textId="58C12DFA" w:rsidR="0022723F" w:rsidRPr="00B81A28" w:rsidRDefault="0022723F" w:rsidP="00365F35">
            <w:pPr>
              <w:spacing w:before="20" w:after="20" w:line="260" w:lineRule="atLeast"/>
              <w:rPr>
                <w:rFonts w:ascii="Verdana" w:hAnsi="Verdana"/>
                <w:sz w:val="16"/>
                <w:szCs w:val="16"/>
              </w:rPr>
            </w:pPr>
            <w:r w:rsidRPr="00FC742B">
              <w:rPr>
                <w:rFonts w:ascii="Verdana" w:hAnsi="Verdana"/>
                <w:i/>
                <w:sz w:val="15"/>
                <w:szCs w:val="15"/>
              </w:rPr>
              <w:t xml:space="preserve">Source: etfSA.co.za / Profile Media – </w:t>
            </w:r>
            <w:r w:rsidR="00090B72">
              <w:rPr>
                <w:rFonts w:ascii="Verdana" w:hAnsi="Verdana"/>
                <w:i/>
                <w:sz w:val="15"/>
                <w:szCs w:val="15"/>
              </w:rPr>
              <w:t>Share</w:t>
            </w:r>
            <w:r w:rsidRPr="00FC742B">
              <w:rPr>
                <w:rFonts w:ascii="Verdana" w:hAnsi="Verdana"/>
                <w:i/>
                <w:sz w:val="15"/>
                <w:szCs w:val="15"/>
              </w:rPr>
              <w:t xml:space="preserve"> Data (</w:t>
            </w:r>
            <w:r>
              <w:rPr>
                <w:rFonts w:ascii="Verdana" w:hAnsi="Verdana"/>
                <w:i/>
                <w:sz w:val="15"/>
                <w:szCs w:val="15"/>
              </w:rPr>
              <w:t>31</w:t>
            </w:r>
            <w:r w:rsidRPr="00FC742B">
              <w:rPr>
                <w:rFonts w:ascii="Verdana" w:hAnsi="Verdana"/>
                <w:i/>
                <w:sz w:val="15"/>
                <w:szCs w:val="15"/>
              </w:rPr>
              <w:t>/</w:t>
            </w:r>
            <w:r>
              <w:rPr>
                <w:rFonts w:ascii="Verdana" w:hAnsi="Verdana"/>
                <w:i/>
                <w:sz w:val="15"/>
                <w:szCs w:val="15"/>
              </w:rPr>
              <w:t>12</w:t>
            </w:r>
            <w:r w:rsidRPr="00FC742B">
              <w:rPr>
                <w:rFonts w:ascii="Verdana" w:hAnsi="Verdana"/>
                <w:i/>
                <w:sz w:val="15"/>
                <w:szCs w:val="15"/>
              </w:rPr>
              <w:t>/2018)</w:t>
            </w:r>
          </w:p>
        </w:tc>
      </w:tr>
    </w:tbl>
    <w:p w14:paraId="343FF19D" w14:textId="77777777" w:rsidR="0022723F" w:rsidRDefault="0022723F" w:rsidP="0022723F">
      <w:pPr>
        <w:pStyle w:val="BodyText2"/>
        <w:spacing w:after="0" w:line="240" w:lineRule="auto"/>
        <w:rPr>
          <w:rFonts w:ascii="Verdana" w:hAnsi="Verdana"/>
          <w:sz w:val="15"/>
          <w:szCs w:val="15"/>
        </w:rPr>
      </w:pPr>
    </w:p>
    <w:p w14:paraId="1424D321" w14:textId="77777777" w:rsidR="0022723F" w:rsidRDefault="0022723F" w:rsidP="0022723F">
      <w:pPr>
        <w:pStyle w:val="BodyText2"/>
        <w:spacing w:after="0" w:line="240" w:lineRule="auto"/>
        <w:rPr>
          <w:rFonts w:ascii="Verdana" w:hAnsi="Verdana"/>
          <w:sz w:val="15"/>
          <w:szCs w:val="15"/>
        </w:rPr>
      </w:pPr>
    </w:p>
    <w:p w14:paraId="63C44A37" w14:textId="77777777" w:rsidR="0022723F" w:rsidRDefault="0022723F" w:rsidP="0022723F">
      <w:pPr>
        <w:pStyle w:val="BodyText2"/>
        <w:spacing w:after="0" w:line="240" w:lineRule="auto"/>
        <w:rPr>
          <w:rFonts w:ascii="Verdana" w:hAnsi="Verdana"/>
          <w:sz w:val="15"/>
          <w:szCs w:val="15"/>
        </w:rPr>
      </w:pPr>
    </w:p>
    <w:p w14:paraId="7C6006C7" w14:textId="77777777" w:rsidR="0022723F" w:rsidRDefault="0022723F" w:rsidP="0022723F">
      <w:pPr>
        <w:pStyle w:val="BodyText2"/>
        <w:spacing w:after="0" w:line="240" w:lineRule="auto"/>
        <w:rPr>
          <w:rFonts w:ascii="Verdana" w:hAnsi="Verdana"/>
          <w:sz w:val="15"/>
          <w:szCs w:val="15"/>
        </w:rPr>
      </w:pPr>
    </w:p>
    <w:p w14:paraId="0AF10897" w14:textId="77777777" w:rsidR="0022723F" w:rsidRDefault="0022723F" w:rsidP="0022723F">
      <w:pPr>
        <w:pStyle w:val="BodyText2"/>
        <w:spacing w:after="0" w:line="240" w:lineRule="auto"/>
        <w:rPr>
          <w:rFonts w:ascii="Verdana" w:hAnsi="Verdana"/>
          <w:sz w:val="15"/>
          <w:szCs w:val="15"/>
        </w:rPr>
      </w:pPr>
    </w:p>
    <w:p w14:paraId="5BE34BEA" w14:textId="77777777" w:rsidR="0022723F" w:rsidRDefault="0022723F" w:rsidP="0022723F">
      <w:pPr>
        <w:pStyle w:val="BodyText2"/>
        <w:spacing w:after="0" w:line="240" w:lineRule="auto"/>
        <w:rPr>
          <w:rFonts w:ascii="Verdana" w:hAnsi="Verdana"/>
          <w:sz w:val="15"/>
          <w:szCs w:val="15"/>
        </w:rPr>
      </w:pPr>
    </w:p>
    <w:p w14:paraId="39E43FA7" w14:textId="77777777" w:rsidR="0022723F" w:rsidRDefault="0022723F" w:rsidP="0022723F">
      <w:pPr>
        <w:pStyle w:val="BodyText2"/>
        <w:spacing w:after="0" w:line="240" w:lineRule="auto"/>
        <w:rPr>
          <w:rFonts w:ascii="Verdana" w:hAnsi="Verdana"/>
          <w:sz w:val="15"/>
          <w:szCs w:val="15"/>
        </w:rPr>
      </w:pPr>
    </w:p>
    <w:p w14:paraId="046AB5E0" w14:textId="77777777" w:rsidR="0022723F" w:rsidRDefault="0022723F" w:rsidP="0022723F">
      <w:pPr>
        <w:pStyle w:val="BodyText2"/>
        <w:spacing w:after="0" w:line="240" w:lineRule="auto"/>
        <w:rPr>
          <w:rFonts w:ascii="Verdana" w:hAnsi="Verdana"/>
          <w:sz w:val="15"/>
          <w:szCs w:val="15"/>
        </w:rPr>
      </w:pPr>
    </w:p>
    <w:p w14:paraId="0CCFFB70" w14:textId="77777777" w:rsidR="0022723F" w:rsidRDefault="0022723F" w:rsidP="0022723F">
      <w:pPr>
        <w:pStyle w:val="BodyText2"/>
        <w:spacing w:after="0" w:line="240" w:lineRule="auto"/>
        <w:rPr>
          <w:rFonts w:ascii="Verdana" w:hAnsi="Verdana"/>
          <w:sz w:val="15"/>
          <w:szCs w:val="15"/>
        </w:rPr>
      </w:pPr>
    </w:p>
    <w:p w14:paraId="21EDBFD8" w14:textId="77777777" w:rsidR="0022723F" w:rsidRDefault="0022723F" w:rsidP="0022723F">
      <w:pPr>
        <w:pStyle w:val="BodyText2"/>
        <w:spacing w:after="0" w:line="240" w:lineRule="auto"/>
        <w:rPr>
          <w:rFonts w:ascii="Verdana" w:hAnsi="Verdana"/>
          <w:sz w:val="15"/>
          <w:szCs w:val="15"/>
        </w:rPr>
      </w:pPr>
    </w:p>
    <w:p w14:paraId="38E5983D" w14:textId="77777777" w:rsidR="0022723F" w:rsidRDefault="0022723F" w:rsidP="0022723F">
      <w:pPr>
        <w:pStyle w:val="BodyText2"/>
        <w:spacing w:after="0" w:line="240" w:lineRule="auto"/>
        <w:rPr>
          <w:rFonts w:ascii="Verdana" w:hAnsi="Verdana"/>
          <w:sz w:val="15"/>
          <w:szCs w:val="15"/>
        </w:rPr>
      </w:pPr>
    </w:p>
    <w:p w14:paraId="5B0E1CAC" w14:textId="77777777" w:rsidR="0022723F" w:rsidRDefault="0022723F" w:rsidP="0022723F">
      <w:pPr>
        <w:pStyle w:val="BodyText2"/>
        <w:spacing w:after="0" w:line="240" w:lineRule="auto"/>
        <w:rPr>
          <w:rFonts w:ascii="Verdana" w:hAnsi="Verdana"/>
          <w:sz w:val="15"/>
          <w:szCs w:val="15"/>
        </w:rPr>
      </w:pPr>
    </w:p>
    <w:p w14:paraId="476EDB62" w14:textId="77777777" w:rsidR="0022723F" w:rsidRDefault="0022723F" w:rsidP="0022723F">
      <w:pPr>
        <w:pStyle w:val="BodyText2"/>
        <w:spacing w:after="0" w:line="240" w:lineRule="auto"/>
        <w:rPr>
          <w:rFonts w:ascii="Verdana" w:hAnsi="Verdana"/>
          <w:sz w:val="15"/>
          <w:szCs w:val="15"/>
        </w:rPr>
      </w:pPr>
    </w:p>
    <w:p w14:paraId="02E323D5" w14:textId="77777777" w:rsidR="0022723F" w:rsidRDefault="0022723F" w:rsidP="0022723F">
      <w:pPr>
        <w:pStyle w:val="BodyText2"/>
        <w:spacing w:after="0" w:line="240" w:lineRule="auto"/>
        <w:rPr>
          <w:rFonts w:ascii="Verdana" w:hAnsi="Verdana"/>
          <w:sz w:val="15"/>
          <w:szCs w:val="15"/>
        </w:rPr>
      </w:pPr>
    </w:p>
    <w:p w14:paraId="5EE26510" w14:textId="77777777" w:rsidR="0022723F" w:rsidRPr="00B81A28" w:rsidRDefault="0022723F" w:rsidP="0022723F">
      <w:pPr>
        <w:pStyle w:val="BodyText2"/>
        <w:spacing w:after="0" w:line="240" w:lineRule="auto"/>
        <w:rPr>
          <w:rFonts w:ascii="Verdana" w:hAnsi="Verdana"/>
          <w:sz w:val="15"/>
          <w:szCs w:val="15"/>
        </w:rPr>
      </w:pPr>
    </w:p>
    <w:p w14:paraId="2E4C09FB" w14:textId="77777777" w:rsidR="0022723F" w:rsidRPr="0015061A" w:rsidRDefault="0022723F" w:rsidP="0022723F">
      <w:pPr>
        <w:pBdr>
          <w:top w:val="single" w:sz="4" w:space="1" w:color="auto"/>
        </w:pBdr>
        <w:spacing w:after="0" w:line="240" w:lineRule="auto"/>
        <w:ind w:right="567"/>
        <w:rPr>
          <w:rFonts w:ascii="Verdana" w:hAnsi="Verdana"/>
          <w:sz w:val="14"/>
          <w:szCs w:val="14"/>
          <w:lang w:eastAsia="en-ZA"/>
        </w:rPr>
      </w:pPr>
      <w:r w:rsidRPr="0015061A">
        <w:rPr>
          <w:rFonts w:ascii="Verdana" w:hAnsi="Verdana"/>
          <w:b/>
          <w:i/>
          <w:color w:val="0F0D35"/>
          <w:sz w:val="14"/>
          <w:szCs w:val="14"/>
        </w:rPr>
        <w:t xml:space="preserve">Disclaimer: </w:t>
      </w:r>
      <w:r w:rsidRPr="0015061A">
        <w:rPr>
          <w:rFonts w:ascii="Verdana" w:hAnsi="Verdana"/>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627B3A2" w14:textId="77777777" w:rsidR="0022723F" w:rsidRPr="0015061A" w:rsidRDefault="0022723F" w:rsidP="0022723F">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2C231256" w14:textId="77777777" w:rsidR="0022723F" w:rsidRPr="0015061A" w:rsidRDefault="0022723F" w:rsidP="0022723F">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588347D4" w14:textId="77777777" w:rsidR="0022723F" w:rsidRPr="0015061A" w:rsidRDefault="0022723F" w:rsidP="0022723F">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3F678102" w14:textId="77777777" w:rsidR="0022723F" w:rsidRPr="0015061A" w:rsidRDefault="0022723F" w:rsidP="0022723F">
      <w:pPr>
        <w:pBdr>
          <w:bottom w:val="single" w:sz="4" w:space="1" w:color="auto"/>
        </w:pBdr>
        <w:shd w:val="clear" w:color="auto" w:fill="FFFFFF"/>
        <w:spacing w:after="0" w:line="240" w:lineRule="auto"/>
        <w:ind w:right="567"/>
        <w:jc w:val="both"/>
        <w:rPr>
          <w:rFonts w:ascii="Verdana" w:hAnsi="Verdana"/>
          <w:sz w:val="14"/>
          <w:szCs w:val="14"/>
        </w:rPr>
      </w:pPr>
      <w:r w:rsidRPr="0015061A">
        <w:rPr>
          <w:rFonts w:ascii="Verdana" w:hAnsi="Verdana"/>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bookmarkEnd w:id="6"/>
    <w:bookmarkEnd w:id="7"/>
    <w:p w14:paraId="6B61B81E" w14:textId="0ED451D4" w:rsidR="00F80F01" w:rsidRPr="00B81A28" w:rsidRDefault="00F80F01" w:rsidP="00F80F01">
      <w:pPr>
        <w:spacing w:after="0" w:line="240" w:lineRule="auto"/>
        <w:rPr>
          <w:rFonts w:ascii="Verdana" w:hAnsi="Verdana"/>
          <w:sz w:val="16"/>
          <w:szCs w:val="16"/>
        </w:rPr>
      </w:pPr>
    </w:p>
    <w:sectPr w:rsidR="00F80F01" w:rsidRPr="00B81A28" w:rsidSect="00365F35">
      <w:footerReference w:type="default" r:id="rId10"/>
      <w:pgSz w:w="16838" w:h="11906" w:orient="landscape" w:code="9"/>
      <w:pgMar w:top="567" w:right="851" w:bottom="567" w:left="45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9260B" w14:textId="77777777" w:rsidR="00E42A5C" w:rsidRDefault="00E42A5C">
      <w:pPr>
        <w:spacing w:after="0" w:line="240" w:lineRule="auto"/>
      </w:pPr>
      <w:r>
        <w:separator/>
      </w:r>
    </w:p>
  </w:endnote>
  <w:endnote w:type="continuationSeparator" w:id="0">
    <w:p w14:paraId="4CFD91C1" w14:textId="77777777" w:rsidR="00E42A5C" w:rsidRDefault="00E42A5C">
      <w:pPr>
        <w:spacing w:after="0" w:line="240" w:lineRule="auto"/>
      </w:pPr>
      <w:r>
        <w:continuationSeparator/>
      </w:r>
    </w:p>
  </w:endnote>
  <w:endnote w:type="continuationNotice" w:id="1">
    <w:p w14:paraId="01193F54" w14:textId="77777777" w:rsidR="00E42A5C" w:rsidRDefault="00E42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5B13" w14:textId="5D7A59F2" w:rsidR="00E42A5C" w:rsidRPr="000E643A" w:rsidRDefault="00E42A5C" w:rsidP="009D6F66">
    <w:pPr>
      <w:pStyle w:val="Footer"/>
      <w:jc w:val="center"/>
      <w:rPr>
        <w:rFonts w:ascii="Verdana" w:hAnsi="Verdana"/>
        <w:sz w:val="20"/>
        <w:szCs w:val="20"/>
      </w:rPr>
    </w:pPr>
    <w:r w:rsidRPr="000E643A">
      <w:rPr>
        <w:rFonts w:ascii="Verdana" w:hAnsi="Verdana"/>
        <w:sz w:val="20"/>
        <w:szCs w:val="20"/>
      </w:rPr>
      <w:fldChar w:fldCharType="begin"/>
    </w:r>
    <w:r w:rsidRPr="000E643A">
      <w:rPr>
        <w:rFonts w:ascii="Verdana" w:hAnsi="Verdana"/>
        <w:sz w:val="20"/>
        <w:szCs w:val="20"/>
      </w:rPr>
      <w:instrText xml:space="preserve"> PAGE   \* MERGEFORMAT </w:instrText>
    </w:r>
    <w:r w:rsidRPr="000E643A">
      <w:rPr>
        <w:rFonts w:ascii="Verdana" w:hAnsi="Verdana"/>
        <w:sz w:val="20"/>
        <w:szCs w:val="20"/>
      </w:rPr>
      <w:fldChar w:fldCharType="separate"/>
    </w:r>
    <w:r>
      <w:rPr>
        <w:rFonts w:ascii="Verdana" w:hAnsi="Verdana"/>
        <w:noProof/>
        <w:sz w:val="20"/>
        <w:szCs w:val="20"/>
      </w:rPr>
      <w:t>1</w:t>
    </w:r>
    <w:r w:rsidRPr="000E643A">
      <w:rPr>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FAC4" w14:textId="77777777" w:rsidR="00E42A5C" w:rsidRDefault="00E42A5C" w:rsidP="00365F35">
    <w:pPr>
      <w:pStyle w:val="Footer"/>
      <w:jc w:val="center"/>
    </w:pPr>
    <w:r>
      <w:fldChar w:fldCharType="begin"/>
    </w:r>
    <w:r>
      <w:instrText xml:space="preserve"> PAGE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FE12" w14:textId="77777777" w:rsidR="00E42A5C" w:rsidRDefault="00E42A5C">
      <w:pPr>
        <w:spacing w:after="0" w:line="240" w:lineRule="auto"/>
      </w:pPr>
      <w:r>
        <w:separator/>
      </w:r>
    </w:p>
  </w:footnote>
  <w:footnote w:type="continuationSeparator" w:id="0">
    <w:p w14:paraId="34A23104" w14:textId="77777777" w:rsidR="00E42A5C" w:rsidRDefault="00E42A5C">
      <w:pPr>
        <w:spacing w:after="0" w:line="240" w:lineRule="auto"/>
      </w:pPr>
      <w:r>
        <w:continuationSeparator/>
      </w:r>
    </w:p>
  </w:footnote>
  <w:footnote w:type="continuationNotice" w:id="1">
    <w:p w14:paraId="0CDA82B5" w14:textId="77777777" w:rsidR="00E42A5C" w:rsidRDefault="00E42A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2CB9"/>
    <w:multiLevelType w:val="hybridMultilevel"/>
    <w:tmpl w:val="04382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CF7D0E"/>
    <w:multiLevelType w:val="hybridMultilevel"/>
    <w:tmpl w:val="B74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E43C3"/>
    <w:multiLevelType w:val="hybridMultilevel"/>
    <w:tmpl w:val="AFBE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D1B63"/>
    <w:multiLevelType w:val="hybridMultilevel"/>
    <w:tmpl w:val="D58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F5657"/>
    <w:multiLevelType w:val="hybridMultilevel"/>
    <w:tmpl w:val="FC44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C2"/>
    <w:rsid w:val="00001C11"/>
    <w:rsid w:val="00002E78"/>
    <w:rsid w:val="00004449"/>
    <w:rsid w:val="00005213"/>
    <w:rsid w:val="000053FE"/>
    <w:rsid w:val="0000566B"/>
    <w:rsid w:val="0001213B"/>
    <w:rsid w:val="0001470B"/>
    <w:rsid w:val="00016F20"/>
    <w:rsid w:val="00017518"/>
    <w:rsid w:val="00020D6A"/>
    <w:rsid w:val="00020E51"/>
    <w:rsid w:val="000226AC"/>
    <w:rsid w:val="00022FB0"/>
    <w:rsid w:val="00023482"/>
    <w:rsid w:val="000266F1"/>
    <w:rsid w:val="00027875"/>
    <w:rsid w:val="0003202F"/>
    <w:rsid w:val="00032320"/>
    <w:rsid w:val="00032872"/>
    <w:rsid w:val="0003298B"/>
    <w:rsid w:val="00032E68"/>
    <w:rsid w:val="00033094"/>
    <w:rsid w:val="00034689"/>
    <w:rsid w:val="000350DA"/>
    <w:rsid w:val="00037770"/>
    <w:rsid w:val="000408DA"/>
    <w:rsid w:val="000431AE"/>
    <w:rsid w:val="00045016"/>
    <w:rsid w:val="00045484"/>
    <w:rsid w:val="000461B1"/>
    <w:rsid w:val="00046BB7"/>
    <w:rsid w:val="000507BA"/>
    <w:rsid w:val="00050946"/>
    <w:rsid w:val="00051177"/>
    <w:rsid w:val="000516A6"/>
    <w:rsid w:val="000516BD"/>
    <w:rsid w:val="00052C58"/>
    <w:rsid w:val="000537F7"/>
    <w:rsid w:val="00053B5A"/>
    <w:rsid w:val="000545F1"/>
    <w:rsid w:val="0005590C"/>
    <w:rsid w:val="00057FBB"/>
    <w:rsid w:val="00064779"/>
    <w:rsid w:val="00064E2B"/>
    <w:rsid w:val="00064E9C"/>
    <w:rsid w:val="00066A15"/>
    <w:rsid w:val="000674F0"/>
    <w:rsid w:val="00070D1C"/>
    <w:rsid w:val="00075349"/>
    <w:rsid w:val="000769D0"/>
    <w:rsid w:val="00076DAE"/>
    <w:rsid w:val="000772CD"/>
    <w:rsid w:val="00077397"/>
    <w:rsid w:val="00077EE5"/>
    <w:rsid w:val="00081234"/>
    <w:rsid w:val="00083EEA"/>
    <w:rsid w:val="00085AD4"/>
    <w:rsid w:val="00086D14"/>
    <w:rsid w:val="00090B72"/>
    <w:rsid w:val="00093136"/>
    <w:rsid w:val="00094491"/>
    <w:rsid w:val="0009494A"/>
    <w:rsid w:val="00096269"/>
    <w:rsid w:val="00096B65"/>
    <w:rsid w:val="000976B1"/>
    <w:rsid w:val="000A01B6"/>
    <w:rsid w:val="000A073B"/>
    <w:rsid w:val="000A225A"/>
    <w:rsid w:val="000A3C3A"/>
    <w:rsid w:val="000A5913"/>
    <w:rsid w:val="000A610F"/>
    <w:rsid w:val="000A7BCA"/>
    <w:rsid w:val="000B02F3"/>
    <w:rsid w:val="000B2714"/>
    <w:rsid w:val="000B3385"/>
    <w:rsid w:val="000C38DE"/>
    <w:rsid w:val="000C4FD3"/>
    <w:rsid w:val="000D1527"/>
    <w:rsid w:val="000D1550"/>
    <w:rsid w:val="000D2236"/>
    <w:rsid w:val="000D22F3"/>
    <w:rsid w:val="000D34D3"/>
    <w:rsid w:val="000D3D84"/>
    <w:rsid w:val="000D538E"/>
    <w:rsid w:val="000D543C"/>
    <w:rsid w:val="000D5AAF"/>
    <w:rsid w:val="000D7725"/>
    <w:rsid w:val="000E1EBE"/>
    <w:rsid w:val="000E2BD0"/>
    <w:rsid w:val="000E463F"/>
    <w:rsid w:val="000E4E35"/>
    <w:rsid w:val="000F0E33"/>
    <w:rsid w:val="000F0EEC"/>
    <w:rsid w:val="000F16A1"/>
    <w:rsid w:val="000F1A7C"/>
    <w:rsid w:val="000F4481"/>
    <w:rsid w:val="000F5EAD"/>
    <w:rsid w:val="000F6FBA"/>
    <w:rsid w:val="000F7847"/>
    <w:rsid w:val="00102C42"/>
    <w:rsid w:val="00103507"/>
    <w:rsid w:val="001048C7"/>
    <w:rsid w:val="001053FF"/>
    <w:rsid w:val="00106203"/>
    <w:rsid w:val="001070DB"/>
    <w:rsid w:val="0011080B"/>
    <w:rsid w:val="00110A0C"/>
    <w:rsid w:val="001110F6"/>
    <w:rsid w:val="00111652"/>
    <w:rsid w:val="00111C5B"/>
    <w:rsid w:val="0011656F"/>
    <w:rsid w:val="00116714"/>
    <w:rsid w:val="001169EF"/>
    <w:rsid w:val="00116CFD"/>
    <w:rsid w:val="001209A4"/>
    <w:rsid w:val="0012237B"/>
    <w:rsid w:val="001249B2"/>
    <w:rsid w:val="00126AFC"/>
    <w:rsid w:val="0013143F"/>
    <w:rsid w:val="00133056"/>
    <w:rsid w:val="001347C5"/>
    <w:rsid w:val="00134BC8"/>
    <w:rsid w:val="00141119"/>
    <w:rsid w:val="001412F8"/>
    <w:rsid w:val="001422F1"/>
    <w:rsid w:val="00142D23"/>
    <w:rsid w:val="001431DC"/>
    <w:rsid w:val="00143C95"/>
    <w:rsid w:val="00146B64"/>
    <w:rsid w:val="00151360"/>
    <w:rsid w:val="001517BA"/>
    <w:rsid w:val="00152425"/>
    <w:rsid w:val="001529BD"/>
    <w:rsid w:val="00153C2D"/>
    <w:rsid w:val="001553EE"/>
    <w:rsid w:val="0016131A"/>
    <w:rsid w:val="001647F8"/>
    <w:rsid w:val="00170B38"/>
    <w:rsid w:val="00171D05"/>
    <w:rsid w:val="001732F3"/>
    <w:rsid w:val="00173455"/>
    <w:rsid w:val="001735CB"/>
    <w:rsid w:val="00174925"/>
    <w:rsid w:val="00174B9D"/>
    <w:rsid w:val="0017668C"/>
    <w:rsid w:val="00177B23"/>
    <w:rsid w:val="00183178"/>
    <w:rsid w:val="00184532"/>
    <w:rsid w:val="00184827"/>
    <w:rsid w:val="00187301"/>
    <w:rsid w:val="001904F4"/>
    <w:rsid w:val="00193390"/>
    <w:rsid w:val="00195540"/>
    <w:rsid w:val="0019623B"/>
    <w:rsid w:val="00196518"/>
    <w:rsid w:val="00196A64"/>
    <w:rsid w:val="001A0A67"/>
    <w:rsid w:val="001A352B"/>
    <w:rsid w:val="001A65AA"/>
    <w:rsid w:val="001A6880"/>
    <w:rsid w:val="001A73A2"/>
    <w:rsid w:val="001A7BE6"/>
    <w:rsid w:val="001B00E7"/>
    <w:rsid w:val="001B0F2E"/>
    <w:rsid w:val="001B4A41"/>
    <w:rsid w:val="001B5538"/>
    <w:rsid w:val="001B57C2"/>
    <w:rsid w:val="001B7F29"/>
    <w:rsid w:val="001C21C3"/>
    <w:rsid w:val="001C5234"/>
    <w:rsid w:val="001D016C"/>
    <w:rsid w:val="001D234E"/>
    <w:rsid w:val="001D3A32"/>
    <w:rsid w:val="001D4149"/>
    <w:rsid w:val="001D494B"/>
    <w:rsid w:val="001D5021"/>
    <w:rsid w:val="001D60F7"/>
    <w:rsid w:val="001D78A3"/>
    <w:rsid w:val="001E0201"/>
    <w:rsid w:val="001E038E"/>
    <w:rsid w:val="001E16AC"/>
    <w:rsid w:val="001E1CCE"/>
    <w:rsid w:val="001E1D4D"/>
    <w:rsid w:val="001E222F"/>
    <w:rsid w:val="001E7383"/>
    <w:rsid w:val="001F0421"/>
    <w:rsid w:val="001F3AF6"/>
    <w:rsid w:val="001F4014"/>
    <w:rsid w:val="001F41D7"/>
    <w:rsid w:val="001F5783"/>
    <w:rsid w:val="001F5B54"/>
    <w:rsid w:val="0020095D"/>
    <w:rsid w:val="00200D21"/>
    <w:rsid w:val="00200E25"/>
    <w:rsid w:val="00202043"/>
    <w:rsid w:val="0020214D"/>
    <w:rsid w:val="002021B4"/>
    <w:rsid w:val="00205516"/>
    <w:rsid w:val="00206499"/>
    <w:rsid w:val="002071F1"/>
    <w:rsid w:val="00211755"/>
    <w:rsid w:val="00211777"/>
    <w:rsid w:val="00212D6A"/>
    <w:rsid w:val="0021395E"/>
    <w:rsid w:val="00217AE8"/>
    <w:rsid w:val="002218F2"/>
    <w:rsid w:val="00223CDD"/>
    <w:rsid w:val="00224204"/>
    <w:rsid w:val="0022496C"/>
    <w:rsid w:val="00226A54"/>
    <w:rsid w:val="0022723F"/>
    <w:rsid w:val="00232328"/>
    <w:rsid w:val="00232B11"/>
    <w:rsid w:val="00232E52"/>
    <w:rsid w:val="0023426C"/>
    <w:rsid w:val="0023575D"/>
    <w:rsid w:val="00235F3A"/>
    <w:rsid w:val="00236E40"/>
    <w:rsid w:val="00236EDE"/>
    <w:rsid w:val="00241ECF"/>
    <w:rsid w:val="00243081"/>
    <w:rsid w:val="00243D59"/>
    <w:rsid w:val="00244B48"/>
    <w:rsid w:val="00245098"/>
    <w:rsid w:val="00246C54"/>
    <w:rsid w:val="00247C23"/>
    <w:rsid w:val="002508FA"/>
    <w:rsid w:val="00251179"/>
    <w:rsid w:val="00253D55"/>
    <w:rsid w:val="00257A56"/>
    <w:rsid w:val="002602E4"/>
    <w:rsid w:val="00260A82"/>
    <w:rsid w:val="002616C8"/>
    <w:rsid w:val="00261F82"/>
    <w:rsid w:val="002639CF"/>
    <w:rsid w:val="00265497"/>
    <w:rsid w:val="002661A1"/>
    <w:rsid w:val="00267FC4"/>
    <w:rsid w:val="00270CC2"/>
    <w:rsid w:val="00272F22"/>
    <w:rsid w:val="00273D7B"/>
    <w:rsid w:val="00276D87"/>
    <w:rsid w:val="00281358"/>
    <w:rsid w:val="002814EC"/>
    <w:rsid w:val="0028202B"/>
    <w:rsid w:val="00283BE8"/>
    <w:rsid w:val="00287F6E"/>
    <w:rsid w:val="00290585"/>
    <w:rsid w:val="00292091"/>
    <w:rsid w:val="0029255F"/>
    <w:rsid w:val="00293511"/>
    <w:rsid w:val="00293F99"/>
    <w:rsid w:val="00295A6F"/>
    <w:rsid w:val="002979DF"/>
    <w:rsid w:val="002A05AB"/>
    <w:rsid w:val="002A1604"/>
    <w:rsid w:val="002A1A42"/>
    <w:rsid w:val="002A1E35"/>
    <w:rsid w:val="002A4C83"/>
    <w:rsid w:val="002A5BB8"/>
    <w:rsid w:val="002A60F2"/>
    <w:rsid w:val="002A6DDB"/>
    <w:rsid w:val="002A7AE1"/>
    <w:rsid w:val="002B0188"/>
    <w:rsid w:val="002B119C"/>
    <w:rsid w:val="002B1A42"/>
    <w:rsid w:val="002B1ACA"/>
    <w:rsid w:val="002B392A"/>
    <w:rsid w:val="002B46CC"/>
    <w:rsid w:val="002B4C37"/>
    <w:rsid w:val="002B5A98"/>
    <w:rsid w:val="002B5EEF"/>
    <w:rsid w:val="002B7817"/>
    <w:rsid w:val="002B7E78"/>
    <w:rsid w:val="002C0B33"/>
    <w:rsid w:val="002C2E4C"/>
    <w:rsid w:val="002C455E"/>
    <w:rsid w:val="002C54B1"/>
    <w:rsid w:val="002C6CD1"/>
    <w:rsid w:val="002C726B"/>
    <w:rsid w:val="002D039B"/>
    <w:rsid w:val="002D256E"/>
    <w:rsid w:val="002D3D09"/>
    <w:rsid w:val="002D5AB3"/>
    <w:rsid w:val="002E0AB7"/>
    <w:rsid w:val="002E22C6"/>
    <w:rsid w:val="002E37FB"/>
    <w:rsid w:val="002E3E15"/>
    <w:rsid w:val="002E4309"/>
    <w:rsid w:val="002E7004"/>
    <w:rsid w:val="002F0609"/>
    <w:rsid w:val="002F06A1"/>
    <w:rsid w:val="002F1904"/>
    <w:rsid w:val="002F2464"/>
    <w:rsid w:val="002F266F"/>
    <w:rsid w:val="002F2EA1"/>
    <w:rsid w:val="002F3ACE"/>
    <w:rsid w:val="002F62C9"/>
    <w:rsid w:val="002F6B02"/>
    <w:rsid w:val="00300466"/>
    <w:rsid w:val="003013DE"/>
    <w:rsid w:val="003013F0"/>
    <w:rsid w:val="00301C70"/>
    <w:rsid w:val="00302ECA"/>
    <w:rsid w:val="00303316"/>
    <w:rsid w:val="00303852"/>
    <w:rsid w:val="00303DDC"/>
    <w:rsid w:val="00303F22"/>
    <w:rsid w:val="003046FC"/>
    <w:rsid w:val="00310563"/>
    <w:rsid w:val="00313765"/>
    <w:rsid w:val="00313DA1"/>
    <w:rsid w:val="003141B1"/>
    <w:rsid w:val="00314EC9"/>
    <w:rsid w:val="00315A22"/>
    <w:rsid w:val="0031759E"/>
    <w:rsid w:val="0032178C"/>
    <w:rsid w:val="00321839"/>
    <w:rsid w:val="00322A18"/>
    <w:rsid w:val="00323D0A"/>
    <w:rsid w:val="00326CB0"/>
    <w:rsid w:val="00327332"/>
    <w:rsid w:val="003275AF"/>
    <w:rsid w:val="00327BF9"/>
    <w:rsid w:val="00331AE1"/>
    <w:rsid w:val="003334D9"/>
    <w:rsid w:val="00333A81"/>
    <w:rsid w:val="003346DF"/>
    <w:rsid w:val="00335B66"/>
    <w:rsid w:val="00335E45"/>
    <w:rsid w:val="003367FE"/>
    <w:rsid w:val="00341819"/>
    <w:rsid w:val="00344C04"/>
    <w:rsid w:val="00346C37"/>
    <w:rsid w:val="003476DD"/>
    <w:rsid w:val="0035519C"/>
    <w:rsid w:val="0036056F"/>
    <w:rsid w:val="0036191F"/>
    <w:rsid w:val="003643ED"/>
    <w:rsid w:val="00365C9F"/>
    <w:rsid w:val="00365F35"/>
    <w:rsid w:val="00370222"/>
    <w:rsid w:val="003731D7"/>
    <w:rsid w:val="0037422F"/>
    <w:rsid w:val="0038020F"/>
    <w:rsid w:val="00380411"/>
    <w:rsid w:val="00380F0F"/>
    <w:rsid w:val="0038172D"/>
    <w:rsid w:val="003839E4"/>
    <w:rsid w:val="00383D2D"/>
    <w:rsid w:val="00383E89"/>
    <w:rsid w:val="00383F2F"/>
    <w:rsid w:val="00386547"/>
    <w:rsid w:val="003873E8"/>
    <w:rsid w:val="003906A1"/>
    <w:rsid w:val="00390C48"/>
    <w:rsid w:val="00390CDF"/>
    <w:rsid w:val="0039176D"/>
    <w:rsid w:val="00392B5B"/>
    <w:rsid w:val="00393EEB"/>
    <w:rsid w:val="003A095F"/>
    <w:rsid w:val="003A1D02"/>
    <w:rsid w:val="003A42C8"/>
    <w:rsid w:val="003A75F0"/>
    <w:rsid w:val="003B29B3"/>
    <w:rsid w:val="003B33C2"/>
    <w:rsid w:val="003B401C"/>
    <w:rsid w:val="003B4418"/>
    <w:rsid w:val="003B5EF2"/>
    <w:rsid w:val="003B6289"/>
    <w:rsid w:val="003B674F"/>
    <w:rsid w:val="003B7C86"/>
    <w:rsid w:val="003C04A0"/>
    <w:rsid w:val="003C0523"/>
    <w:rsid w:val="003C0F03"/>
    <w:rsid w:val="003C4A8C"/>
    <w:rsid w:val="003C661C"/>
    <w:rsid w:val="003D1D70"/>
    <w:rsid w:val="003D2311"/>
    <w:rsid w:val="003D5875"/>
    <w:rsid w:val="003D66ED"/>
    <w:rsid w:val="003E24C0"/>
    <w:rsid w:val="003E3D3E"/>
    <w:rsid w:val="003E4028"/>
    <w:rsid w:val="003E560F"/>
    <w:rsid w:val="003E6C10"/>
    <w:rsid w:val="003E7271"/>
    <w:rsid w:val="003E73E8"/>
    <w:rsid w:val="003F104F"/>
    <w:rsid w:val="003F2B99"/>
    <w:rsid w:val="003F33D4"/>
    <w:rsid w:val="003F45BB"/>
    <w:rsid w:val="003F467C"/>
    <w:rsid w:val="003F6ED8"/>
    <w:rsid w:val="003F7D5D"/>
    <w:rsid w:val="00400144"/>
    <w:rsid w:val="004023D8"/>
    <w:rsid w:val="00405D89"/>
    <w:rsid w:val="00410D81"/>
    <w:rsid w:val="00410FD0"/>
    <w:rsid w:val="00412981"/>
    <w:rsid w:val="004217C4"/>
    <w:rsid w:val="00425E65"/>
    <w:rsid w:val="004261C5"/>
    <w:rsid w:val="004262AE"/>
    <w:rsid w:val="004272AA"/>
    <w:rsid w:val="004356A6"/>
    <w:rsid w:val="00440A5C"/>
    <w:rsid w:val="00440B25"/>
    <w:rsid w:val="00440D2D"/>
    <w:rsid w:val="004429EE"/>
    <w:rsid w:val="00443C28"/>
    <w:rsid w:val="00443C97"/>
    <w:rsid w:val="00444919"/>
    <w:rsid w:val="0044631B"/>
    <w:rsid w:val="00446517"/>
    <w:rsid w:val="004469A1"/>
    <w:rsid w:val="00447140"/>
    <w:rsid w:val="004474AA"/>
    <w:rsid w:val="00447F35"/>
    <w:rsid w:val="00452525"/>
    <w:rsid w:val="004528D3"/>
    <w:rsid w:val="00452E73"/>
    <w:rsid w:val="004532B4"/>
    <w:rsid w:val="004540AB"/>
    <w:rsid w:val="004563FA"/>
    <w:rsid w:val="004573A0"/>
    <w:rsid w:val="00460B3E"/>
    <w:rsid w:val="004611DD"/>
    <w:rsid w:val="00461F57"/>
    <w:rsid w:val="00463637"/>
    <w:rsid w:val="004639ED"/>
    <w:rsid w:val="004652A4"/>
    <w:rsid w:val="004675AA"/>
    <w:rsid w:val="00471DA4"/>
    <w:rsid w:val="00475EF4"/>
    <w:rsid w:val="00476728"/>
    <w:rsid w:val="00476CDA"/>
    <w:rsid w:val="00483DCB"/>
    <w:rsid w:val="00484EC5"/>
    <w:rsid w:val="00484F73"/>
    <w:rsid w:val="00487297"/>
    <w:rsid w:val="004872BD"/>
    <w:rsid w:val="00490B70"/>
    <w:rsid w:val="00491BF5"/>
    <w:rsid w:val="00493012"/>
    <w:rsid w:val="00494488"/>
    <w:rsid w:val="00494859"/>
    <w:rsid w:val="00496B90"/>
    <w:rsid w:val="004A190D"/>
    <w:rsid w:val="004A2054"/>
    <w:rsid w:val="004A4C68"/>
    <w:rsid w:val="004A7444"/>
    <w:rsid w:val="004B1A20"/>
    <w:rsid w:val="004B1D7C"/>
    <w:rsid w:val="004B2049"/>
    <w:rsid w:val="004B2F2D"/>
    <w:rsid w:val="004B563F"/>
    <w:rsid w:val="004B5945"/>
    <w:rsid w:val="004B7EC3"/>
    <w:rsid w:val="004B7F2C"/>
    <w:rsid w:val="004C11EB"/>
    <w:rsid w:val="004C1EAA"/>
    <w:rsid w:val="004C3166"/>
    <w:rsid w:val="004C3555"/>
    <w:rsid w:val="004C39A8"/>
    <w:rsid w:val="004C3CE1"/>
    <w:rsid w:val="004C45BF"/>
    <w:rsid w:val="004C5E99"/>
    <w:rsid w:val="004D108A"/>
    <w:rsid w:val="004D28D3"/>
    <w:rsid w:val="004D43A9"/>
    <w:rsid w:val="004D6242"/>
    <w:rsid w:val="004D740C"/>
    <w:rsid w:val="004E4D0D"/>
    <w:rsid w:val="004E5B03"/>
    <w:rsid w:val="004E6342"/>
    <w:rsid w:val="004E7229"/>
    <w:rsid w:val="004E72A2"/>
    <w:rsid w:val="004F00AB"/>
    <w:rsid w:val="004F0A4B"/>
    <w:rsid w:val="004F2DAA"/>
    <w:rsid w:val="004F2EE9"/>
    <w:rsid w:val="004F397D"/>
    <w:rsid w:val="004F3A82"/>
    <w:rsid w:val="004F6E23"/>
    <w:rsid w:val="004F78B7"/>
    <w:rsid w:val="004F7DBF"/>
    <w:rsid w:val="00500268"/>
    <w:rsid w:val="0050303F"/>
    <w:rsid w:val="005037C1"/>
    <w:rsid w:val="00503DFD"/>
    <w:rsid w:val="00506FB1"/>
    <w:rsid w:val="005112C3"/>
    <w:rsid w:val="00512BC3"/>
    <w:rsid w:val="00513ACC"/>
    <w:rsid w:val="005147B3"/>
    <w:rsid w:val="00516D00"/>
    <w:rsid w:val="00520140"/>
    <w:rsid w:val="00521DEF"/>
    <w:rsid w:val="005244BF"/>
    <w:rsid w:val="005244EE"/>
    <w:rsid w:val="00524C86"/>
    <w:rsid w:val="00527637"/>
    <w:rsid w:val="00531FDD"/>
    <w:rsid w:val="00535956"/>
    <w:rsid w:val="00535AD6"/>
    <w:rsid w:val="005374D0"/>
    <w:rsid w:val="00537D14"/>
    <w:rsid w:val="00540932"/>
    <w:rsid w:val="00541B94"/>
    <w:rsid w:val="00541CD2"/>
    <w:rsid w:val="00542089"/>
    <w:rsid w:val="005420A9"/>
    <w:rsid w:val="00542996"/>
    <w:rsid w:val="00543E85"/>
    <w:rsid w:val="00544491"/>
    <w:rsid w:val="00545F9D"/>
    <w:rsid w:val="00545FC5"/>
    <w:rsid w:val="00546815"/>
    <w:rsid w:val="00547B42"/>
    <w:rsid w:val="005502A8"/>
    <w:rsid w:val="00551C0F"/>
    <w:rsid w:val="00552A16"/>
    <w:rsid w:val="00552FC7"/>
    <w:rsid w:val="00553F0E"/>
    <w:rsid w:val="00554058"/>
    <w:rsid w:val="00554AEF"/>
    <w:rsid w:val="00557888"/>
    <w:rsid w:val="005578EE"/>
    <w:rsid w:val="0056034D"/>
    <w:rsid w:val="00560BF6"/>
    <w:rsid w:val="00561F9A"/>
    <w:rsid w:val="005632C8"/>
    <w:rsid w:val="00564A95"/>
    <w:rsid w:val="005650F7"/>
    <w:rsid w:val="005719EA"/>
    <w:rsid w:val="00571D9E"/>
    <w:rsid w:val="0057580E"/>
    <w:rsid w:val="005765B6"/>
    <w:rsid w:val="00576B44"/>
    <w:rsid w:val="0058197F"/>
    <w:rsid w:val="005844E7"/>
    <w:rsid w:val="0058488A"/>
    <w:rsid w:val="00586E39"/>
    <w:rsid w:val="00591B98"/>
    <w:rsid w:val="00592851"/>
    <w:rsid w:val="00592CC7"/>
    <w:rsid w:val="005932AD"/>
    <w:rsid w:val="00597059"/>
    <w:rsid w:val="005A09D3"/>
    <w:rsid w:val="005A0EE8"/>
    <w:rsid w:val="005A173A"/>
    <w:rsid w:val="005A46B5"/>
    <w:rsid w:val="005A758C"/>
    <w:rsid w:val="005A7E70"/>
    <w:rsid w:val="005B0727"/>
    <w:rsid w:val="005B07E2"/>
    <w:rsid w:val="005B35EB"/>
    <w:rsid w:val="005B5271"/>
    <w:rsid w:val="005B5CC0"/>
    <w:rsid w:val="005C1940"/>
    <w:rsid w:val="005C26CB"/>
    <w:rsid w:val="005C2F9B"/>
    <w:rsid w:val="005D13EA"/>
    <w:rsid w:val="005D21C8"/>
    <w:rsid w:val="005D2F43"/>
    <w:rsid w:val="005D3262"/>
    <w:rsid w:val="005D4F80"/>
    <w:rsid w:val="005D565C"/>
    <w:rsid w:val="005D588C"/>
    <w:rsid w:val="005D5927"/>
    <w:rsid w:val="005D5AA4"/>
    <w:rsid w:val="005E0025"/>
    <w:rsid w:val="005E0B21"/>
    <w:rsid w:val="005E0C8E"/>
    <w:rsid w:val="005E1064"/>
    <w:rsid w:val="005E3964"/>
    <w:rsid w:val="005E525F"/>
    <w:rsid w:val="005E6B49"/>
    <w:rsid w:val="005F0330"/>
    <w:rsid w:val="005F04FF"/>
    <w:rsid w:val="005F077D"/>
    <w:rsid w:val="005F09E3"/>
    <w:rsid w:val="005F0DA5"/>
    <w:rsid w:val="005F0FF3"/>
    <w:rsid w:val="005F1467"/>
    <w:rsid w:val="005F38A5"/>
    <w:rsid w:val="005F48B2"/>
    <w:rsid w:val="0060068C"/>
    <w:rsid w:val="0060106F"/>
    <w:rsid w:val="0060108C"/>
    <w:rsid w:val="006014B8"/>
    <w:rsid w:val="00603CB8"/>
    <w:rsid w:val="006041EE"/>
    <w:rsid w:val="00605B57"/>
    <w:rsid w:val="00610DEA"/>
    <w:rsid w:val="0061117A"/>
    <w:rsid w:val="006114F6"/>
    <w:rsid w:val="00611BC1"/>
    <w:rsid w:val="006121BD"/>
    <w:rsid w:val="00612B7A"/>
    <w:rsid w:val="00613320"/>
    <w:rsid w:val="0061409B"/>
    <w:rsid w:val="0061458E"/>
    <w:rsid w:val="00614CF5"/>
    <w:rsid w:val="00617D5D"/>
    <w:rsid w:val="00621DFE"/>
    <w:rsid w:val="006232B3"/>
    <w:rsid w:val="00623323"/>
    <w:rsid w:val="0062428E"/>
    <w:rsid w:val="006247DE"/>
    <w:rsid w:val="006263C8"/>
    <w:rsid w:val="00631C0D"/>
    <w:rsid w:val="00631D36"/>
    <w:rsid w:val="00634822"/>
    <w:rsid w:val="006357DA"/>
    <w:rsid w:val="00635AC2"/>
    <w:rsid w:val="00637EEB"/>
    <w:rsid w:val="006406EE"/>
    <w:rsid w:val="00642187"/>
    <w:rsid w:val="00642DE4"/>
    <w:rsid w:val="0064456B"/>
    <w:rsid w:val="0064469C"/>
    <w:rsid w:val="006470B6"/>
    <w:rsid w:val="0064733D"/>
    <w:rsid w:val="006476FC"/>
    <w:rsid w:val="00647AD6"/>
    <w:rsid w:val="006507EC"/>
    <w:rsid w:val="00652616"/>
    <w:rsid w:val="00652F7E"/>
    <w:rsid w:val="0065388F"/>
    <w:rsid w:val="006548D1"/>
    <w:rsid w:val="00656053"/>
    <w:rsid w:val="006577FE"/>
    <w:rsid w:val="006578F1"/>
    <w:rsid w:val="00657A17"/>
    <w:rsid w:val="006600F7"/>
    <w:rsid w:val="00660160"/>
    <w:rsid w:val="006614D4"/>
    <w:rsid w:val="0066162B"/>
    <w:rsid w:val="00663840"/>
    <w:rsid w:val="00664DA4"/>
    <w:rsid w:val="0066651B"/>
    <w:rsid w:val="00667AD0"/>
    <w:rsid w:val="00671A9D"/>
    <w:rsid w:val="00672858"/>
    <w:rsid w:val="00673D78"/>
    <w:rsid w:val="0067463A"/>
    <w:rsid w:val="00675669"/>
    <w:rsid w:val="00677A77"/>
    <w:rsid w:val="00682A36"/>
    <w:rsid w:val="00682DBE"/>
    <w:rsid w:val="00683FBE"/>
    <w:rsid w:val="006841F4"/>
    <w:rsid w:val="00685427"/>
    <w:rsid w:val="00685A06"/>
    <w:rsid w:val="0068651F"/>
    <w:rsid w:val="00687EA9"/>
    <w:rsid w:val="00690195"/>
    <w:rsid w:val="00693056"/>
    <w:rsid w:val="00693E61"/>
    <w:rsid w:val="006A0DAC"/>
    <w:rsid w:val="006A35E8"/>
    <w:rsid w:val="006A3687"/>
    <w:rsid w:val="006A6116"/>
    <w:rsid w:val="006A6EFD"/>
    <w:rsid w:val="006B0E6A"/>
    <w:rsid w:val="006B2BC2"/>
    <w:rsid w:val="006B2EC6"/>
    <w:rsid w:val="006B4153"/>
    <w:rsid w:val="006B5AF1"/>
    <w:rsid w:val="006B6D3F"/>
    <w:rsid w:val="006C04BC"/>
    <w:rsid w:val="006C1167"/>
    <w:rsid w:val="006C235C"/>
    <w:rsid w:val="006C2D38"/>
    <w:rsid w:val="006C4A35"/>
    <w:rsid w:val="006D0075"/>
    <w:rsid w:val="006D0F75"/>
    <w:rsid w:val="006D1405"/>
    <w:rsid w:val="006D2B8D"/>
    <w:rsid w:val="006D43EB"/>
    <w:rsid w:val="006D5153"/>
    <w:rsid w:val="006D5245"/>
    <w:rsid w:val="006D5891"/>
    <w:rsid w:val="006D5964"/>
    <w:rsid w:val="006D7553"/>
    <w:rsid w:val="006E1893"/>
    <w:rsid w:val="006E1F7E"/>
    <w:rsid w:val="006E2FD3"/>
    <w:rsid w:val="006E3CFA"/>
    <w:rsid w:val="006E5458"/>
    <w:rsid w:val="006E55C8"/>
    <w:rsid w:val="006E608D"/>
    <w:rsid w:val="006E6D2B"/>
    <w:rsid w:val="006E74FA"/>
    <w:rsid w:val="006E77AC"/>
    <w:rsid w:val="006F024B"/>
    <w:rsid w:val="006F0E7C"/>
    <w:rsid w:val="006F2886"/>
    <w:rsid w:val="006F2E11"/>
    <w:rsid w:val="006F6F32"/>
    <w:rsid w:val="006F788E"/>
    <w:rsid w:val="0070032A"/>
    <w:rsid w:val="00701EBD"/>
    <w:rsid w:val="0070214E"/>
    <w:rsid w:val="00702161"/>
    <w:rsid w:val="00703924"/>
    <w:rsid w:val="00704C87"/>
    <w:rsid w:val="00705459"/>
    <w:rsid w:val="00712E6E"/>
    <w:rsid w:val="00716932"/>
    <w:rsid w:val="00716B11"/>
    <w:rsid w:val="00717190"/>
    <w:rsid w:val="00717BE3"/>
    <w:rsid w:val="007231BE"/>
    <w:rsid w:val="007240C0"/>
    <w:rsid w:val="007243E2"/>
    <w:rsid w:val="00724424"/>
    <w:rsid w:val="00724541"/>
    <w:rsid w:val="007261B2"/>
    <w:rsid w:val="007267E8"/>
    <w:rsid w:val="00727428"/>
    <w:rsid w:val="00727615"/>
    <w:rsid w:val="00727E08"/>
    <w:rsid w:val="00730349"/>
    <w:rsid w:val="00730807"/>
    <w:rsid w:val="007310EC"/>
    <w:rsid w:val="0073313A"/>
    <w:rsid w:val="007332BA"/>
    <w:rsid w:val="00736882"/>
    <w:rsid w:val="007373D9"/>
    <w:rsid w:val="00737E7C"/>
    <w:rsid w:val="00740DB9"/>
    <w:rsid w:val="00741320"/>
    <w:rsid w:val="00741FC3"/>
    <w:rsid w:val="007425DB"/>
    <w:rsid w:val="00742A1F"/>
    <w:rsid w:val="00742CC1"/>
    <w:rsid w:val="007433F5"/>
    <w:rsid w:val="00743FF9"/>
    <w:rsid w:val="00745125"/>
    <w:rsid w:val="00745BD9"/>
    <w:rsid w:val="00746A05"/>
    <w:rsid w:val="00747E71"/>
    <w:rsid w:val="0075388B"/>
    <w:rsid w:val="00756368"/>
    <w:rsid w:val="00756498"/>
    <w:rsid w:val="0075797D"/>
    <w:rsid w:val="00763149"/>
    <w:rsid w:val="00763E15"/>
    <w:rsid w:val="00767CB5"/>
    <w:rsid w:val="00771F58"/>
    <w:rsid w:val="007727F5"/>
    <w:rsid w:val="0077490B"/>
    <w:rsid w:val="007767BD"/>
    <w:rsid w:val="00776CF0"/>
    <w:rsid w:val="00777823"/>
    <w:rsid w:val="00780C9D"/>
    <w:rsid w:val="007814BE"/>
    <w:rsid w:val="00781D9C"/>
    <w:rsid w:val="007824B0"/>
    <w:rsid w:val="007859C9"/>
    <w:rsid w:val="00785F49"/>
    <w:rsid w:val="00787467"/>
    <w:rsid w:val="00795134"/>
    <w:rsid w:val="00796D8F"/>
    <w:rsid w:val="007A13E0"/>
    <w:rsid w:val="007A24D3"/>
    <w:rsid w:val="007A37FF"/>
    <w:rsid w:val="007A3D28"/>
    <w:rsid w:val="007A453E"/>
    <w:rsid w:val="007A7889"/>
    <w:rsid w:val="007A7A45"/>
    <w:rsid w:val="007B1572"/>
    <w:rsid w:val="007B1622"/>
    <w:rsid w:val="007B1CD4"/>
    <w:rsid w:val="007B2507"/>
    <w:rsid w:val="007B3B94"/>
    <w:rsid w:val="007B51D4"/>
    <w:rsid w:val="007B5F8B"/>
    <w:rsid w:val="007B7142"/>
    <w:rsid w:val="007B7733"/>
    <w:rsid w:val="007C1607"/>
    <w:rsid w:val="007C3532"/>
    <w:rsid w:val="007C3CE8"/>
    <w:rsid w:val="007C47E7"/>
    <w:rsid w:val="007C5375"/>
    <w:rsid w:val="007C62BE"/>
    <w:rsid w:val="007C6C35"/>
    <w:rsid w:val="007D032A"/>
    <w:rsid w:val="007D120C"/>
    <w:rsid w:val="007D2BEE"/>
    <w:rsid w:val="007D2D6B"/>
    <w:rsid w:val="007D3BB2"/>
    <w:rsid w:val="007D46EB"/>
    <w:rsid w:val="007D4EC3"/>
    <w:rsid w:val="007D6B41"/>
    <w:rsid w:val="007E12BE"/>
    <w:rsid w:val="007E3531"/>
    <w:rsid w:val="007E459C"/>
    <w:rsid w:val="007E4F2A"/>
    <w:rsid w:val="007E6895"/>
    <w:rsid w:val="007E7CBA"/>
    <w:rsid w:val="007F1C22"/>
    <w:rsid w:val="007F2782"/>
    <w:rsid w:val="007F3010"/>
    <w:rsid w:val="007F312E"/>
    <w:rsid w:val="007F432B"/>
    <w:rsid w:val="007F47EF"/>
    <w:rsid w:val="007F4AB9"/>
    <w:rsid w:val="007F6D3A"/>
    <w:rsid w:val="00801E3E"/>
    <w:rsid w:val="00803A9B"/>
    <w:rsid w:val="00806C16"/>
    <w:rsid w:val="00810020"/>
    <w:rsid w:val="00812548"/>
    <w:rsid w:val="00813C3E"/>
    <w:rsid w:val="0081400C"/>
    <w:rsid w:val="0081440A"/>
    <w:rsid w:val="00820885"/>
    <w:rsid w:val="00825A33"/>
    <w:rsid w:val="0082694E"/>
    <w:rsid w:val="00834D8B"/>
    <w:rsid w:val="00835858"/>
    <w:rsid w:val="008363AC"/>
    <w:rsid w:val="0084039A"/>
    <w:rsid w:val="00841B0F"/>
    <w:rsid w:val="008420B0"/>
    <w:rsid w:val="00845276"/>
    <w:rsid w:val="00845324"/>
    <w:rsid w:val="0085010E"/>
    <w:rsid w:val="008510E5"/>
    <w:rsid w:val="00851330"/>
    <w:rsid w:val="00851619"/>
    <w:rsid w:val="00856757"/>
    <w:rsid w:val="0086065B"/>
    <w:rsid w:val="0086339C"/>
    <w:rsid w:val="00863C90"/>
    <w:rsid w:val="0086462A"/>
    <w:rsid w:val="008656D1"/>
    <w:rsid w:val="008669E8"/>
    <w:rsid w:val="00871566"/>
    <w:rsid w:val="008753CD"/>
    <w:rsid w:val="008757D7"/>
    <w:rsid w:val="008761C0"/>
    <w:rsid w:val="00883298"/>
    <w:rsid w:val="008847AD"/>
    <w:rsid w:val="00884941"/>
    <w:rsid w:val="00884C07"/>
    <w:rsid w:val="00885688"/>
    <w:rsid w:val="00886A3A"/>
    <w:rsid w:val="008903B1"/>
    <w:rsid w:val="0089210D"/>
    <w:rsid w:val="00893552"/>
    <w:rsid w:val="00893785"/>
    <w:rsid w:val="00894031"/>
    <w:rsid w:val="00895CBD"/>
    <w:rsid w:val="00897917"/>
    <w:rsid w:val="00897F9D"/>
    <w:rsid w:val="008A063C"/>
    <w:rsid w:val="008A0674"/>
    <w:rsid w:val="008A0931"/>
    <w:rsid w:val="008A2870"/>
    <w:rsid w:val="008A4FD6"/>
    <w:rsid w:val="008A62B1"/>
    <w:rsid w:val="008B0986"/>
    <w:rsid w:val="008B2433"/>
    <w:rsid w:val="008C288A"/>
    <w:rsid w:val="008C2E98"/>
    <w:rsid w:val="008C33F3"/>
    <w:rsid w:val="008C359E"/>
    <w:rsid w:val="008C6305"/>
    <w:rsid w:val="008D0691"/>
    <w:rsid w:val="008D2130"/>
    <w:rsid w:val="008D34E1"/>
    <w:rsid w:val="008D3BA0"/>
    <w:rsid w:val="008D56FA"/>
    <w:rsid w:val="008D679E"/>
    <w:rsid w:val="008D7762"/>
    <w:rsid w:val="008D77DA"/>
    <w:rsid w:val="008E3391"/>
    <w:rsid w:val="008E41E0"/>
    <w:rsid w:val="008E6011"/>
    <w:rsid w:val="008E6D34"/>
    <w:rsid w:val="008F0228"/>
    <w:rsid w:val="008F06FF"/>
    <w:rsid w:val="008F0BEC"/>
    <w:rsid w:val="008F1EC5"/>
    <w:rsid w:val="008F223F"/>
    <w:rsid w:val="008F31FF"/>
    <w:rsid w:val="008F40D8"/>
    <w:rsid w:val="008F4769"/>
    <w:rsid w:val="008F47F4"/>
    <w:rsid w:val="008F4C64"/>
    <w:rsid w:val="008F52E3"/>
    <w:rsid w:val="008F6B2D"/>
    <w:rsid w:val="00902640"/>
    <w:rsid w:val="009028DE"/>
    <w:rsid w:val="00902906"/>
    <w:rsid w:val="00904D12"/>
    <w:rsid w:val="009055A2"/>
    <w:rsid w:val="00907254"/>
    <w:rsid w:val="00911FC2"/>
    <w:rsid w:val="00913351"/>
    <w:rsid w:val="009157B1"/>
    <w:rsid w:val="009162CA"/>
    <w:rsid w:val="00921273"/>
    <w:rsid w:val="0092173D"/>
    <w:rsid w:val="0092286E"/>
    <w:rsid w:val="009254A0"/>
    <w:rsid w:val="00926B8B"/>
    <w:rsid w:val="00930048"/>
    <w:rsid w:val="009335DD"/>
    <w:rsid w:val="00935C11"/>
    <w:rsid w:val="00935D6C"/>
    <w:rsid w:val="009363D5"/>
    <w:rsid w:val="00937ECC"/>
    <w:rsid w:val="009400FE"/>
    <w:rsid w:val="00941AFA"/>
    <w:rsid w:val="0094248C"/>
    <w:rsid w:val="009445C0"/>
    <w:rsid w:val="00944D03"/>
    <w:rsid w:val="00945695"/>
    <w:rsid w:val="0094711E"/>
    <w:rsid w:val="009526E4"/>
    <w:rsid w:val="00954AEA"/>
    <w:rsid w:val="009565CC"/>
    <w:rsid w:val="009579FE"/>
    <w:rsid w:val="0096225F"/>
    <w:rsid w:val="0097121D"/>
    <w:rsid w:val="00971865"/>
    <w:rsid w:val="0097294D"/>
    <w:rsid w:val="00974525"/>
    <w:rsid w:val="009772D2"/>
    <w:rsid w:val="00982637"/>
    <w:rsid w:val="00983269"/>
    <w:rsid w:val="009862F6"/>
    <w:rsid w:val="00986EA1"/>
    <w:rsid w:val="00987A9E"/>
    <w:rsid w:val="00992C7A"/>
    <w:rsid w:val="00995B87"/>
    <w:rsid w:val="0099674E"/>
    <w:rsid w:val="009A02C3"/>
    <w:rsid w:val="009A2BE0"/>
    <w:rsid w:val="009A731F"/>
    <w:rsid w:val="009B3ED9"/>
    <w:rsid w:val="009B5566"/>
    <w:rsid w:val="009B5A7B"/>
    <w:rsid w:val="009B6C02"/>
    <w:rsid w:val="009C0DA0"/>
    <w:rsid w:val="009C25E5"/>
    <w:rsid w:val="009C27A0"/>
    <w:rsid w:val="009C3E85"/>
    <w:rsid w:val="009C450D"/>
    <w:rsid w:val="009C598E"/>
    <w:rsid w:val="009C643E"/>
    <w:rsid w:val="009C685F"/>
    <w:rsid w:val="009C692D"/>
    <w:rsid w:val="009C74D2"/>
    <w:rsid w:val="009D0966"/>
    <w:rsid w:val="009D0C63"/>
    <w:rsid w:val="009D108A"/>
    <w:rsid w:val="009D48BF"/>
    <w:rsid w:val="009D574B"/>
    <w:rsid w:val="009D59CD"/>
    <w:rsid w:val="009D6F66"/>
    <w:rsid w:val="009D7E54"/>
    <w:rsid w:val="009E035C"/>
    <w:rsid w:val="009E12FA"/>
    <w:rsid w:val="009E2089"/>
    <w:rsid w:val="009E6B51"/>
    <w:rsid w:val="009E734C"/>
    <w:rsid w:val="009F1D55"/>
    <w:rsid w:val="009F1F74"/>
    <w:rsid w:val="009F3443"/>
    <w:rsid w:val="009F37F1"/>
    <w:rsid w:val="009F5B63"/>
    <w:rsid w:val="00A002C2"/>
    <w:rsid w:val="00A00A17"/>
    <w:rsid w:val="00A044D5"/>
    <w:rsid w:val="00A05349"/>
    <w:rsid w:val="00A06CCB"/>
    <w:rsid w:val="00A078B1"/>
    <w:rsid w:val="00A07BDA"/>
    <w:rsid w:val="00A10548"/>
    <w:rsid w:val="00A12BC6"/>
    <w:rsid w:val="00A151D7"/>
    <w:rsid w:val="00A16EF4"/>
    <w:rsid w:val="00A20F51"/>
    <w:rsid w:val="00A21431"/>
    <w:rsid w:val="00A2313B"/>
    <w:rsid w:val="00A23E02"/>
    <w:rsid w:val="00A24261"/>
    <w:rsid w:val="00A2563E"/>
    <w:rsid w:val="00A261A5"/>
    <w:rsid w:val="00A271CA"/>
    <w:rsid w:val="00A30B2E"/>
    <w:rsid w:val="00A3189E"/>
    <w:rsid w:val="00A351BB"/>
    <w:rsid w:val="00A35EAA"/>
    <w:rsid w:val="00A36473"/>
    <w:rsid w:val="00A376C3"/>
    <w:rsid w:val="00A41533"/>
    <w:rsid w:val="00A41C79"/>
    <w:rsid w:val="00A43595"/>
    <w:rsid w:val="00A464D7"/>
    <w:rsid w:val="00A47148"/>
    <w:rsid w:val="00A472C0"/>
    <w:rsid w:val="00A552E7"/>
    <w:rsid w:val="00A553AB"/>
    <w:rsid w:val="00A56F5A"/>
    <w:rsid w:val="00A56F6D"/>
    <w:rsid w:val="00A60EFB"/>
    <w:rsid w:val="00A63FAB"/>
    <w:rsid w:val="00A66AA3"/>
    <w:rsid w:val="00A67470"/>
    <w:rsid w:val="00A71B17"/>
    <w:rsid w:val="00A71FA4"/>
    <w:rsid w:val="00A7232B"/>
    <w:rsid w:val="00A77061"/>
    <w:rsid w:val="00A77C2C"/>
    <w:rsid w:val="00A80067"/>
    <w:rsid w:val="00A828BA"/>
    <w:rsid w:val="00A82F1A"/>
    <w:rsid w:val="00A8577A"/>
    <w:rsid w:val="00A90A83"/>
    <w:rsid w:val="00A92B56"/>
    <w:rsid w:val="00A93FCD"/>
    <w:rsid w:val="00A94AA7"/>
    <w:rsid w:val="00A9581B"/>
    <w:rsid w:val="00A96647"/>
    <w:rsid w:val="00AA11BE"/>
    <w:rsid w:val="00AA3705"/>
    <w:rsid w:val="00AA38F5"/>
    <w:rsid w:val="00AA3DA6"/>
    <w:rsid w:val="00AA47E5"/>
    <w:rsid w:val="00AA6486"/>
    <w:rsid w:val="00AA6B91"/>
    <w:rsid w:val="00AB10A1"/>
    <w:rsid w:val="00AB1695"/>
    <w:rsid w:val="00AB1AF8"/>
    <w:rsid w:val="00AB41F1"/>
    <w:rsid w:val="00AB4514"/>
    <w:rsid w:val="00AB4918"/>
    <w:rsid w:val="00AB56E7"/>
    <w:rsid w:val="00AB7023"/>
    <w:rsid w:val="00AB778D"/>
    <w:rsid w:val="00AC01C2"/>
    <w:rsid w:val="00AC14E7"/>
    <w:rsid w:val="00AC388A"/>
    <w:rsid w:val="00AC5CCC"/>
    <w:rsid w:val="00AC608E"/>
    <w:rsid w:val="00AD5183"/>
    <w:rsid w:val="00AD7314"/>
    <w:rsid w:val="00AE0805"/>
    <w:rsid w:val="00AE16C8"/>
    <w:rsid w:val="00AE2640"/>
    <w:rsid w:val="00AE2EA6"/>
    <w:rsid w:val="00AE5D88"/>
    <w:rsid w:val="00AE622B"/>
    <w:rsid w:val="00AE7070"/>
    <w:rsid w:val="00AF1FD2"/>
    <w:rsid w:val="00AF39D8"/>
    <w:rsid w:val="00AF539F"/>
    <w:rsid w:val="00AF62AB"/>
    <w:rsid w:val="00AF68FC"/>
    <w:rsid w:val="00AF7DDA"/>
    <w:rsid w:val="00B00451"/>
    <w:rsid w:val="00B04C21"/>
    <w:rsid w:val="00B061C5"/>
    <w:rsid w:val="00B06F77"/>
    <w:rsid w:val="00B07B9D"/>
    <w:rsid w:val="00B10852"/>
    <w:rsid w:val="00B1329B"/>
    <w:rsid w:val="00B1359D"/>
    <w:rsid w:val="00B1394B"/>
    <w:rsid w:val="00B13DC1"/>
    <w:rsid w:val="00B13ED9"/>
    <w:rsid w:val="00B15F5F"/>
    <w:rsid w:val="00B22F4F"/>
    <w:rsid w:val="00B2566A"/>
    <w:rsid w:val="00B26555"/>
    <w:rsid w:val="00B266B2"/>
    <w:rsid w:val="00B30966"/>
    <w:rsid w:val="00B3181C"/>
    <w:rsid w:val="00B31D2C"/>
    <w:rsid w:val="00B31E84"/>
    <w:rsid w:val="00B32D6E"/>
    <w:rsid w:val="00B3339E"/>
    <w:rsid w:val="00B34E18"/>
    <w:rsid w:val="00B354A5"/>
    <w:rsid w:val="00B356CE"/>
    <w:rsid w:val="00B36927"/>
    <w:rsid w:val="00B4107F"/>
    <w:rsid w:val="00B416CF"/>
    <w:rsid w:val="00B41F0E"/>
    <w:rsid w:val="00B420C2"/>
    <w:rsid w:val="00B43A78"/>
    <w:rsid w:val="00B44900"/>
    <w:rsid w:val="00B44FB1"/>
    <w:rsid w:val="00B4536F"/>
    <w:rsid w:val="00B467EB"/>
    <w:rsid w:val="00B50B72"/>
    <w:rsid w:val="00B535B9"/>
    <w:rsid w:val="00B55837"/>
    <w:rsid w:val="00B56197"/>
    <w:rsid w:val="00B562BF"/>
    <w:rsid w:val="00B5782C"/>
    <w:rsid w:val="00B60B59"/>
    <w:rsid w:val="00B60D45"/>
    <w:rsid w:val="00B61AC2"/>
    <w:rsid w:val="00B6778A"/>
    <w:rsid w:val="00B70ED0"/>
    <w:rsid w:val="00B723E1"/>
    <w:rsid w:val="00B745FF"/>
    <w:rsid w:val="00B758C3"/>
    <w:rsid w:val="00B802A3"/>
    <w:rsid w:val="00B80FD5"/>
    <w:rsid w:val="00B81B27"/>
    <w:rsid w:val="00B81DC5"/>
    <w:rsid w:val="00B8456C"/>
    <w:rsid w:val="00B85699"/>
    <w:rsid w:val="00B859C0"/>
    <w:rsid w:val="00B87E2D"/>
    <w:rsid w:val="00B90148"/>
    <w:rsid w:val="00B952B8"/>
    <w:rsid w:val="00B966CA"/>
    <w:rsid w:val="00B972A2"/>
    <w:rsid w:val="00BA239E"/>
    <w:rsid w:val="00BA3D75"/>
    <w:rsid w:val="00BA43F8"/>
    <w:rsid w:val="00BA45D2"/>
    <w:rsid w:val="00BA5582"/>
    <w:rsid w:val="00BA71C6"/>
    <w:rsid w:val="00BB1D56"/>
    <w:rsid w:val="00BB2658"/>
    <w:rsid w:val="00BB3845"/>
    <w:rsid w:val="00BB394E"/>
    <w:rsid w:val="00BB4891"/>
    <w:rsid w:val="00BB5566"/>
    <w:rsid w:val="00BB6907"/>
    <w:rsid w:val="00BC1A60"/>
    <w:rsid w:val="00BC31DB"/>
    <w:rsid w:val="00BC46A5"/>
    <w:rsid w:val="00BC536D"/>
    <w:rsid w:val="00BC6852"/>
    <w:rsid w:val="00BD152B"/>
    <w:rsid w:val="00BD1743"/>
    <w:rsid w:val="00BD2184"/>
    <w:rsid w:val="00BD5BCA"/>
    <w:rsid w:val="00BD5CE7"/>
    <w:rsid w:val="00BE046C"/>
    <w:rsid w:val="00BE1F32"/>
    <w:rsid w:val="00BE33E5"/>
    <w:rsid w:val="00BE392F"/>
    <w:rsid w:val="00BE3E60"/>
    <w:rsid w:val="00BE4E4A"/>
    <w:rsid w:val="00BE6ACD"/>
    <w:rsid w:val="00BE6CCB"/>
    <w:rsid w:val="00BF206C"/>
    <w:rsid w:val="00BF427D"/>
    <w:rsid w:val="00BF493A"/>
    <w:rsid w:val="00C001A6"/>
    <w:rsid w:val="00C04341"/>
    <w:rsid w:val="00C05038"/>
    <w:rsid w:val="00C058A8"/>
    <w:rsid w:val="00C0647E"/>
    <w:rsid w:val="00C06E5E"/>
    <w:rsid w:val="00C0791E"/>
    <w:rsid w:val="00C12093"/>
    <w:rsid w:val="00C1335F"/>
    <w:rsid w:val="00C14B83"/>
    <w:rsid w:val="00C159EB"/>
    <w:rsid w:val="00C15D05"/>
    <w:rsid w:val="00C166A1"/>
    <w:rsid w:val="00C16BF5"/>
    <w:rsid w:val="00C215C0"/>
    <w:rsid w:val="00C216EE"/>
    <w:rsid w:val="00C24817"/>
    <w:rsid w:val="00C25CF1"/>
    <w:rsid w:val="00C25E4B"/>
    <w:rsid w:val="00C26EEC"/>
    <w:rsid w:val="00C27619"/>
    <w:rsid w:val="00C27C6E"/>
    <w:rsid w:val="00C27D7F"/>
    <w:rsid w:val="00C30AC1"/>
    <w:rsid w:val="00C30DE8"/>
    <w:rsid w:val="00C3281D"/>
    <w:rsid w:val="00C375FB"/>
    <w:rsid w:val="00C3790E"/>
    <w:rsid w:val="00C37D4D"/>
    <w:rsid w:val="00C40387"/>
    <w:rsid w:val="00C40634"/>
    <w:rsid w:val="00C40ADE"/>
    <w:rsid w:val="00C42E92"/>
    <w:rsid w:val="00C435D9"/>
    <w:rsid w:val="00C438C8"/>
    <w:rsid w:val="00C43BA5"/>
    <w:rsid w:val="00C46EA2"/>
    <w:rsid w:val="00C47A13"/>
    <w:rsid w:val="00C50F58"/>
    <w:rsid w:val="00C53CAC"/>
    <w:rsid w:val="00C543F9"/>
    <w:rsid w:val="00C55472"/>
    <w:rsid w:val="00C5613E"/>
    <w:rsid w:val="00C57063"/>
    <w:rsid w:val="00C57F0F"/>
    <w:rsid w:val="00C6356A"/>
    <w:rsid w:val="00C73F7A"/>
    <w:rsid w:val="00C7584C"/>
    <w:rsid w:val="00C76F3A"/>
    <w:rsid w:val="00C80653"/>
    <w:rsid w:val="00C80F79"/>
    <w:rsid w:val="00C87A24"/>
    <w:rsid w:val="00C90570"/>
    <w:rsid w:val="00C90FAC"/>
    <w:rsid w:val="00C91A60"/>
    <w:rsid w:val="00C91B45"/>
    <w:rsid w:val="00C92251"/>
    <w:rsid w:val="00C9474D"/>
    <w:rsid w:val="00C94E0F"/>
    <w:rsid w:val="00C94F64"/>
    <w:rsid w:val="00C96442"/>
    <w:rsid w:val="00C964DB"/>
    <w:rsid w:val="00C971DA"/>
    <w:rsid w:val="00C97724"/>
    <w:rsid w:val="00CA00B6"/>
    <w:rsid w:val="00CA0680"/>
    <w:rsid w:val="00CA1A3B"/>
    <w:rsid w:val="00CA3D63"/>
    <w:rsid w:val="00CA4EAA"/>
    <w:rsid w:val="00CA79D2"/>
    <w:rsid w:val="00CA7B01"/>
    <w:rsid w:val="00CA7BD8"/>
    <w:rsid w:val="00CB0232"/>
    <w:rsid w:val="00CB21F9"/>
    <w:rsid w:val="00CB23F8"/>
    <w:rsid w:val="00CB262D"/>
    <w:rsid w:val="00CB2637"/>
    <w:rsid w:val="00CB2C91"/>
    <w:rsid w:val="00CB411A"/>
    <w:rsid w:val="00CB58A1"/>
    <w:rsid w:val="00CB7682"/>
    <w:rsid w:val="00CB7BE9"/>
    <w:rsid w:val="00CC00D4"/>
    <w:rsid w:val="00CC1BB6"/>
    <w:rsid w:val="00CC249E"/>
    <w:rsid w:val="00CC2E6A"/>
    <w:rsid w:val="00CC31A1"/>
    <w:rsid w:val="00CC487C"/>
    <w:rsid w:val="00CC4DC5"/>
    <w:rsid w:val="00CC5736"/>
    <w:rsid w:val="00CC5E95"/>
    <w:rsid w:val="00CC5F1E"/>
    <w:rsid w:val="00CC6569"/>
    <w:rsid w:val="00CD2E46"/>
    <w:rsid w:val="00CD4441"/>
    <w:rsid w:val="00CD4833"/>
    <w:rsid w:val="00CD7B55"/>
    <w:rsid w:val="00CE1CE1"/>
    <w:rsid w:val="00CE63F1"/>
    <w:rsid w:val="00CE6895"/>
    <w:rsid w:val="00CE6FC4"/>
    <w:rsid w:val="00CF2C75"/>
    <w:rsid w:val="00CF396B"/>
    <w:rsid w:val="00CF4534"/>
    <w:rsid w:val="00CF4973"/>
    <w:rsid w:val="00CF533D"/>
    <w:rsid w:val="00CF5523"/>
    <w:rsid w:val="00CF6F99"/>
    <w:rsid w:val="00CF7498"/>
    <w:rsid w:val="00CF7B14"/>
    <w:rsid w:val="00CF7E1B"/>
    <w:rsid w:val="00D0228A"/>
    <w:rsid w:val="00D02C82"/>
    <w:rsid w:val="00D05090"/>
    <w:rsid w:val="00D059EF"/>
    <w:rsid w:val="00D07432"/>
    <w:rsid w:val="00D1001D"/>
    <w:rsid w:val="00D108C2"/>
    <w:rsid w:val="00D13518"/>
    <w:rsid w:val="00D137D9"/>
    <w:rsid w:val="00D13FF3"/>
    <w:rsid w:val="00D14DD2"/>
    <w:rsid w:val="00D1549D"/>
    <w:rsid w:val="00D1578D"/>
    <w:rsid w:val="00D16230"/>
    <w:rsid w:val="00D166F8"/>
    <w:rsid w:val="00D20201"/>
    <w:rsid w:val="00D2097F"/>
    <w:rsid w:val="00D216D3"/>
    <w:rsid w:val="00D21EF8"/>
    <w:rsid w:val="00D22048"/>
    <w:rsid w:val="00D24B34"/>
    <w:rsid w:val="00D269BB"/>
    <w:rsid w:val="00D27CD2"/>
    <w:rsid w:val="00D30344"/>
    <w:rsid w:val="00D3034D"/>
    <w:rsid w:val="00D30860"/>
    <w:rsid w:val="00D30E6A"/>
    <w:rsid w:val="00D30FF7"/>
    <w:rsid w:val="00D31125"/>
    <w:rsid w:val="00D34F49"/>
    <w:rsid w:val="00D36F20"/>
    <w:rsid w:val="00D40716"/>
    <w:rsid w:val="00D40BB4"/>
    <w:rsid w:val="00D42938"/>
    <w:rsid w:val="00D431B6"/>
    <w:rsid w:val="00D43DEC"/>
    <w:rsid w:val="00D44E0B"/>
    <w:rsid w:val="00D4628C"/>
    <w:rsid w:val="00D4793B"/>
    <w:rsid w:val="00D479FF"/>
    <w:rsid w:val="00D504F9"/>
    <w:rsid w:val="00D5229E"/>
    <w:rsid w:val="00D55258"/>
    <w:rsid w:val="00D66309"/>
    <w:rsid w:val="00D66F1D"/>
    <w:rsid w:val="00D7075A"/>
    <w:rsid w:val="00D71AB0"/>
    <w:rsid w:val="00D73429"/>
    <w:rsid w:val="00D73C79"/>
    <w:rsid w:val="00D755C7"/>
    <w:rsid w:val="00D76193"/>
    <w:rsid w:val="00D76BF0"/>
    <w:rsid w:val="00D83988"/>
    <w:rsid w:val="00D850F7"/>
    <w:rsid w:val="00D92248"/>
    <w:rsid w:val="00D9397A"/>
    <w:rsid w:val="00D94123"/>
    <w:rsid w:val="00D944DC"/>
    <w:rsid w:val="00D9492E"/>
    <w:rsid w:val="00D952A9"/>
    <w:rsid w:val="00DA13C9"/>
    <w:rsid w:val="00DA24DD"/>
    <w:rsid w:val="00DA2F8C"/>
    <w:rsid w:val="00DA32DB"/>
    <w:rsid w:val="00DA36C1"/>
    <w:rsid w:val="00DA49AD"/>
    <w:rsid w:val="00DA5BD8"/>
    <w:rsid w:val="00DA5F4D"/>
    <w:rsid w:val="00DA7316"/>
    <w:rsid w:val="00DA74EF"/>
    <w:rsid w:val="00DB3804"/>
    <w:rsid w:val="00DB3BEC"/>
    <w:rsid w:val="00DB3D58"/>
    <w:rsid w:val="00DB515B"/>
    <w:rsid w:val="00DC0119"/>
    <w:rsid w:val="00DC0CF3"/>
    <w:rsid w:val="00DC109E"/>
    <w:rsid w:val="00DC11D7"/>
    <w:rsid w:val="00DC1268"/>
    <w:rsid w:val="00DC195D"/>
    <w:rsid w:val="00DC4FDD"/>
    <w:rsid w:val="00DC6D1C"/>
    <w:rsid w:val="00DC7D46"/>
    <w:rsid w:val="00DD0AF9"/>
    <w:rsid w:val="00DD0D5E"/>
    <w:rsid w:val="00DD396A"/>
    <w:rsid w:val="00DD3B1A"/>
    <w:rsid w:val="00DD57FF"/>
    <w:rsid w:val="00DD7C53"/>
    <w:rsid w:val="00DE0550"/>
    <w:rsid w:val="00DE0D14"/>
    <w:rsid w:val="00DE1781"/>
    <w:rsid w:val="00DE28EA"/>
    <w:rsid w:val="00DE2EC3"/>
    <w:rsid w:val="00DE3981"/>
    <w:rsid w:val="00DE46F2"/>
    <w:rsid w:val="00DE76FF"/>
    <w:rsid w:val="00DF4AF4"/>
    <w:rsid w:val="00DF642B"/>
    <w:rsid w:val="00E00F95"/>
    <w:rsid w:val="00E03AEB"/>
    <w:rsid w:val="00E04EDF"/>
    <w:rsid w:val="00E0523F"/>
    <w:rsid w:val="00E05985"/>
    <w:rsid w:val="00E119E5"/>
    <w:rsid w:val="00E1253D"/>
    <w:rsid w:val="00E1707F"/>
    <w:rsid w:val="00E1726A"/>
    <w:rsid w:val="00E20707"/>
    <w:rsid w:val="00E20AE3"/>
    <w:rsid w:val="00E20FF7"/>
    <w:rsid w:val="00E25709"/>
    <w:rsid w:val="00E25AAE"/>
    <w:rsid w:val="00E26A34"/>
    <w:rsid w:val="00E312BF"/>
    <w:rsid w:val="00E31A9F"/>
    <w:rsid w:val="00E349A1"/>
    <w:rsid w:val="00E3541E"/>
    <w:rsid w:val="00E40231"/>
    <w:rsid w:val="00E41FC3"/>
    <w:rsid w:val="00E42A5C"/>
    <w:rsid w:val="00E44686"/>
    <w:rsid w:val="00E448BE"/>
    <w:rsid w:val="00E4490E"/>
    <w:rsid w:val="00E47F2C"/>
    <w:rsid w:val="00E503CB"/>
    <w:rsid w:val="00E5066F"/>
    <w:rsid w:val="00E5088F"/>
    <w:rsid w:val="00E5296F"/>
    <w:rsid w:val="00E52A5A"/>
    <w:rsid w:val="00E52C89"/>
    <w:rsid w:val="00E52EA9"/>
    <w:rsid w:val="00E54E2C"/>
    <w:rsid w:val="00E56509"/>
    <w:rsid w:val="00E61162"/>
    <w:rsid w:val="00E639C7"/>
    <w:rsid w:val="00E641E4"/>
    <w:rsid w:val="00E6480A"/>
    <w:rsid w:val="00E65B2C"/>
    <w:rsid w:val="00E65B8F"/>
    <w:rsid w:val="00E65E75"/>
    <w:rsid w:val="00E65E7D"/>
    <w:rsid w:val="00E72137"/>
    <w:rsid w:val="00E7242C"/>
    <w:rsid w:val="00E72470"/>
    <w:rsid w:val="00E7249B"/>
    <w:rsid w:val="00E7305B"/>
    <w:rsid w:val="00E73EDC"/>
    <w:rsid w:val="00E765F5"/>
    <w:rsid w:val="00E8212C"/>
    <w:rsid w:val="00E839F4"/>
    <w:rsid w:val="00E8464A"/>
    <w:rsid w:val="00E8563B"/>
    <w:rsid w:val="00E878D3"/>
    <w:rsid w:val="00E92D8E"/>
    <w:rsid w:val="00E932C4"/>
    <w:rsid w:val="00EA047D"/>
    <w:rsid w:val="00EA2912"/>
    <w:rsid w:val="00EA2E4C"/>
    <w:rsid w:val="00EA307B"/>
    <w:rsid w:val="00EA3294"/>
    <w:rsid w:val="00EA45DE"/>
    <w:rsid w:val="00EA6CA3"/>
    <w:rsid w:val="00EB0804"/>
    <w:rsid w:val="00EB207B"/>
    <w:rsid w:val="00EB28CA"/>
    <w:rsid w:val="00EB42CC"/>
    <w:rsid w:val="00EB5FA3"/>
    <w:rsid w:val="00EB6F3D"/>
    <w:rsid w:val="00EC1C4D"/>
    <w:rsid w:val="00EC25A9"/>
    <w:rsid w:val="00EC3C54"/>
    <w:rsid w:val="00EC51A8"/>
    <w:rsid w:val="00EC548F"/>
    <w:rsid w:val="00EC7CF6"/>
    <w:rsid w:val="00EC7D4C"/>
    <w:rsid w:val="00ED2B60"/>
    <w:rsid w:val="00ED5035"/>
    <w:rsid w:val="00EE221E"/>
    <w:rsid w:val="00EE449D"/>
    <w:rsid w:val="00EF0016"/>
    <w:rsid w:val="00EF2586"/>
    <w:rsid w:val="00EF5214"/>
    <w:rsid w:val="00EF67FA"/>
    <w:rsid w:val="00F00CA4"/>
    <w:rsid w:val="00F03364"/>
    <w:rsid w:val="00F104BB"/>
    <w:rsid w:val="00F117FF"/>
    <w:rsid w:val="00F11C6F"/>
    <w:rsid w:val="00F1229C"/>
    <w:rsid w:val="00F17829"/>
    <w:rsid w:val="00F201E6"/>
    <w:rsid w:val="00F20C84"/>
    <w:rsid w:val="00F2163E"/>
    <w:rsid w:val="00F225B1"/>
    <w:rsid w:val="00F22D23"/>
    <w:rsid w:val="00F24999"/>
    <w:rsid w:val="00F2769D"/>
    <w:rsid w:val="00F276E1"/>
    <w:rsid w:val="00F27AEF"/>
    <w:rsid w:val="00F27BBE"/>
    <w:rsid w:val="00F327B7"/>
    <w:rsid w:val="00F363B3"/>
    <w:rsid w:val="00F41083"/>
    <w:rsid w:val="00F41C15"/>
    <w:rsid w:val="00F43263"/>
    <w:rsid w:val="00F4350F"/>
    <w:rsid w:val="00F4415B"/>
    <w:rsid w:val="00F44CCD"/>
    <w:rsid w:val="00F458FD"/>
    <w:rsid w:val="00F45C8F"/>
    <w:rsid w:val="00F46CC4"/>
    <w:rsid w:val="00F5180D"/>
    <w:rsid w:val="00F51835"/>
    <w:rsid w:val="00F527BF"/>
    <w:rsid w:val="00F52804"/>
    <w:rsid w:val="00F53985"/>
    <w:rsid w:val="00F5456B"/>
    <w:rsid w:val="00F5473A"/>
    <w:rsid w:val="00F55B3F"/>
    <w:rsid w:val="00F63820"/>
    <w:rsid w:val="00F64A82"/>
    <w:rsid w:val="00F651F8"/>
    <w:rsid w:val="00F655B8"/>
    <w:rsid w:val="00F6626D"/>
    <w:rsid w:val="00F745AF"/>
    <w:rsid w:val="00F75077"/>
    <w:rsid w:val="00F80F01"/>
    <w:rsid w:val="00F8380C"/>
    <w:rsid w:val="00F83C7F"/>
    <w:rsid w:val="00F83F8B"/>
    <w:rsid w:val="00F8435F"/>
    <w:rsid w:val="00F851B8"/>
    <w:rsid w:val="00F86E3D"/>
    <w:rsid w:val="00F872ED"/>
    <w:rsid w:val="00F87362"/>
    <w:rsid w:val="00F87FB7"/>
    <w:rsid w:val="00F918EE"/>
    <w:rsid w:val="00F92357"/>
    <w:rsid w:val="00F93199"/>
    <w:rsid w:val="00F9336C"/>
    <w:rsid w:val="00F93855"/>
    <w:rsid w:val="00F97C97"/>
    <w:rsid w:val="00FA1A89"/>
    <w:rsid w:val="00FA1BA6"/>
    <w:rsid w:val="00FA1BBE"/>
    <w:rsid w:val="00FA395B"/>
    <w:rsid w:val="00FA6A83"/>
    <w:rsid w:val="00FA7D7E"/>
    <w:rsid w:val="00FB0A09"/>
    <w:rsid w:val="00FB3F09"/>
    <w:rsid w:val="00FB5D8A"/>
    <w:rsid w:val="00FC223E"/>
    <w:rsid w:val="00FC2D6E"/>
    <w:rsid w:val="00FC428B"/>
    <w:rsid w:val="00FC4528"/>
    <w:rsid w:val="00FC4D97"/>
    <w:rsid w:val="00FC4E9C"/>
    <w:rsid w:val="00FC721A"/>
    <w:rsid w:val="00FD0EAE"/>
    <w:rsid w:val="00FD3777"/>
    <w:rsid w:val="00FD45E3"/>
    <w:rsid w:val="00FD50CE"/>
    <w:rsid w:val="00FD556E"/>
    <w:rsid w:val="00FD6D4A"/>
    <w:rsid w:val="00FE1989"/>
    <w:rsid w:val="00FE2BF8"/>
    <w:rsid w:val="00FE3A2C"/>
    <w:rsid w:val="00FE3C5A"/>
    <w:rsid w:val="00FE616B"/>
    <w:rsid w:val="00FE6E90"/>
    <w:rsid w:val="00FF0B53"/>
    <w:rsid w:val="00FF0D36"/>
    <w:rsid w:val="00FF0D6E"/>
    <w:rsid w:val="00FF1F10"/>
    <w:rsid w:val="00FF45E5"/>
    <w:rsid w:val="00FF55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5506"/>
  <w15:chartTrackingRefBased/>
  <w15:docId w15:val="{5E1F472D-31D0-4ACB-A9D5-06B96910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C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108C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8C2"/>
    <w:rPr>
      <w:rFonts w:ascii="Arial" w:eastAsia="Times New Roman" w:hAnsi="Arial" w:cs="Arial"/>
      <w:b/>
      <w:bCs/>
      <w:kern w:val="32"/>
      <w:sz w:val="32"/>
      <w:szCs w:val="32"/>
    </w:rPr>
  </w:style>
  <w:style w:type="paragraph" w:styleId="Header">
    <w:name w:val="header"/>
    <w:basedOn w:val="Normal"/>
    <w:link w:val="HeaderChar"/>
    <w:uiPriority w:val="99"/>
    <w:unhideWhenUsed/>
    <w:rsid w:val="00D1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C2"/>
    <w:rPr>
      <w:rFonts w:ascii="Calibri" w:eastAsia="Calibri" w:hAnsi="Calibri" w:cs="Times New Roman"/>
    </w:rPr>
  </w:style>
  <w:style w:type="paragraph" w:styleId="Footer">
    <w:name w:val="footer"/>
    <w:basedOn w:val="Normal"/>
    <w:link w:val="FooterChar"/>
    <w:uiPriority w:val="99"/>
    <w:unhideWhenUsed/>
    <w:rsid w:val="00D1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C2"/>
    <w:rPr>
      <w:rFonts w:ascii="Calibri" w:eastAsia="Calibri" w:hAnsi="Calibri" w:cs="Times New Roman"/>
    </w:rPr>
  </w:style>
  <w:style w:type="table" w:styleId="TableGrid">
    <w:name w:val="Table Grid"/>
    <w:basedOn w:val="TableNormal"/>
    <w:uiPriority w:val="39"/>
    <w:rsid w:val="00D108C2"/>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D108C2"/>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D108C2"/>
    <w:rPr>
      <w:rFonts w:ascii="Century Gothic" w:eastAsia="Times New Roman" w:hAnsi="Century Gothic" w:cs="Arial"/>
      <w:sz w:val="20"/>
      <w:szCs w:val="20"/>
    </w:rPr>
  </w:style>
  <w:style w:type="paragraph" w:styleId="BalloonText">
    <w:name w:val="Balloon Text"/>
    <w:basedOn w:val="Normal"/>
    <w:link w:val="BalloonTextChar"/>
    <w:uiPriority w:val="99"/>
    <w:semiHidden/>
    <w:unhideWhenUsed/>
    <w:rsid w:val="00D1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C2"/>
    <w:rPr>
      <w:rFonts w:ascii="Tahoma" w:eastAsia="Calibri" w:hAnsi="Tahoma" w:cs="Tahoma"/>
      <w:sz w:val="16"/>
      <w:szCs w:val="16"/>
    </w:rPr>
  </w:style>
  <w:style w:type="paragraph" w:styleId="ListParagraph">
    <w:name w:val="List Paragraph"/>
    <w:basedOn w:val="Normal"/>
    <w:uiPriority w:val="34"/>
    <w:qFormat/>
    <w:rsid w:val="00D108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636CC-43C8-4C5D-9EF1-AA33F7C3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12</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38</cp:revision>
  <cp:lastPrinted>2019-01-04T06:01:00Z</cp:lastPrinted>
  <dcterms:created xsi:type="dcterms:W3CDTF">2018-12-31T05:14:00Z</dcterms:created>
  <dcterms:modified xsi:type="dcterms:W3CDTF">2019-01-04T07:25:00Z</dcterms:modified>
</cp:coreProperties>
</file>