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88DBC" w14:textId="28B12680" w:rsidR="007457A7" w:rsidRPr="007457A7" w:rsidRDefault="007457A7" w:rsidP="007D547E">
      <w:pPr>
        <w:spacing w:after="0" w:line="240" w:lineRule="atLeast"/>
        <w:rPr>
          <w:rFonts w:asciiTheme="majorHAnsi" w:hAnsiTheme="majorHAnsi" w:cstheme="minorHAnsi"/>
          <w:b/>
          <w:i/>
          <w:color w:val="000000" w:themeColor="text1"/>
          <w:sz w:val="40"/>
          <w:szCs w:val="40"/>
        </w:rPr>
      </w:pPr>
      <w:bookmarkStart w:id="0" w:name="_Hlk23339276"/>
      <w:r w:rsidRPr="007457A7">
        <w:rPr>
          <w:rFonts w:asciiTheme="majorHAnsi" w:hAnsiTheme="majorHAnsi" w:cstheme="minorHAnsi"/>
          <w:b/>
          <w:i/>
          <w:color w:val="000000" w:themeColor="text1"/>
          <w:sz w:val="40"/>
          <w:szCs w:val="40"/>
        </w:rPr>
        <w:t>PwC focus on MTBPS 2019 – 30 October 2019</w:t>
      </w:r>
    </w:p>
    <w:p w14:paraId="2F1EB419" w14:textId="77777777" w:rsidR="007457A7" w:rsidRDefault="007457A7" w:rsidP="007D547E">
      <w:pPr>
        <w:spacing w:after="0" w:line="240" w:lineRule="atLeast"/>
        <w:rPr>
          <w:rFonts w:asciiTheme="majorHAnsi" w:hAnsiTheme="majorHAnsi" w:cstheme="minorHAnsi"/>
          <w:b/>
          <w:i/>
          <w:color w:val="DC6900" w:themeColor="accent1"/>
          <w:sz w:val="44"/>
          <w:szCs w:val="38"/>
        </w:rPr>
      </w:pPr>
    </w:p>
    <w:p w14:paraId="505535A9" w14:textId="6D0723E2" w:rsidR="009B64FB" w:rsidRPr="007D547E" w:rsidRDefault="009B64FB" w:rsidP="007D547E">
      <w:pPr>
        <w:spacing w:after="0" w:line="240" w:lineRule="atLeast"/>
        <w:rPr>
          <w:rFonts w:asciiTheme="majorHAnsi" w:hAnsiTheme="majorHAnsi" w:cstheme="minorHAnsi"/>
          <w:b/>
          <w:i/>
          <w:color w:val="DC6900" w:themeColor="accent1"/>
          <w:sz w:val="44"/>
          <w:szCs w:val="38"/>
        </w:rPr>
      </w:pPr>
      <w:r w:rsidRPr="007D547E">
        <w:rPr>
          <w:rFonts w:asciiTheme="majorHAnsi" w:hAnsiTheme="majorHAnsi" w:cstheme="minorHAnsi"/>
          <w:b/>
          <w:i/>
          <w:color w:val="DC6900" w:themeColor="accent1"/>
          <w:sz w:val="44"/>
          <w:szCs w:val="38"/>
        </w:rPr>
        <w:t xml:space="preserve">Kicking </w:t>
      </w:r>
      <w:r w:rsidR="00AF524C">
        <w:rPr>
          <w:rFonts w:asciiTheme="majorHAnsi" w:hAnsiTheme="majorHAnsi" w:cstheme="minorHAnsi"/>
          <w:b/>
          <w:i/>
          <w:color w:val="DC6900" w:themeColor="accent1"/>
          <w:sz w:val="44"/>
          <w:szCs w:val="38"/>
        </w:rPr>
        <w:t>into</w:t>
      </w:r>
      <w:r w:rsidRPr="007D547E">
        <w:rPr>
          <w:rFonts w:asciiTheme="majorHAnsi" w:hAnsiTheme="majorHAnsi" w:cstheme="minorHAnsi"/>
          <w:b/>
          <w:i/>
          <w:color w:val="DC6900" w:themeColor="accent1"/>
          <w:sz w:val="44"/>
          <w:szCs w:val="38"/>
        </w:rPr>
        <w:t xml:space="preserve"> touch with the MTBPS</w:t>
      </w:r>
      <w:r w:rsidR="00974ED6" w:rsidRPr="007D547E">
        <w:rPr>
          <w:rFonts w:asciiTheme="majorHAnsi" w:hAnsiTheme="majorHAnsi" w:cstheme="minorHAnsi"/>
          <w:b/>
          <w:i/>
          <w:color w:val="DC6900" w:themeColor="accent1"/>
          <w:sz w:val="44"/>
          <w:szCs w:val="38"/>
        </w:rPr>
        <w:t xml:space="preserve"> 2019</w:t>
      </w:r>
    </w:p>
    <w:p w14:paraId="6FF86F81" w14:textId="77777777" w:rsidR="00A5726F" w:rsidRPr="00541CBF" w:rsidRDefault="00A5726F">
      <w:pPr>
        <w:rPr>
          <w:rFonts w:ascii="Georgia" w:hAnsi="Georgia"/>
          <w:sz w:val="20"/>
          <w:szCs w:val="20"/>
        </w:rPr>
      </w:pPr>
    </w:p>
    <w:p w14:paraId="28DAA346" w14:textId="77777777" w:rsidR="009B64FB" w:rsidRDefault="009B64FB">
      <w:pPr>
        <w:rPr>
          <w:rFonts w:ascii="Georgia" w:hAnsi="Georgia"/>
          <w:b/>
          <w:szCs w:val="20"/>
        </w:rPr>
      </w:pPr>
      <w:bookmarkStart w:id="1" w:name="_Hlk23327441"/>
      <w:r>
        <w:rPr>
          <w:rFonts w:ascii="Georgia" w:hAnsi="Georgia"/>
          <w:b/>
          <w:szCs w:val="20"/>
        </w:rPr>
        <w:t xml:space="preserve">The finance minister laid out a morbid outlook for the fiscus in the absence of reforms </w:t>
      </w:r>
      <w:r w:rsidR="00352FF9">
        <w:rPr>
          <w:rFonts w:ascii="Georgia" w:hAnsi="Georgia"/>
          <w:b/>
          <w:szCs w:val="20"/>
        </w:rPr>
        <w:t xml:space="preserve">- </w:t>
      </w:r>
      <w:r>
        <w:rPr>
          <w:rFonts w:ascii="Georgia" w:hAnsi="Georgia"/>
          <w:b/>
          <w:szCs w:val="20"/>
        </w:rPr>
        <w:t xml:space="preserve">envisaged for </w:t>
      </w:r>
      <w:r w:rsidR="00FB579F">
        <w:rPr>
          <w:rFonts w:ascii="Georgia" w:hAnsi="Georgia"/>
          <w:b/>
          <w:szCs w:val="20"/>
        </w:rPr>
        <w:t xml:space="preserve">announcement in the </w:t>
      </w:r>
      <w:r>
        <w:rPr>
          <w:rFonts w:ascii="Georgia" w:hAnsi="Georgia"/>
          <w:b/>
          <w:szCs w:val="20"/>
        </w:rPr>
        <w:t>Budget Speech 2020</w:t>
      </w:r>
    </w:p>
    <w:p w14:paraId="66B66E33" w14:textId="77777777" w:rsidR="00621AE0" w:rsidRDefault="00621AE0">
      <w:pPr>
        <w:rPr>
          <w:rFonts w:ascii="Georgia" w:hAnsi="Georgia"/>
          <w:b/>
          <w:szCs w:val="20"/>
        </w:rPr>
      </w:pPr>
    </w:p>
    <w:bookmarkEnd w:id="1"/>
    <w:p w14:paraId="7FAE7616" w14:textId="77777777" w:rsidR="00A5726F" w:rsidRPr="00541CBF" w:rsidRDefault="00A5726F" w:rsidP="00A5726F">
      <w:pPr>
        <w:jc w:val="right"/>
        <w:rPr>
          <w:rFonts w:ascii="Georgia" w:hAnsi="Georgia"/>
          <w:sz w:val="20"/>
          <w:szCs w:val="20"/>
        </w:rPr>
      </w:pPr>
      <w:r w:rsidRPr="00541CBF">
        <w:rPr>
          <w:rFonts w:ascii="Georgia" w:hAnsi="Georgia"/>
          <w:sz w:val="20"/>
          <w:szCs w:val="20"/>
        </w:rPr>
        <w:t>30 October 2019</w:t>
      </w:r>
    </w:p>
    <w:p w14:paraId="62F528D8" w14:textId="77777777" w:rsidR="00A5726F" w:rsidRPr="00541CBF" w:rsidRDefault="00A5726F" w:rsidP="00AF524C">
      <w:pPr>
        <w:jc w:val="right"/>
        <w:rPr>
          <w:rFonts w:asciiTheme="majorHAnsi" w:hAnsiTheme="majorHAnsi" w:cstheme="minorHAnsi"/>
          <w:i/>
          <w:sz w:val="20"/>
          <w:szCs w:val="20"/>
        </w:rPr>
      </w:pPr>
      <w:r w:rsidRPr="00541CBF">
        <w:rPr>
          <w:rFonts w:asciiTheme="majorHAnsi" w:hAnsiTheme="majorHAnsi" w:cstheme="minorHAnsi"/>
          <w:i/>
          <w:sz w:val="20"/>
          <w:szCs w:val="20"/>
        </w:rPr>
        <w:t>By PwC Strategy&amp; economists Lullu Krugel &amp; Christie Viljoen</w:t>
      </w:r>
    </w:p>
    <w:p w14:paraId="722CD43C" w14:textId="77777777" w:rsidR="00A5726F" w:rsidRPr="00541CBF" w:rsidRDefault="00A5726F">
      <w:pPr>
        <w:rPr>
          <w:rFonts w:ascii="Georgia" w:hAnsi="Georgia"/>
          <w:sz w:val="20"/>
          <w:szCs w:val="20"/>
        </w:rPr>
      </w:pPr>
    </w:p>
    <w:p w14:paraId="3CD705F9" w14:textId="77777777" w:rsidR="00A5726F" w:rsidRDefault="00A5726F">
      <w:pPr>
        <w:rPr>
          <w:rFonts w:ascii="Georgia" w:hAnsi="Georgia"/>
          <w:sz w:val="20"/>
          <w:szCs w:val="20"/>
        </w:rPr>
      </w:pPr>
      <w:r w:rsidRPr="00541CBF">
        <w:rPr>
          <w:rFonts w:ascii="Georgia" w:hAnsi="Georgia"/>
          <w:sz w:val="20"/>
          <w:szCs w:val="20"/>
        </w:rPr>
        <w:t xml:space="preserve">Finance Minister Tito Mboweni delivered </w:t>
      </w:r>
      <w:r w:rsidR="009B64FB">
        <w:rPr>
          <w:rFonts w:ascii="Georgia" w:hAnsi="Georgia"/>
          <w:sz w:val="20"/>
          <w:szCs w:val="20"/>
        </w:rPr>
        <w:t xml:space="preserve">a macabre </w:t>
      </w:r>
      <w:r w:rsidRPr="00541CBF">
        <w:rPr>
          <w:rFonts w:ascii="Georgia" w:hAnsi="Georgia"/>
          <w:sz w:val="20"/>
          <w:szCs w:val="20"/>
        </w:rPr>
        <w:t xml:space="preserve">Medium-Term Budget Policy Statement (MTBSP) to Parliament on October 30. </w:t>
      </w:r>
      <w:r w:rsidR="00F76C6E" w:rsidRPr="00541CBF">
        <w:rPr>
          <w:rFonts w:ascii="Georgia" w:hAnsi="Georgia"/>
          <w:sz w:val="20"/>
          <w:szCs w:val="20"/>
        </w:rPr>
        <w:t xml:space="preserve">The MTBPS communicates to government and the people the economic context of the country and fiscal spending priorities over the coming three years. </w:t>
      </w:r>
      <w:r w:rsidR="009B64FB">
        <w:rPr>
          <w:rFonts w:ascii="Georgia" w:hAnsi="Georgia"/>
          <w:sz w:val="20"/>
          <w:szCs w:val="20"/>
        </w:rPr>
        <w:t>(It does not include detailed spending plans or tax proposals, which are left to the main budget in February.</w:t>
      </w:r>
      <w:r w:rsidR="000C1B12">
        <w:rPr>
          <w:rFonts w:ascii="Georgia" w:hAnsi="Georgia"/>
          <w:sz w:val="20"/>
          <w:szCs w:val="20"/>
        </w:rPr>
        <w:t>)</w:t>
      </w:r>
      <w:r w:rsidR="009B64FB">
        <w:rPr>
          <w:rFonts w:ascii="Georgia" w:hAnsi="Georgia"/>
          <w:sz w:val="20"/>
          <w:szCs w:val="20"/>
        </w:rPr>
        <w:t xml:space="preserve"> </w:t>
      </w:r>
      <w:r w:rsidR="00541CBF">
        <w:rPr>
          <w:rFonts w:ascii="Georgia" w:hAnsi="Georgia"/>
          <w:sz w:val="20"/>
          <w:szCs w:val="20"/>
        </w:rPr>
        <w:t xml:space="preserve">Minister Mboweni indicated that the MTBPS sets out plans to boost economic growth, reduce government expenditure, and improve the quality of fiscal spending. </w:t>
      </w:r>
      <w:r w:rsidR="009B64FB">
        <w:rPr>
          <w:rFonts w:ascii="Georgia" w:hAnsi="Georgia"/>
          <w:sz w:val="20"/>
          <w:szCs w:val="20"/>
        </w:rPr>
        <w:t>However, the latest version of the document reflects a s</w:t>
      </w:r>
      <w:r w:rsidR="009B64FB" w:rsidRPr="009B64FB">
        <w:rPr>
          <w:rFonts w:ascii="Georgia" w:hAnsi="Georgia"/>
          <w:sz w:val="20"/>
          <w:szCs w:val="20"/>
        </w:rPr>
        <w:t xml:space="preserve">ignificant deterioration in </w:t>
      </w:r>
      <w:r w:rsidR="009B64FB">
        <w:rPr>
          <w:rFonts w:ascii="Georgia" w:hAnsi="Georgia"/>
          <w:sz w:val="20"/>
          <w:szCs w:val="20"/>
        </w:rPr>
        <w:t xml:space="preserve">many </w:t>
      </w:r>
      <w:r w:rsidR="009B64FB" w:rsidRPr="009B64FB">
        <w:rPr>
          <w:rFonts w:ascii="Georgia" w:hAnsi="Georgia"/>
          <w:sz w:val="20"/>
          <w:szCs w:val="20"/>
        </w:rPr>
        <w:t>fiscal projections</w:t>
      </w:r>
      <w:r w:rsidR="000C1B12">
        <w:rPr>
          <w:rFonts w:ascii="Georgia" w:hAnsi="Georgia"/>
          <w:sz w:val="20"/>
          <w:szCs w:val="20"/>
        </w:rPr>
        <w:t xml:space="preserve">. Admittedly, there are </w:t>
      </w:r>
      <w:r w:rsidR="009B64FB" w:rsidRPr="009B64FB">
        <w:rPr>
          <w:rFonts w:ascii="Georgia" w:hAnsi="Georgia"/>
          <w:sz w:val="20"/>
          <w:szCs w:val="20"/>
        </w:rPr>
        <w:t xml:space="preserve">promises of hope </w:t>
      </w:r>
      <w:r w:rsidR="009B64FB">
        <w:rPr>
          <w:rFonts w:ascii="Georgia" w:hAnsi="Georgia"/>
          <w:sz w:val="20"/>
          <w:szCs w:val="20"/>
        </w:rPr>
        <w:t xml:space="preserve">for improved numbers in the </w:t>
      </w:r>
      <w:r w:rsidR="009B64FB" w:rsidRPr="009B64FB">
        <w:rPr>
          <w:rFonts w:ascii="Georgia" w:hAnsi="Georgia"/>
          <w:sz w:val="20"/>
          <w:szCs w:val="20"/>
        </w:rPr>
        <w:t>Budget Speech 2020</w:t>
      </w:r>
    </w:p>
    <w:p w14:paraId="200CE4D2" w14:textId="77777777" w:rsidR="00541CBF" w:rsidRPr="00541CBF" w:rsidRDefault="00541CBF">
      <w:pPr>
        <w:rPr>
          <w:rFonts w:ascii="Georgia" w:hAnsi="Georgia"/>
          <w:sz w:val="20"/>
          <w:szCs w:val="20"/>
        </w:rPr>
      </w:pPr>
    </w:p>
    <w:p w14:paraId="29B30B15" w14:textId="77777777" w:rsidR="00A5726F" w:rsidRPr="007D547E" w:rsidRDefault="00A5726F" w:rsidP="00A5726F">
      <w:pPr>
        <w:rPr>
          <w:rFonts w:ascii="Georgia" w:hAnsi="Georgia"/>
          <w:b/>
          <w:i/>
          <w:color w:val="DC6900" w:themeColor="accent1"/>
          <w:szCs w:val="20"/>
        </w:rPr>
      </w:pPr>
      <w:r w:rsidRPr="007D547E">
        <w:rPr>
          <w:rFonts w:ascii="Georgia" w:hAnsi="Georgia"/>
          <w:b/>
          <w:i/>
          <w:color w:val="DC6900" w:themeColor="accent1"/>
          <w:szCs w:val="20"/>
        </w:rPr>
        <w:t>Key points:</w:t>
      </w:r>
    </w:p>
    <w:p w14:paraId="54BCE059" w14:textId="77777777" w:rsidR="00411B8C" w:rsidRPr="00411B8C" w:rsidRDefault="00411B8C" w:rsidP="00E8468A">
      <w:pPr>
        <w:pStyle w:val="ListParagraph"/>
        <w:numPr>
          <w:ilvl w:val="0"/>
          <w:numId w:val="1"/>
        </w:numPr>
        <w:rPr>
          <w:rFonts w:asciiTheme="majorHAnsi" w:hAnsiTheme="majorHAnsi" w:cstheme="minorHAnsi"/>
          <w:i/>
          <w:sz w:val="20"/>
          <w:szCs w:val="20"/>
        </w:rPr>
      </w:pPr>
      <w:r w:rsidRPr="00411B8C">
        <w:rPr>
          <w:rFonts w:asciiTheme="majorHAnsi" w:hAnsiTheme="majorHAnsi" w:cstheme="minorHAnsi"/>
          <w:i/>
          <w:sz w:val="20"/>
          <w:szCs w:val="20"/>
        </w:rPr>
        <w:t xml:space="preserve">Economic growth projections revised lower </w:t>
      </w:r>
      <w:r>
        <w:rPr>
          <w:rFonts w:asciiTheme="majorHAnsi" w:hAnsiTheme="majorHAnsi" w:cstheme="minorHAnsi"/>
          <w:i/>
          <w:sz w:val="20"/>
          <w:szCs w:val="20"/>
        </w:rPr>
        <w:t xml:space="preserve">(o.5% in 2019, 1.2% in 2020) </w:t>
      </w:r>
      <w:r w:rsidRPr="00411B8C">
        <w:rPr>
          <w:rFonts w:asciiTheme="majorHAnsi" w:hAnsiTheme="majorHAnsi" w:cstheme="minorHAnsi"/>
          <w:i/>
          <w:sz w:val="20"/>
          <w:szCs w:val="20"/>
        </w:rPr>
        <w:t>in the absence of progress on structural reforms</w:t>
      </w:r>
    </w:p>
    <w:p w14:paraId="6CF78741" w14:textId="77777777" w:rsidR="00411B8C" w:rsidRPr="00411B8C" w:rsidRDefault="00411B8C" w:rsidP="00E8468A">
      <w:pPr>
        <w:pStyle w:val="ListParagraph"/>
        <w:numPr>
          <w:ilvl w:val="0"/>
          <w:numId w:val="1"/>
        </w:numPr>
        <w:rPr>
          <w:rFonts w:asciiTheme="majorHAnsi" w:hAnsiTheme="majorHAnsi" w:cstheme="minorHAnsi"/>
          <w:i/>
          <w:sz w:val="20"/>
          <w:szCs w:val="20"/>
        </w:rPr>
      </w:pPr>
      <w:r>
        <w:rPr>
          <w:rFonts w:asciiTheme="majorHAnsi" w:hAnsiTheme="majorHAnsi" w:cstheme="minorHAnsi"/>
          <w:i/>
          <w:sz w:val="20"/>
          <w:szCs w:val="20"/>
        </w:rPr>
        <w:t xml:space="preserve">Progress </w:t>
      </w:r>
      <w:r w:rsidR="003B2BFE">
        <w:rPr>
          <w:rFonts w:asciiTheme="majorHAnsi" w:hAnsiTheme="majorHAnsi" w:cstheme="minorHAnsi"/>
          <w:i/>
          <w:sz w:val="20"/>
          <w:szCs w:val="20"/>
        </w:rPr>
        <w:t>i</w:t>
      </w:r>
      <w:r>
        <w:rPr>
          <w:rFonts w:asciiTheme="majorHAnsi" w:hAnsiTheme="majorHAnsi" w:cstheme="minorHAnsi"/>
          <w:i/>
          <w:sz w:val="20"/>
          <w:szCs w:val="20"/>
        </w:rPr>
        <w:t xml:space="preserve">n launching </w:t>
      </w:r>
      <w:r w:rsidR="003B2BFE">
        <w:rPr>
          <w:rFonts w:asciiTheme="majorHAnsi" w:hAnsiTheme="majorHAnsi" w:cstheme="minorHAnsi"/>
          <w:i/>
          <w:sz w:val="20"/>
          <w:szCs w:val="20"/>
        </w:rPr>
        <w:t xml:space="preserve">the </w:t>
      </w:r>
      <w:r w:rsidRPr="00411B8C">
        <w:rPr>
          <w:rFonts w:asciiTheme="majorHAnsi" w:hAnsiTheme="majorHAnsi" w:cstheme="minorHAnsi"/>
          <w:i/>
          <w:sz w:val="20"/>
          <w:szCs w:val="20"/>
        </w:rPr>
        <w:t xml:space="preserve">Infrastructure Fund </w:t>
      </w:r>
      <w:r>
        <w:rPr>
          <w:rFonts w:asciiTheme="majorHAnsi" w:hAnsiTheme="majorHAnsi" w:cstheme="minorHAnsi"/>
          <w:i/>
          <w:sz w:val="20"/>
          <w:szCs w:val="20"/>
        </w:rPr>
        <w:t xml:space="preserve">and </w:t>
      </w:r>
      <w:r w:rsidR="003B2BFE">
        <w:rPr>
          <w:rFonts w:asciiTheme="majorHAnsi" w:hAnsiTheme="majorHAnsi" w:cstheme="minorHAnsi"/>
          <w:i/>
          <w:sz w:val="20"/>
          <w:szCs w:val="20"/>
        </w:rPr>
        <w:t xml:space="preserve">identifying projects for </w:t>
      </w:r>
      <w:r>
        <w:rPr>
          <w:rFonts w:asciiTheme="majorHAnsi" w:hAnsiTheme="majorHAnsi" w:cstheme="minorHAnsi"/>
          <w:i/>
          <w:sz w:val="20"/>
          <w:szCs w:val="20"/>
        </w:rPr>
        <w:t>public private partnerships</w:t>
      </w:r>
    </w:p>
    <w:p w14:paraId="6F0CA90B" w14:textId="77777777" w:rsidR="00411B8C" w:rsidRPr="00411B8C" w:rsidRDefault="00411B8C" w:rsidP="00A5726F">
      <w:pPr>
        <w:pStyle w:val="ListParagraph"/>
        <w:numPr>
          <w:ilvl w:val="0"/>
          <w:numId w:val="1"/>
        </w:numPr>
        <w:rPr>
          <w:rFonts w:asciiTheme="majorHAnsi" w:hAnsiTheme="majorHAnsi" w:cstheme="minorHAnsi"/>
          <w:i/>
          <w:sz w:val="20"/>
          <w:szCs w:val="20"/>
        </w:rPr>
      </w:pPr>
      <w:r w:rsidRPr="00411B8C">
        <w:rPr>
          <w:rFonts w:asciiTheme="majorHAnsi" w:hAnsiTheme="majorHAnsi" w:cstheme="minorHAnsi"/>
          <w:i/>
          <w:sz w:val="20"/>
          <w:szCs w:val="20"/>
        </w:rPr>
        <w:t xml:space="preserve">R128 billion in provisional support </w:t>
      </w:r>
      <w:r>
        <w:rPr>
          <w:rFonts w:asciiTheme="majorHAnsi" w:hAnsiTheme="majorHAnsi" w:cstheme="minorHAnsi"/>
          <w:i/>
          <w:sz w:val="20"/>
          <w:szCs w:val="20"/>
        </w:rPr>
        <w:t xml:space="preserve">for </w:t>
      </w:r>
      <w:r w:rsidRPr="00411B8C">
        <w:rPr>
          <w:rFonts w:asciiTheme="majorHAnsi" w:hAnsiTheme="majorHAnsi" w:cstheme="minorHAnsi"/>
          <w:i/>
          <w:sz w:val="20"/>
          <w:szCs w:val="20"/>
        </w:rPr>
        <w:t>Eskom</w:t>
      </w:r>
      <w:r>
        <w:rPr>
          <w:rFonts w:asciiTheme="majorHAnsi" w:hAnsiTheme="majorHAnsi" w:cstheme="minorHAnsi"/>
          <w:i/>
          <w:sz w:val="20"/>
          <w:szCs w:val="20"/>
        </w:rPr>
        <w:t xml:space="preserve">, but debt relief not considered until operational changes and progress s </w:t>
      </w:r>
      <w:r w:rsidR="003B2BFE">
        <w:rPr>
          <w:rFonts w:asciiTheme="majorHAnsi" w:hAnsiTheme="majorHAnsi" w:cstheme="minorHAnsi"/>
          <w:i/>
          <w:sz w:val="20"/>
          <w:szCs w:val="20"/>
        </w:rPr>
        <w:t>visible</w:t>
      </w:r>
    </w:p>
    <w:p w14:paraId="53BE0281" w14:textId="0952A9DE" w:rsidR="003B2BFE" w:rsidRDefault="003B2BFE" w:rsidP="00A5726F">
      <w:pPr>
        <w:pStyle w:val="ListParagraph"/>
        <w:numPr>
          <w:ilvl w:val="0"/>
          <w:numId w:val="1"/>
        </w:numPr>
        <w:rPr>
          <w:rFonts w:asciiTheme="majorHAnsi" w:hAnsiTheme="majorHAnsi" w:cstheme="minorHAnsi"/>
          <w:i/>
          <w:sz w:val="20"/>
          <w:szCs w:val="20"/>
        </w:rPr>
      </w:pPr>
      <w:r>
        <w:rPr>
          <w:rFonts w:asciiTheme="majorHAnsi" w:hAnsiTheme="majorHAnsi" w:cstheme="minorHAnsi"/>
          <w:i/>
          <w:sz w:val="20"/>
          <w:szCs w:val="20"/>
        </w:rPr>
        <w:t xml:space="preserve">Current </w:t>
      </w:r>
      <w:r w:rsidRPr="003B2BFE">
        <w:rPr>
          <w:rFonts w:asciiTheme="majorHAnsi" w:hAnsiTheme="majorHAnsi" w:cstheme="minorHAnsi"/>
          <w:i/>
          <w:sz w:val="20"/>
          <w:szCs w:val="20"/>
        </w:rPr>
        <w:t>financial year is expected to see R46 billion less in revenue than planned in</w:t>
      </w:r>
      <w:r>
        <w:rPr>
          <w:rFonts w:asciiTheme="majorHAnsi" w:hAnsiTheme="majorHAnsi" w:cstheme="minorHAnsi"/>
          <w:i/>
          <w:sz w:val="20"/>
          <w:szCs w:val="20"/>
        </w:rPr>
        <w:t xml:space="preserve"> </w:t>
      </w:r>
      <w:r w:rsidRPr="003B2BFE">
        <w:rPr>
          <w:rFonts w:asciiTheme="majorHAnsi" w:hAnsiTheme="majorHAnsi" w:cstheme="minorHAnsi"/>
          <w:i/>
          <w:sz w:val="20"/>
          <w:szCs w:val="20"/>
        </w:rPr>
        <w:t>February</w:t>
      </w:r>
      <w:r>
        <w:rPr>
          <w:rFonts w:asciiTheme="majorHAnsi" w:hAnsiTheme="majorHAnsi" w:cstheme="minorHAnsi"/>
          <w:i/>
          <w:sz w:val="20"/>
          <w:szCs w:val="20"/>
        </w:rPr>
        <w:t xml:space="preserve"> due to weak growth in</w:t>
      </w:r>
      <w:bookmarkStart w:id="2" w:name="_GoBack"/>
      <w:bookmarkEnd w:id="2"/>
      <w:r>
        <w:rPr>
          <w:rFonts w:asciiTheme="majorHAnsi" w:hAnsiTheme="majorHAnsi" w:cstheme="minorHAnsi"/>
          <w:i/>
          <w:sz w:val="20"/>
          <w:szCs w:val="20"/>
        </w:rPr>
        <w:t xml:space="preserve"> all tax categories</w:t>
      </w:r>
    </w:p>
    <w:p w14:paraId="3B730447" w14:textId="77777777" w:rsidR="003B2BFE" w:rsidRDefault="003B2BFE" w:rsidP="00A5726F">
      <w:pPr>
        <w:pStyle w:val="ListParagraph"/>
        <w:numPr>
          <w:ilvl w:val="0"/>
          <w:numId w:val="1"/>
        </w:numPr>
        <w:rPr>
          <w:rFonts w:asciiTheme="majorHAnsi" w:hAnsiTheme="majorHAnsi" w:cstheme="minorHAnsi"/>
          <w:i/>
          <w:sz w:val="20"/>
          <w:szCs w:val="20"/>
        </w:rPr>
      </w:pPr>
      <w:r>
        <w:rPr>
          <w:rFonts w:asciiTheme="majorHAnsi" w:hAnsiTheme="majorHAnsi" w:cstheme="minorHAnsi"/>
          <w:i/>
          <w:sz w:val="20"/>
          <w:szCs w:val="20"/>
        </w:rPr>
        <w:t>E</w:t>
      </w:r>
      <w:r w:rsidRPr="003B2BFE">
        <w:rPr>
          <w:rFonts w:asciiTheme="majorHAnsi" w:hAnsiTheme="majorHAnsi" w:cstheme="minorHAnsi"/>
          <w:i/>
          <w:sz w:val="20"/>
          <w:szCs w:val="20"/>
        </w:rPr>
        <w:t>xpenditure plans revised higher</w:t>
      </w:r>
      <w:r>
        <w:rPr>
          <w:rFonts w:asciiTheme="majorHAnsi" w:hAnsiTheme="majorHAnsi" w:cstheme="minorHAnsi"/>
          <w:i/>
          <w:sz w:val="20"/>
          <w:szCs w:val="20"/>
        </w:rPr>
        <w:t xml:space="preserve"> </w:t>
      </w:r>
      <w:r w:rsidRPr="003B2BFE">
        <w:rPr>
          <w:rFonts w:asciiTheme="majorHAnsi" w:hAnsiTheme="majorHAnsi" w:cstheme="minorHAnsi"/>
          <w:i/>
          <w:sz w:val="20"/>
          <w:szCs w:val="20"/>
        </w:rPr>
        <w:t xml:space="preserve">to accommodate additional financing to financially troubled </w:t>
      </w:r>
      <w:r>
        <w:rPr>
          <w:rFonts w:asciiTheme="majorHAnsi" w:hAnsiTheme="majorHAnsi" w:cstheme="minorHAnsi"/>
          <w:i/>
          <w:sz w:val="20"/>
          <w:szCs w:val="20"/>
        </w:rPr>
        <w:t>state-owned enterprises (SOEs)</w:t>
      </w:r>
    </w:p>
    <w:p w14:paraId="4677E378" w14:textId="77777777" w:rsidR="003B2BFE" w:rsidRDefault="003B2BFE" w:rsidP="00A5726F">
      <w:pPr>
        <w:pStyle w:val="ListParagraph"/>
        <w:numPr>
          <w:ilvl w:val="0"/>
          <w:numId w:val="1"/>
        </w:numPr>
        <w:rPr>
          <w:rFonts w:asciiTheme="majorHAnsi" w:hAnsiTheme="majorHAnsi" w:cstheme="minorHAnsi"/>
          <w:i/>
          <w:sz w:val="20"/>
          <w:szCs w:val="20"/>
        </w:rPr>
      </w:pPr>
      <w:r>
        <w:rPr>
          <w:rFonts w:asciiTheme="majorHAnsi" w:hAnsiTheme="majorHAnsi" w:cstheme="minorHAnsi"/>
          <w:i/>
          <w:sz w:val="20"/>
          <w:szCs w:val="20"/>
        </w:rPr>
        <w:t>A</w:t>
      </w:r>
      <w:r w:rsidRPr="003B2BFE">
        <w:rPr>
          <w:rFonts w:asciiTheme="majorHAnsi" w:hAnsiTheme="majorHAnsi" w:cstheme="minorHAnsi"/>
          <w:i/>
          <w:sz w:val="20"/>
          <w:szCs w:val="20"/>
        </w:rPr>
        <w:t xml:space="preserve"> planned 2% reduction in goods, services and infrastructure spending over the medium-term is </w:t>
      </w:r>
      <w:r>
        <w:rPr>
          <w:rFonts w:asciiTheme="majorHAnsi" w:hAnsiTheme="majorHAnsi" w:cstheme="minorHAnsi"/>
          <w:i/>
          <w:sz w:val="20"/>
          <w:szCs w:val="20"/>
        </w:rPr>
        <w:t xml:space="preserve">good news, but </w:t>
      </w:r>
      <w:r w:rsidRPr="003B2BFE">
        <w:rPr>
          <w:rFonts w:asciiTheme="majorHAnsi" w:hAnsiTheme="majorHAnsi" w:cstheme="minorHAnsi"/>
          <w:i/>
          <w:sz w:val="20"/>
          <w:szCs w:val="20"/>
        </w:rPr>
        <w:t>below the 5%+ level</w:t>
      </w:r>
      <w:r>
        <w:rPr>
          <w:rFonts w:asciiTheme="majorHAnsi" w:hAnsiTheme="majorHAnsi" w:cstheme="minorHAnsi"/>
          <w:i/>
          <w:sz w:val="20"/>
          <w:szCs w:val="20"/>
        </w:rPr>
        <w:t xml:space="preserve"> </w:t>
      </w:r>
      <w:r w:rsidRPr="003B2BFE">
        <w:rPr>
          <w:rFonts w:asciiTheme="majorHAnsi" w:hAnsiTheme="majorHAnsi" w:cstheme="minorHAnsi"/>
          <w:i/>
          <w:sz w:val="20"/>
          <w:szCs w:val="20"/>
        </w:rPr>
        <w:t xml:space="preserve">asked </w:t>
      </w:r>
      <w:r>
        <w:rPr>
          <w:rFonts w:asciiTheme="majorHAnsi" w:hAnsiTheme="majorHAnsi" w:cstheme="minorHAnsi"/>
          <w:i/>
          <w:sz w:val="20"/>
          <w:szCs w:val="20"/>
        </w:rPr>
        <w:t xml:space="preserve">from </w:t>
      </w:r>
      <w:r w:rsidRPr="003B2BFE">
        <w:rPr>
          <w:rFonts w:asciiTheme="majorHAnsi" w:hAnsiTheme="majorHAnsi" w:cstheme="minorHAnsi"/>
          <w:i/>
          <w:sz w:val="20"/>
          <w:szCs w:val="20"/>
        </w:rPr>
        <w:t>government departments</w:t>
      </w:r>
    </w:p>
    <w:p w14:paraId="005E5DF8" w14:textId="77777777" w:rsidR="003B2BFE" w:rsidRDefault="003B2BFE" w:rsidP="003B2BFE">
      <w:pPr>
        <w:pStyle w:val="ListParagraph"/>
        <w:numPr>
          <w:ilvl w:val="0"/>
          <w:numId w:val="1"/>
        </w:numPr>
        <w:rPr>
          <w:rFonts w:ascii="Georgia" w:hAnsi="Georgia"/>
          <w:color w:val="000000" w:themeColor="text1"/>
          <w:sz w:val="20"/>
          <w:szCs w:val="20"/>
        </w:rPr>
      </w:pPr>
      <w:r>
        <w:rPr>
          <w:rFonts w:ascii="Georgia" w:hAnsi="Georgia"/>
          <w:sz w:val="20"/>
          <w:szCs w:val="20"/>
        </w:rPr>
        <w:t>F</w:t>
      </w:r>
      <w:r w:rsidRPr="003B2BFE">
        <w:rPr>
          <w:rFonts w:ascii="Georgia" w:hAnsi="Georgia"/>
          <w:sz w:val="20"/>
          <w:szCs w:val="20"/>
        </w:rPr>
        <w:t xml:space="preserve">iscal deficit </w:t>
      </w:r>
      <w:r>
        <w:rPr>
          <w:rFonts w:ascii="Georgia" w:hAnsi="Georgia"/>
          <w:sz w:val="20"/>
          <w:szCs w:val="20"/>
        </w:rPr>
        <w:t xml:space="preserve">expected to balloon from </w:t>
      </w:r>
      <w:r w:rsidRPr="003B2BFE">
        <w:rPr>
          <w:rFonts w:ascii="Georgia" w:hAnsi="Georgia"/>
          <w:sz w:val="20"/>
          <w:szCs w:val="20"/>
        </w:rPr>
        <w:t xml:space="preserve">4.0% of GDP in 2017/18 to 6.5% of GDP </w:t>
      </w:r>
      <w:r w:rsidRPr="003B2BFE">
        <w:rPr>
          <w:rFonts w:ascii="Georgia" w:hAnsi="Georgia"/>
          <w:color w:val="000000" w:themeColor="text1"/>
          <w:sz w:val="20"/>
          <w:szCs w:val="20"/>
        </w:rPr>
        <w:t>in the 2020/21</w:t>
      </w:r>
    </w:p>
    <w:p w14:paraId="3F47B1BC" w14:textId="77777777" w:rsidR="003B2BFE" w:rsidRDefault="003B2BFE" w:rsidP="003B2BFE">
      <w:pPr>
        <w:pStyle w:val="ListParagraph"/>
        <w:numPr>
          <w:ilvl w:val="0"/>
          <w:numId w:val="1"/>
        </w:numPr>
        <w:rPr>
          <w:rFonts w:ascii="Georgia" w:hAnsi="Georgia"/>
          <w:sz w:val="20"/>
          <w:szCs w:val="20"/>
        </w:rPr>
      </w:pPr>
      <w:r>
        <w:rPr>
          <w:rFonts w:asciiTheme="majorHAnsi" w:hAnsiTheme="majorHAnsi" w:cstheme="minorHAnsi"/>
          <w:i/>
          <w:sz w:val="20"/>
          <w:szCs w:val="20"/>
        </w:rPr>
        <w:t xml:space="preserve">National Treasury looking at </w:t>
      </w:r>
      <w:r>
        <w:rPr>
          <w:rFonts w:ascii="Georgia" w:hAnsi="Georgia"/>
          <w:sz w:val="20"/>
          <w:szCs w:val="20"/>
        </w:rPr>
        <w:t>reduced growth in the public sector wage bill, further tax increases and a sustainable plan for SOE funding to narrow the deficit</w:t>
      </w:r>
    </w:p>
    <w:p w14:paraId="3C7A4D71" w14:textId="77777777" w:rsidR="003B2BFE" w:rsidRDefault="003B2BFE" w:rsidP="00A5726F">
      <w:pPr>
        <w:pStyle w:val="ListParagraph"/>
        <w:numPr>
          <w:ilvl w:val="0"/>
          <w:numId w:val="1"/>
        </w:numPr>
        <w:rPr>
          <w:rFonts w:asciiTheme="majorHAnsi" w:hAnsiTheme="majorHAnsi" w:cstheme="minorHAnsi"/>
          <w:i/>
          <w:sz w:val="20"/>
          <w:szCs w:val="20"/>
        </w:rPr>
      </w:pPr>
      <w:r>
        <w:rPr>
          <w:rFonts w:asciiTheme="majorHAnsi" w:hAnsiTheme="majorHAnsi" w:cstheme="minorHAnsi"/>
          <w:i/>
          <w:sz w:val="20"/>
          <w:szCs w:val="20"/>
        </w:rPr>
        <w:t xml:space="preserve">If the finance minister can </w:t>
      </w:r>
      <w:r w:rsidRPr="003B2BFE">
        <w:rPr>
          <w:rFonts w:asciiTheme="majorHAnsi" w:hAnsiTheme="majorHAnsi" w:cstheme="minorHAnsi"/>
          <w:i/>
          <w:sz w:val="20"/>
          <w:szCs w:val="20"/>
        </w:rPr>
        <w:t xml:space="preserve">push through reforms by February 2020, medium-term fiscal projections could look somewhat better from those released </w:t>
      </w:r>
      <w:r>
        <w:rPr>
          <w:rFonts w:asciiTheme="majorHAnsi" w:hAnsiTheme="majorHAnsi" w:cstheme="minorHAnsi"/>
          <w:i/>
          <w:sz w:val="20"/>
          <w:szCs w:val="20"/>
        </w:rPr>
        <w:t>here</w:t>
      </w:r>
    </w:p>
    <w:p w14:paraId="3AF9CF9A" w14:textId="77777777" w:rsidR="003B2BFE" w:rsidRPr="003B2BFE" w:rsidRDefault="003B2BFE" w:rsidP="003B2BFE">
      <w:pPr>
        <w:pStyle w:val="ListParagraph"/>
        <w:numPr>
          <w:ilvl w:val="0"/>
          <w:numId w:val="1"/>
        </w:numPr>
        <w:rPr>
          <w:rFonts w:ascii="Georgia" w:hAnsi="Georgia"/>
          <w:sz w:val="20"/>
          <w:szCs w:val="20"/>
        </w:rPr>
      </w:pPr>
      <w:r w:rsidRPr="003B2BFE">
        <w:rPr>
          <w:rFonts w:ascii="Georgia" w:hAnsi="Georgia"/>
          <w:sz w:val="20"/>
          <w:szCs w:val="20"/>
        </w:rPr>
        <w:t xml:space="preserve">Government gross loan debt increasing from 56.7% of GDP in 2018/19 to 71.3% of GDP by 2022/23, in the absence of policy adjustments. </w:t>
      </w:r>
    </w:p>
    <w:p w14:paraId="1C9E21D6" w14:textId="77777777" w:rsidR="003B2BFE" w:rsidRPr="003B2BFE" w:rsidRDefault="003B2BFE" w:rsidP="003B2BFE">
      <w:pPr>
        <w:pStyle w:val="ListParagraph"/>
        <w:numPr>
          <w:ilvl w:val="0"/>
          <w:numId w:val="1"/>
        </w:numPr>
        <w:rPr>
          <w:rFonts w:ascii="Georgia" w:hAnsi="Georgia"/>
          <w:sz w:val="20"/>
          <w:szCs w:val="20"/>
        </w:rPr>
      </w:pPr>
      <w:bookmarkStart w:id="3" w:name="_Hlk23339352"/>
      <w:bookmarkEnd w:id="0"/>
      <w:r w:rsidRPr="003B2BFE">
        <w:rPr>
          <w:rFonts w:ascii="Georgia" w:hAnsi="Georgia"/>
          <w:sz w:val="20"/>
          <w:szCs w:val="20"/>
        </w:rPr>
        <w:lastRenderedPageBreak/>
        <w:t>Moody’s Investors Service will comment on the South African sovereign’s creditworthiness on November 1 -the MTBPS will certainly push debt metrics beyond critical (downgrade) levels</w:t>
      </w:r>
    </w:p>
    <w:p w14:paraId="7984CEE1" w14:textId="77777777" w:rsidR="003B2BFE" w:rsidRPr="003B2BFE" w:rsidRDefault="003B2BFE" w:rsidP="003B2BFE">
      <w:pPr>
        <w:pStyle w:val="ListParagraph"/>
        <w:numPr>
          <w:ilvl w:val="0"/>
          <w:numId w:val="1"/>
        </w:numPr>
        <w:rPr>
          <w:rFonts w:ascii="Georgia" w:hAnsi="Georgia"/>
          <w:sz w:val="20"/>
          <w:szCs w:val="20"/>
        </w:rPr>
      </w:pPr>
      <w:r w:rsidRPr="003B2BFE">
        <w:rPr>
          <w:rFonts w:ascii="Georgia" w:hAnsi="Georgia"/>
          <w:sz w:val="20"/>
          <w:szCs w:val="20"/>
        </w:rPr>
        <w:t xml:space="preserve">On a positive note, the government has a prudent debt management process in place and its debt portfolio mix remains well managed by international benchmarks. </w:t>
      </w:r>
    </w:p>
    <w:p w14:paraId="77017A28" w14:textId="77777777" w:rsidR="006608E5" w:rsidRDefault="006608E5">
      <w:pPr>
        <w:rPr>
          <w:rFonts w:ascii="Georgia" w:hAnsi="Georgia"/>
          <w:sz w:val="20"/>
          <w:szCs w:val="20"/>
        </w:rPr>
      </w:pPr>
    </w:p>
    <w:p w14:paraId="394F8164" w14:textId="77777777" w:rsidR="007960C9" w:rsidRDefault="007960C9">
      <w:pPr>
        <w:rPr>
          <w:rFonts w:ascii="Georgia" w:hAnsi="Georgia"/>
          <w:b/>
          <w:i/>
          <w:color w:val="DC6900" w:themeColor="accent1"/>
          <w:szCs w:val="20"/>
        </w:rPr>
      </w:pPr>
      <w:r>
        <w:rPr>
          <w:noProof/>
        </w:rPr>
        <w:drawing>
          <wp:anchor distT="0" distB="0" distL="114300" distR="114300" simplePos="0" relativeHeight="251658240" behindDoc="0" locked="0" layoutInCell="1" allowOverlap="1" wp14:anchorId="24DDE1D6" wp14:editId="6F2D85F6">
            <wp:simplePos x="0" y="0"/>
            <wp:positionH relativeFrom="margin">
              <wp:align>left</wp:align>
            </wp:positionH>
            <wp:positionV relativeFrom="paragraph">
              <wp:posOffset>1270</wp:posOffset>
            </wp:positionV>
            <wp:extent cx="1382851" cy="1080000"/>
            <wp:effectExtent l="0" t="0" r="8255" b="6350"/>
            <wp:wrapSquare wrapText="bothSides"/>
            <wp:docPr id="26" name="Picture 26" descr="PwC_Pictograms_Downtrend.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wC_Pictograms_Downtrend.z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2851"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b/>
          <w:i/>
          <w:color w:val="DC6900" w:themeColor="accent1"/>
          <w:szCs w:val="20"/>
        </w:rPr>
        <w:t>Disappointing economic growth in the absence of reforms</w:t>
      </w:r>
    </w:p>
    <w:p w14:paraId="3A23A648" w14:textId="77777777" w:rsidR="00541CBF" w:rsidRDefault="00F76C6E">
      <w:pPr>
        <w:rPr>
          <w:rFonts w:ascii="Georgia" w:hAnsi="Georgia"/>
          <w:sz w:val="20"/>
          <w:szCs w:val="20"/>
        </w:rPr>
      </w:pPr>
      <w:r w:rsidRPr="00541CBF">
        <w:rPr>
          <w:rFonts w:ascii="Georgia" w:hAnsi="Georgia"/>
          <w:sz w:val="20"/>
          <w:szCs w:val="20"/>
        </w:rPr>
        <w:t xml:space="preserve">Minister Mboweni echoed frequent calls for the South African Reserve Bank (SARB) for structural reforms in order to reignite economic growth. This will come from the National Treasury’s economic policy paper </w:t>
      </w:r>
      <w:r w:rsidR="00185405">
        <w:rPr>
          <w:rFonts w:ascii="Georgia" w:hAnsi="Georgia"/>
          <w:sz w:val="20"/>
          <w:szCs w:val="20"/>
        </w:rPr>
        <w:t xml:space="preserve">that </w:t>
      </w:r>
      <w:r w:rsidR="006631BA">
        <w:rPr>
          <w:rFonts w:ascii="Georgia" w:hAnsi="Georgia"/>
          <w:sz w:val="20"/>
          <w:szCs w:val="20"/>
        </w:rPr>
        <w:t xml:space="preserve">was </w:t>
      </w:r>
      <w:r w:rsidR="00185405">
        <w:rPr>
          <w:rFonts w:ascii="Georgia" w:hAnsi="Georgia"/>
          <w:sz w:val="20"/>
          <w:szCs w:val="20"/>
        </w:rPr>
        <w:t xml:space="preserve">released </w:t>
      </w:r>
      <w:r w:rsidR="006631BA">
        <w:rPr>
          <w:rFonts w:ascii="Georgia" w:hAnsi="Georgia"/>
          <w:sz w:val="20"/>
          <w:szCs w:val="20"/>
        </w:rPr>
        <w:t>in it</w:t>
      </w:r>
      <w:r w:rsidR="00185405">
        <w:rPr>
          <w:rFonts w:ascii="Georgia" w:hAnsi="Georgia"/>
          <w:sz w:val="20"/>
          <w:szCs w:val="20"/>
        </w:rPr>
        <w:t>s</w:t>
      </w:r>
      <w:r w:rsidR="006631BA">
        <w:rPr>
          <w:rFonts w:ascii="Georgia" w:hAnsi="Georgia"/>
          <w:sz w:val="20"/>
          <w:szCs w:val="20"/>
        </w:rPr>
        <w:t xml:space="preserve"> second iteration alongside the MTBPS. For now, the </w:t>
      </w:r>
      <w:r w:rsidR="00541CBF">
        <w:rPr>
          <w:rFonts w:ascii="Georgia" w:hAnsi="Georgia"/>
          <w:sz w:val="20"/>
          <w:szCs w:val="20"/>
        </w:rPr>
        <w:t>National Treasury expects economic growth of only 0.5% this year. A figure of 1.2% for 202</w:t>
      </w:r>
      <w:r w:rsidR="00EC30BE">
        <w:rPr>
          <w:rFonts w:ascii="Georgia" w:hAnsi="Georgia"/>
          <w:sz w:val="20"/>
          <w:szCs w:val="20"/>
        </w:rPr>
        <w:t>0</w:t>
      </w:r>
      <w:r w:rsidR="00541CBF">
        <w:rPr>
          <w:rFonts w:ascii="Georgia" w:hAnsi="Georgia"/>
          <w:sz w:val="20"/>
          <w:szCs w:val="20"/>
        </w:rPr>
        <w:t xml:space="preserve"> will be less than population growth for the sixth straight year. Outer year projections are </w:t>
      </w:r>
      <w:r w:rsidR="00185405">
        <w:rPr>
          <w:rFonts w:ascii="Georgia" w:hAnsi="Georgia"/>
          <w:sz w:val="20"/>
          <w:szCs w:val="20"/>
        </w:rPr>
        <w:t xml:space="preserve">now below </w:t>
      </w:r>
      <w:r w:rsidR="00541CBF">
        <w:rPr>
          <w:rFonts w:ascii="Georgia" w:hAnsi="Georgia"/>
          <w:sz w:val="20"/>
          <w:szCs w:val="20"/>
        </w:rPr>
        <w:t>2</w:t>
      </w:r>
      <w:r w:rsidR="00185405">
        <w:rPr>
          <w:rFonts w:ascii="Georgia" w:hAnsi="Georgia"/>
          <w:sz w:val="20"/>
          <w:szCs w:val="20"/>
        </w:rPr>
        <w:t>.0</w:t>
      </w:r>
      <w:r w:rsidR="00541CBF">
        <w:rPr>
          <w:rFonts w:ascii="Georgia" w:hAnsi="Georgia"/>
          <w:sz w:val="20"/>
          <w:szCs w:val="20"/>
        </w:rPr>
        <w:t xml:space="preserve">% due to deteriorating long-term growth potential, productivity and competitiveness. </w:t>
      </w:r>
    </w:p>
    <w:p w14:paraId="04AEE08A" w14:textId="26E080CF" w:rsidR="00FB579F" w:rsidRPr="002E6430" w:rsidRDefault="00FB579F">
      <w:pPr>
        <w:rPr>
          <w:rFonts w:ascii="Georgia" w:hAnsi="Georgia"/>
          <w:i/>
          <w:sz w:val="20"/>
          <w:szCs w:val="20"/>
        </w:rPr>
      </w:pPr>
      <w:r w:rsidRPr="002E6430">
        <w:rPr>
          <w:rFonts w:ascii="Georgia" w:hAnsi="Georgia"/>
          <w:i/>
          <w:sz w:val="20"/>
          <w:szCs w:val="20"/>
        </w:rPr>
        <w:t xml:space="preserve">Figure </w:t>
      </w:r>
      <w:r w:rsidR="003B2536">
        <w:rPr>
          <w:rFonts w:ascii="Georgia" w:hAnsi="Georgia"/>
          <w:i/>
          <w:sz w:val="20"/>
          <w:szCs w:val="20"/>
        </w:rPr>
        <w:t>1</w:t>
      </w:r>
      <w:r w:rsidRPr="002E6430">
        <w:rPr>
          <w:rFonts w:ascii="Georgia" w:hAnsi="Georgia"/>
          <w:i/>
          <w:sz w:val="20"/>
          <w:szCs w:val="20"/>
        </w:rPr>
        <w:t xml:space="preserve">: </w:t>
      </w:r>
      <w:r w:rsidR="002E6430" w:rsidRPr="002E6430">
        <w:rPr>
          <w:rFonts w:ascii="Georgia" w:hAnsi="Georgia"/>
          <w:i/>
          <w:sz w:val="20"/>
          <w:szCs w:val="20"/>
        </w:rPr>
        <w:t xml:space="preserve">Continued downward revision in </w:t>
      </w:r>
      <w:r w:rsidR="004B3D04">
        <w:rPr>
          <w:rFonts w:ascii="Georgia" w:hAnsi="Georgia"/>
          <w:i/>
          <w:sz w:val="20"/>
          <w:szCs w:val="20"/>
        </w:rPr>
        <w:t xml:space="preserve">real GDP </w:t>
      </w:r>
      <w:r w:rsidR="002E6430" w:rsidRPr="002E6430">
        <w:rPr>
          <w:rFonts w:ascii="Georgia" w:hAnsi="Georgia"/>
          <w:i/>
          <w:sz w:val="20"/>
          <w:szCs w:val="20"/>
        </w:rPr>
        <w:t xml:space="preserve">growth </w:t>
      </w:r>
      <w:r w:rsidR="004B3D04">
        <w:rPr>
          <w:rFonts w:ascii="Georgia" w:hAnsi="Georgia"/>
          <w:i/>
          <w:sz w:val="20"/>
          <w:szCs w:val="20"/>
        </w:rPr>
        <w:t xml:space="preserve">(%) </w:t>
      </w:r>
      <w:r w:rsidR="002E6430" w:rsidRPr="002E6430">
        <w:rPr>
          <w:rFonts w:ascii="Georgia" w:hAnsi="Georgia"/>
          <w:i/>
          <w:sz w:val="20"/>
          <w:szCs w:val="20"/>
        </w:rPr>
        <w:t>forecasts</w:t>
      </w:r>
    </w:p>
    <w:p w14:paraId="43E8D371" w14:textId="77777777" w:rsidR="00FB579F" w:rsidRDefault="00FB579F">
      <w:pPr>
        <w:rPr>
          <w:rFonts w:ascii="Georgia" w:hAnsi="Georgia"/>
          <w:sz w:val="20"/>
          <w:szCs w:val="20"/>
        </w:rPr>
      </w:pPr>
      <w:r>
        <w:rPr>
          <w:noProof/>
        </w:rPr>
        <w:drawing>
          <wp:inline distT="0" distB="0" distL="0" distR="0" wp14:anchorId="08A43CE4" wp14:editId="1FC0A416">
            <wp:extent cx="5918200" cy="1765300"/>
            <wp:effectExtent l="0" t="0" r="6350" b="6350"/>
            <wp:docPr id="1" name="Chart 1">
              <a:extLst xmlns:a="http://schemas.openxmlformats.org/drawingml/2006/main">
                <a:ext uri="{FF2B5EF4-FFF2-40B4-BE49-F238E27FC236}">
                  <a16:creationId xmlns:a16="http://schemas.microsoft.com/office/drawing/2014/main" id="{4313DD49-ED2F-4690-B4ED-2D2B07B90F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047090" w14:textId="77777777" w:rsidR="00FB579F" w:rsidRPr="002E6430" w:rsidRDefault="00FB579F">
      <w:pPr>
        <w:rPr>
          <w:rFonts w:ascii="Georgia" w:hAnsi="Georgia"/>
          <w:i/>
          <w:sz w:val="20"/>
          <w:szCs w:val="20"/>
        </w:rPr>
      </w:pPr>
      <w:r w:rsidRPr="002E6430">
        <w:rPr>
          <w:rFonts w:ascii="Georgia" w:hAnsi="Georgia"/>
          <w:i/>
          <w:sz w:val="20"/>
          <w:szCs w:val="20"/>
        </w:rPr>
        <w:t>Source</w:t>
      </w:r>
      <w:r w:rsidR="002E6430">
        <w:rPr>
          <w:rFonts w:ascii="Georgia" w:hAnsi="Georgia"/>
          <w:i/>
          <w:sz w:val="20"/>
          <w:szCs w:val="20"/>
        </w:rPr>
        <w:t>s</w:t>
      </w:r>
      <w:r w:rsidRPr="002E6430">
        <w:rPr>
          <w:rFonts w:ascii="Georgia" w:hAnsi="Georgia"/>
          <w:i/>
          <w:sz w:val="20"/>
          <w:szCs w:val="20"/>
        </w:rPr>
        <w:t>: National Treasury</w:t>
      </w:r>
      <w:r w:rsidR="002E6430" w:rsidRPr="002E6430">
        <w:rPr>
          <w:rFonts w:ascii="Georgia" w:hAnsi="Georgia"/>
          <w:i/>
          <w:sz w:val="20"/>
          <w:szCs w:val="20"/>
        </w:rPr>
        <w:t>, South African Reserve Bank (SARB)</w:t>
      </w:r>
    </w:p>
    <w:p w14:paraId="035F2E57" w14:textId="77777777" w:rsidR="00EC30BE" w:rsidRDefault="00EC30BE">
      <w:pPr>
        <w:rPr>
          <w:rFonts w:ascii="Georgia" w:hAnsi="Georgia"/>
          <w:sz w:val="20"/>
          <w:szCs w:val="20"/>
        </w:rPr>
      </w:pPr>
      <w:r>
        <w:rPr>
          <w:rFonts w:ascii="Georgia" w:hAnsi="Georgia"/>
          <w:sz w:val="20"/>
          <w:szCs w:val="20"/>
        </w:rPr>
        <w:t xml:space="preserve">Of course, the minister wanted to create some optimism about government efforts underway to increase potential economic growth. He referred to the National Treasury’s </w:t>
      </w:r>
      <w:r w:rsidR="00185405">
        <w:rPr>
          <w:rFonts w:ascii="Georgia" w:hAnsi="Georgia"/>
          <w:sz w:val="20"/>
          <w:szCs w:val="20"/>
        </w:rPr>
        <w:t xml:space="preserve">original </w:t>
      </w:r>
      <w:r>
        <w:rPr>
          <w:rFonts w:ascii="Georgia" w:hAnsi="Georgia"/>
          <w:sz w:val="20"/>
          <w:szCs w:val="20"/>
        </w:rPr>
        <w:t xml:space="preserve">economic policy paper - released in August </w:t>
      </w:r>
      <w:r w:rsidR="00185405">
        <w:rPr>
          <w:rFonts w:ascii="Georgia" w:hAnsi="Georgia"/>
          <w:sz w:val="20"/>
          <w:szCs w:val="20"/>
        </w:rPr>
        <w:t>2019</w:t>
      </w:r>
      <w:r>
        <w:rPr>
          <w:rFonts w:ascii="Georgia" w:hAnsi="Georgia"/>
          <w:sz w:val="20"/>
          <w:szCs w:val="20"/>
        </w:rPr>
        <w:t xml:space="preserve"> - as containing many of the ideas presented a year ago in the MTBPS 2018 for boosting growth. (Implementation is slow given that the paper has now first “begun a vigorous public debate on the reforms required to raise growth.”)</w:t>
      </w:r>
    </w:p>
    <w:p w14:paraId="758173E7" w14:textId="77777777" w:rsidR="00EC30BE" w:rsidRDefault="00EC30BE">
      <w:pPr>
        <w:rPr>
          <w:rFonts w:ascii="Georgia" w:hAnsi="Georgia"/>
          <w:sz w:val="20"/>
          <w:szCs w:val="20"/>
        </w:rPr>
      </w:pPr>
      <w:r>
        <w:rPr>
          <w:rFonts w:ascii="Georgia" w:hAnsi="Georgia"/>
          <w:sz w:val="20"/>
          <w:szCs w:val="20"/>
        </w:rPr>
        <w:t>On the infrastructure front, he provided an update on the country’s blended-finance Infrastructure Fund. The fund’s implementation unit has been established and is house at the Develop</w:t>
      </w:r>
      <w:r w:rsidR="00A52B04">
        <w:rPr>
          <w:rFonts w:ascii="Georgia" w:hAnsi="Georgia"/>
          <w:sz w:val="20"/>
          <w:szCs w:val="20"/>
        </w:rPr>
        <w:t xml:space="preserve">ment Bank </w:t>
      </w:r>
      <w:r>
        <w:rPr>
          <w:rFonts w:ascii="Georgia" w:hAnsi="Georgia"/>
          <w:sz w:val="20"/>
          <w:szCs w:val="20"/>
        </w:rPr>
        <w:t xml:space="preserve">of Southern Africa (DBSA) </w:t>
      </w:r>
      <w:r w:rsidR="00A52B04">
        <w:rPr>
          <w:rFonts w:ascii="Georgia" w:hAnsi="Georgia"/>
          <w:sz w:val="20"/>
          <w:szCs w:val="20"/>
        </w:rPr>
        <w:t>and has begun identifying policy and regulatory hurdles to increasing public-private partnerships in the infrastructure space. The National Treasury will allocate R10 billon per annum over the next three years for co-funded projects with the private sector. There are R500 billion worth of identified projects that could benefit from this.</w:t>
      </w:r>
    </w:p>
    <w:p w14:paraId="02485CE2" w14:textId="77777777" w:rsidR="00564140" w:rsidRPr="00541CBF" w:rsidRDefault="007960C9" w:rsidP="002E6430">
      <w:pPr>
        <w:pBdr>
          <w:top w:val="single" w:sz="4" w:space="1" w:color="auto"/>
          <w:left w:val="single" w:sz="4" w:space="4" w:color="auto"/>
          <w:bottom w:val="single" w:sz="4" w:space="1" w:color="auto"/>
          <w:right w:val="single" w:sz="4" w:space="4" w:color="auto"/>
        </w:pBdr>
        <w:shd w:val="clear" w:color="auto" w:fill="FFF0CC" w:themeFill="accent2" w:themeFillTint="33"/>
        <w:rPr>
          <w:rFonts w:ascii="Georgia" w:hAnsi="Georgia"/>
          <w:sz w:val="20"/>
          <w:szCs w:val="20"/>
        </w:rPr>
      </w:pPr>
      <w:r w:rsidRPr="007960C9">
        <w:rPr>
          <w:rFonts w:ascii="Georgia" w:hAnsi="Georgia"/>
          <w:b/>
          <w:sz w:val="20"/>
          <w:szCs w:val="20"/>
        </w:rPr>
        <w:t>Eskom</w:t>
      </w:r>
      <w:r>
        <w:rPr>
          <w:rFonts w:ascii="Georgia" w:hAnsi="Georgia"/>
          <w:sz w:val="20"/>
          <w:szCs w:val="20"/>
        </w:rPr>
        <w:t xml:space="preserve">: </w:t>
      </w:r>
      <w:r w:rsidR="00DA5D45">
        <w:rPr>
          <w:rFonts w:ascii="Georgia" w:hAnsi="Georgia"/>
          <w:sz w:val="20"/>
          <w:szCs w:val="20"/>
        </w:rPr>
        <w:t xml:space="preserve">The MTBPS </w:t>
      </w:r>
      <w:r w:rsidR="00F76C6E" w:rsidRPr="00541CBF">
        <w:rPr>
          <w:rFonts w:ascii="Georgia" w:hAnsi="Georgia"/>
          <w:sz w:val="20"/>
          <w:szCs w:val="20"/>
        </w:rPr>
        <w:t>reiterated that Eskom is the country’s biggest economic risk.</w:t>
      </w:r>
      <w:r w:rsidR="00564140">
        <w:rPr>
          <w:rFonts w:ascii="Georgia" w:hAnsi="Georgia"/>
          <w:sz w:val="20"/>
          <w:szCs w:val="20"/>
        </w:rPr>
        <w:t xml:space="preserve"> The MTBPS pledged that government will step up its efforts to address the power utility’s operational and financial challenges. Some R128 billion in provisional support has been set aside for the 2019/20 – 2021/22 period, and should Esko</w:t>
      </w:r>
      <w:r w:rsidR="00185405">
        <w:rPr>
          <w:rFonts w:ascii="Georgia" w:hAnsi="Georgia"/>
          <w:sz w:val="20"/>
          <w:szCs w:val="20"/>
        </w:rPr>
        <w:t>m</w:t>
      </w:r>
      <w:r w:rsidR="00564140">
        <w:rPr>
          <w:rFonts w:ascii="Georgia" w:hAnsi="Georgia"/>
          <w:sz w:val="20"/>
          <w:szCs w:val="20"/>
        </w:rPr>
        <w:t xml:space="preserve"> be unable to issue debt, this number could increase. On the debt front, the National Treasury indicated that additional </w:t>
      </w:r>
      <w:r w:rsidR="00B74858">
        <w:rPr>
          <w:rFonts w:ascii="Georgia" w:hAnsi="Georgia"/>
          <w:sz w:val="20"/>
          <w:szCs w:val="20"/>
        </w:rPr>
        <w:t>efforts</w:t>
      </w:r>
      <w:r w:rsidR="00564140">
        <w:rPr>
          <w:rFonts w:ascii="Georgia" w:hAnsi="Georgia"/>
          <w:sz w:val="20"/>
          <w:szCs w:val="20"/>
        </w:rPr>
        <w:t xml:space="preserve"> to address the power utility’s debt burden will only be considered once Eskom has made cost reductions and progress towards unbundling. </w:t>
      </w:r>
    </w:p>
    <w:p w14:paraId="2D1FF63C" w14:textId="77777777" w:rsidR="00541CBF" w:rsidRDefault="00564140" w:rsidP="002E6430">
      <w:pPr>
        <w:pBdr>
          <w:top w:val="single" w:sz="4" w:space="1" w:color="auto"/>
          <w:left w:val="single" w:sz="4" w:space="4" w:color="auto"/>
          <w:bottom w:val="single" w:sz="4" w:space="1" w:color="auto"/>
          <w:right w:val="single" w:sz="4" w:space="4" w:color="auto"/>
        </w:pBdr>
        <w:shd w:val="clear" w:color="auto" w:fill="FFF0CC" w:themeFill="accent2" w:themeFillTint="33"/>
        <w:rPr>
          <w:rFonts w:ascii="Georgia" w:hAnsi="Georgia"/>
          <w:sz w:val="20"/>
          <w:szCs w:val="20"/>
        </w:rPr>
      </w:pPr>
      <w:bookmarkStart w:id="4" w:name="_Hlk23339375"/>
      <w:bookmarkEnd w:id="3"/>
      <w:r>
        <w:rPr>
          <w:rFonts w:ascii="Georgia" w:hAnsi="Georgia"/>
          <w:sz w:val="20"/>
          <w:szCs w:val="20"/>
        </w:rPr>
        <w:lastRenderedPageBreak/>
        <w:t xml:space="preserve">The government currently envisages a two-step timetable for Eskom’s restructuring. Phase 1 will be to functionally separate the entity into three functions (generation, transmission a distribution) </w:t>
      </w:r>
      <w:r w:rsidR="00DA5D45">
        <w:rPr>
          <w:rFonts w:ascii="Georgia" w:hAnsi="Georgia"/>
          <w:sz w:val="20"/>
          <w:szCs w:val="20"/>
        </w:rPr>
        <w:t xml:space="preserve">with their own boards </w:t>
      </w:r>
      <w:r>
        <w:rPr>
          <w:rFonts w:ascii="Georgia" w:hAnsi="Georgia"/>
          <w:sz w:val="20"/>
          <w:szCs w:val="20"/>
        </w:rPr>
        <w:t xml:space="preserve">by March 2020 – a tight deadline. </w:t>
      </w:r>
      <w:r w:rsidR="00DA5D45">
        <w:rPr>
          <w:rFonts w:ascii="Georgia" w:hAnsi="Georgia"/>
          <w:sz w:val="20"/>
          <w:szCs w:val="20"/>
        </w:rPr>
        <w:t xml:space="preserve">Phase 2 will be to complete the legal separation of the three entities by December 2021. </w:t>
      </w:r>
    </w:p>
    <w:p w14:paraId="3E36351D" w14:textId="77777777" w:rsidR="00DA5D45" w:rsidRDefault="00DA5D45" w:rsidP="002E6430">
      <w:pPr>
        <w:pBdr>
          <w:top w:val="single" w:sz="4" w:space="1" w:color="auto"/>
          <w:left w:val="single" w:sz="4" w:space="4" w:color="auto"/>
          <w:bottom w:val="single" w:sz="4" w:space="1" w:color="auto"/>
          <w:right w:val="single" w:sz="4" w:space="4" w:color="auto"/>
        </w:pBdr>
        <w:shd w:val="clear" w:color="auto" w:fill="FFF0CC" w:themeFill="accent2" w:themeFillTint="33"/>
        <w:rPr>
          <w:rFonts w:ascii="Georgia" w:hAnsi="Georgia"/>
          <w:sz w:val="20"/>
          <w:szCs w:val="20"/>
        </w:rPr>
      </w:pPr>
      <w:r>
        <w:rPr>
          <w:rFonts w:ascii="Georgia" w:hAnsi="Georgia"/>
          <w:sz w:val="20"/>
          <w:szCs w:val="20"/>
        </w:rPr>
        <w:t xml:space="preserve">Neither of these processes currently include any debt relief for Eskom. However, the National Treasury has laid out a list of requirements for Eskom’s board in order to consider debt relief, including measurable progress in cash management, creating the three separate functions, and appoint </w:t>
      </w:r>
      <w:r w:rsidR="00B74858">
        <w:rPr>
          <w:rFonts w:ascii="Georgia" w:hAnsi="Georgia"/>
          <w:sz w:val="20"/>
          <w:szCs w:val="20"/>
        </w:rPr>
        <w:t xml:space="preserve">effective </w:t>
      </w:r>
      <w:r>
        <w:rPr>
          <w:rFonts w:ascii="Georgia" w:hAnsi="Georgia"/>
          <w:sz w:val="20"/>
          <w:szCs w:val="20"/>
        </w:rPr>
        <w:t xml:space="preserve">leadership structures for each with the requisite skills. </w:t>
      </w:r>
      <w:r w:rsidR="00B74858">
        <w:rPr>
          <w:rFonts w:ascii="Georgia" w:hAnsi="Georgia"/>
          <w:sz w:val="20"/>
          <w:szCs w:val="20"/>
        </w:rPr>
        <w:t xml:space="preserve">“Eskom is a business and should be run that way,” said the minister. </w:t>
      </w:r>
      <w:r>
        <w:rPr>
          <w:rFonts w:ascii="Georgia" w:hAnsi="Georgia"/>
          <w:sz w:val="20"/>
          <w:szCs w:val="20"/>
        </w:rPr>
        <w:t xml:space="preserve">Debt relief is expected to happen over time as progress is made in these areas. </w:t>
      </w:r>
    </w:p>
    <w:p w14:paraId="40A077CC" w14:textId="77777777" w:rsidR="00F41826" w:rsidRPr="00541CBF" w:rsidRDefault="006652BF">
      <w:pPr>
        <w:rPr>
          <w:rFonts w:ascii="Georgia" w:hAnsi="Georgia"/>
          <w:sz w:val="20"/>
          <w:szCs w:val="20"/>
        </w:rPr>
      </w:pPr>
      <w:r>
        <w:rPr>
          <w:rFonts w:ascii="Georgia" w:hAnsi="Georgia"/>
          <w:sz w:val="20"/>
          <w:szCs w:val="20"/>
        </w:rPr>
        <w:t xml:space="preserve">The MTBPS provides a long list of well-known factors suppressing economic growth over the past five years and emphasises that reversing the current low-growth trajectory requires urgent action. </w:t>
      </w:r>
      <w:r w:rsidR="0010604B">
        <w:rPr>
          <w:rFonts w:ascii="Georgia" w:hAnsi="Georgia"/>
          <w:sz w:val="20"/>
          <w:szCs w:val="20"/>
        </w:rPr>
        <w:t>Under a heading “economic reforms to implement without delay”, the MTBPS</w:t>
      </w:r>
      <w:r>
        <w:rPr>
          <w:rFonts w:ascii="Georgia" w:hAnsi="Georgia"/>
          <w:sz w:val="20"/>
          <w:szCs w:val="20"/>
        </w:rPr>
        <w:t xml:space="preserve"> again refers to August’s economic policy paper as offering many plans to undo growth constraints. The finance minister also listed immediate action points, including reducing the cost of flying to South Africa, granting of licenses to small-scale power generation projects, and developing a single platform for registering a business. </w:t>
      </w:r>
    </w:p>
    <w:p w14:paraId="672093EA" w14:textId="77777777" w:rsidR="00541CBF" w:rsidRPr="002E6430" w:rsidRDefault="00974ED6">
      <w:pPr>
        <w:rPr>
          <w:rFonts w:ascii="Georgia" w:hAnsi="Georgia"/>
          <w:b/>
          <w:i/>
          <w:color w:val="DC6900" w:themeColor="accent1"/>
          <w:szCs w:val="20"/>
        </w:rPr>
      </w:pPr>
      <w:r>
        <w:rPr>
          <w:noProof/>
        </w:rPr>
        <w:drawing>
          <wp:anchor distT="0" distB="0" distL="114300" distR="114300" simplePos="0" relativeHeight="251659264" behindDoc="0" locked="0" layoutInCell="1" allowOverlap="1" wp14:anchorId="3C63AEBE" wp14:editId="57338531">
            <wp:simplePos x="0" y="0"/>
            <wp:positionH relativeFrom="column">
              <wp:posOffset>0</wp:posOffset>
            </wp:positionH>
            <wp:positionV relativeFrom="paragraph">
              <wp:posOffset>-2044</wp:posOffset>
            </wp:positionV>
            <wp:extent cx="1382116" cy="1080000"/>
            <wp:effectExtent l="0" t="0" r="8890" b="6350"/>
            <wp:wrapSquare wrapText="bothSides"/>
            <wp:docPr id="27" name="Picture 27" descr="PwC_Pictograms_Stewardship.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wC_Pictograms_Stewardship.zi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2116"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1CBF" w:rsidRPr="002E6430">
        <w:rPr>
          <w:rFonts w:ascii="Georgia" w:hAnsi="Georgia"/>
          <w:b/>
          <w:i/>
          <w:color w:val="DC6900" w:themeColor="accent1"/>
          <w:szCs w:val="20"/>
        </w:rPr>
        <w:t>Revenue</w:t>
      </w:r>
      <w:r w:rsidR="00991023" w:rsidRPr="002E6430">
        <w:rPr>
          <w:rFonts w:ascii="Georgia" w:hAnsi="Georgia"/>
          <w:b/>
          <w:i/>
          <w:color w:val="DC6900" w:themeColor="accent1"/>
          <w:szCs w:val="20"/>
        </w:rPr>
        <w:t xml:space="preserve"> falls far short of expenditure </w:t>
      </w:r>
      <w:r>
        <w:rPr>
          <w:rFonts w:ascii="Georgia" w:hAnsi="Georgia"/>
          <w:b/>
          <w:i/>
          <w:color w:val="DC6900" w:themeColor="accent1"/>
          <w:szCs w:val="20"/>
        </w:rPr>
        <w:t>demands</w:t>
      </w:r>
    </w:p>
    <w:p w14:paraId="67D76ACC" w14:textId="77777777" w:rsidR="00541CBF" w:rsidRPr="00541CBF" w:rsidRDefault="00991023">
      <w:pPr>
        <w:rPr>
          <w:rFonts w:ascii="Georgia" w:hAnsi="Georgia"/>
          <w:sz w:val="20"/>
          <w:szCs w:val="20"/>
        </w:rPr>
      </w:pPr>
      <w:r>
        <w:rPr>
          <w:rFonts w:ascii="Georgia" w:hAnsi="Georgia"/>
          <w:sz w:val="20"/>
          <w:szCs w:val="20"/>
        </w:rPr>
        <w:t>Explanations</w:t>
      </w:r>
      <w:r w:rsidR="002653ED">
        <w:rPr>
          <w:rFonts w:ascii="Georgia" w:hAnsi="Georgia"/>
          <w:sz w:val="20"/>
          <w:szCs w:val="20"/>
        </w:rPr>
        <w:t xml:space="preserve"> were </w:t>
      </w:r>
      <w:r>
        <w:rPr>
          <w:rFonts w:ascii="Georgia" w:hAnsi="Georgia"/>
          <w:sz w:val="20"/>
          <w:szCs w:val="20"/>
        </w:rPr>
        <w:t>given</w:t>
      </w:r>
      <w:r w:rsidR="002653ED">
        <w:rPr>
          <w:rFonts w:ascii="Georgia" w:hAnsi="Georgia"/>
          <w:sz w:val="20"/>
          <w:szCs w:val="20"/>
        </w:rPr>
        <w:t xml:space="preserve"> </w:t>
      </w:r>
      <w:r>
        <w:rPr>
          <w:rFonts w:ascii="Georgia" w:hAnsi="Georgia"/>
          <w:sz w:val="20"/>
          <w:szCs w:val="20"/>
        </w:rPr>
        <w:t xml:space="preserve">in the MTBPS </w:t>
      </w:r>
      <w:r w:rsidR="002653ED">
        <w:rPr>
          <w:rFonts w:ascii="Georgia" w:hAnsi="Georgia"/>
          <w:sz w:val="20"/>
          <w:szCs w:val="20"/>
        </w:rPr>
        <w:t>for weak tax revenues</w:t>
      </w:r>
      <w:r>
        <w:rPr>
          <w:rFonts w:ascii="Georgia" w:hAnsi="Georgia"/>
          <w:sz w:val="20"/>
          <w:szCs w:val="20"/>
        </w:rPr>
        <w:t xml:space="preserve">: </w:t>
      </w:r>
      <w:r w:rsidR="002653ED">
        <w:rPr>
          <w:rFonts w:ascii="Georgia" w:hAnsi="Georgia"/>
          <w:sz w:val="20"/>
          <w:szCs w:val="20"/>
        </w:rPr>
        <w:t>rising unemployment</w:t>
      </w:r>
      <w:r>
        <w:rPr>
          <w:rFonts w:ascii="Georgia" w:hAnsi="Georgia"/>
          <w:sz w:val="20"/>
          <w:szCs w:val="20"/>
        </w:rPr>
        <w:t xml:space="preserve"> pressuring personal income tax, reduced corporate profitability weighing on corporate tax, inefficiencies as at the South African Revenue Service (SARS) and weak household consumption reducing value-added tax (VAT) collections. </w:t>
      </w:r>
      <w:r w:rsidR="006652BF">
        <w:rPr>
          <w:rFonts w:ascii="Georgia" w:hAnsi="Georgia"/>
          <w:sz w:val="20"/>
          <w:szCs w:val="20"/>
        </w:rPr>
        <w:t xml:space="preserve">Forecast fiscal revenue was revised lower over the medium term. The current financial year is expected to see R46 billion less in revenue than planned in February – an under-recovery of 2.9%. </w:t>
      </w:r>
      <w:r w:rsidR="006608E5">
        <w:rPr>
          <w:rFonts w:ascii="Georgia" w:hAnsi="Georgia"/>
          <w:sz w:val="20"/>
          <w:szCs w:val="20"/>
        </w:rPr>
        <w:t xml:space="preserve">Large reductions were also made for the following years due to the lagged effect expected of planned reforms on economic growth. </w:t>
      </w:r>
    </w:p>
    <w:p w14:paraId="4E28F870" w14:textId="1BE5EB30" w:rsidR="0010604B" w:rsidRDefault="00991023">
      <w:pPr>
        <w:rPr>
          <w:rFonts w:ascii="Georgia" w:hAnsi="Georgia"/>
          <w:sz w:val="20"/>
          <w:szCs w:val="20"/>
        </w:rPr>
      </w:pPr>
      <w:r>
        <w:rPr>
          <w:rFonts w:ascii="Georgia" w:hAnsi="Georgia"/>
          <w:sz w:val="20"/>
          <w:szCs w:val="20"/>
        </w:rPr>
        <w:t>On the expenditure side, t</w:t>
      </w:r>
      <w:r w:rsidR="00541CBF">
        <w:rPr>
          <w:rFonts w:ascii="Georgia" w:hAnsi="Georgia"/>
          <w:sz w:val="20"/>
          <w:szCs w:val="20"/>
        </w:rPr>
        <w:t xml:space="preserve">he National Treasury admitted that government spending – and associated large fiscal deficits – have not translated into stronger economic growth. </w:t>
      </w:r>
      <w:r w:rsidR="0010604B">
        <w:rPr>
          <w:rFonts w:ascii="Georgia" w:hAnsi="Georgia"/>
          <w:sz w:val="20"/>
          <w:szCs w:val="20"/>
        </w:rPr>
        <w:t xml:space="preserve">Failure to implement structural reforms </w:t>
      </w:r>
      <w:r w:rsidR="006652BF">
        <w:rPr>
          <w:rFonts w:ascii="Georgia" w:hAnsi="Georgia"/>
          <w:sz w:val="20"/>
          <w:szCs w:val="20"/>
        </w:rPr>
        <w:t xml:space="preserve">– despite many of these being identifies in the National Development Plan (NDP), published in 2011 – and </w:t>
      </w:r>
      <w:r w:rsidR="0010604B">
        <w:rPr>
          <w:rFonts w:ascii="Georgia" w:hAnsi="Georgia"/>
          <w:sz w:val="20"/>
          <w:szCs w:val="20"/>
        </w:rPr>
        <w:t xml:space="preserve">the deteriorating composition and quality of fiscal spending resulted in the potential boost from fiscal support failing to materialise. </w:t>
      </w:r>
    </w:p>
    <w:p w14:paraId="14CFC2D9" w14:textId="77777777" w:rsidR="00541CBF" w:rsidRDefault="00541CBF">
      <w:pPr>
        <w:rPr>
          <w:rFonts w:ascii="Georgia" w:hAnsi="Georgia"/>
          <w:sz w:val="20"/>
          <w:szCs w:val="20"/>
        </w:rPr>
      </w:pPr>
      <w:r>
        <w:rPr>
          <w:rFonts w:ascii="Georgia" w:hAnsi="Georgia"/>
          <w:sz w:val="20"/>
          <w:szCs w:val="20"/>
        </w:rPr>
        <w:t xml:space="preserve">However, this will not lead to a rollback of spending. Fiscal expenditure plans are revised higher in this MTBPS, largely to accommodate additional financing allocated to financially troubled Eskom. </w:t>
      </w:r>
      <w:r w:rsidR="0009414C">
        <w:rPr>
          <w:rFonts w:ascii="Georgia" w:hAnsi="Georgia"/>
          <w:sz w:val="20"/>
          <w:szCs w:val="20"/>
        </w:rPr>
        <w:t xml:space="preserve">In total, spending will rise by R55.8 billion over the </w:t>
      </w:r>
      <w:r w:rsidR="0009414C" w:rsidRPr="0009414C">
        <w:rPr>
          <w:rFonts w:ascii="Georgia" w:hAnsi="Georgia"/>
          <w:sz w:val="20"/>
          <w:szCs w:val="20"/>
        </w:rPr>
        <w:t>2019/20</w:t>
      </w:r>
      <w:r w:rsidR="0009414C">
        <w:rPr>
          <w:rFonts w:ascii="Georgia" w:hAnsi="Georgia"/>
          <w:sz w:val="20"/>
          <w:szCs w:val="20"/>
        </w:rPr>
        <w:t xml:space="preserve"> - </w:t>
      </w:r>
      <w:r w:rsidR="0009414C" w:rsidRPr="0009414C">
        <w:rPr>
          <w:rFonts w:ascii="Georgia" w:hAnsi="Georgia"/>
          <w:sz w:val="20"/>
          <w:szCs w:val="20"/>
        </w:rPr>
        <w:t>2021/22</w:t>
      </w:r>
      <w:r w:rsidR="0009414C">
        <w:rPr>
          <w:rFonts w:ascii="Georgia" w:hAnsi="Georgia"/>
          <w:sz w:val="20"/>
          <w:szCs w:val="20"/>
        </w:rPr>
        <w:t xml:space="preserve"> period compared to the numbers published in February. At the same time, Minister Mboweni indicated that authorities are putting </w:t>
      </w:r>
      <w:r w:rsidR="00F41826">
        <w:rPr>
          <w:rFonts w:ascii="Georgia" w:hAnsi="Georgia"/>
          <w:sz w:val="20"/>
          <w:szCs w:val="20"/>
        </w:rPr>
        <w:t>in</w:t>
      </w:r>
      <w:r w:rsidR="0009414C">
        <w:rPr>
          <w:rFonts w:ascii="Georgia" w:hAnsi="Georgia"/>
          <w:sz w:val="20"/>
          <w:szCs w:val="20"/>
        </w:rPr>
        <w:t xml:space="preserve"> place plans to address this planned increase. Solutions will be found in the economic policy paper, thought the public sector wage bill also needs serious attention before any significant </w:t>
      </w:r>
      <w:r w:rsidR="006957FB">
        <w:rPr>
          <w:rFonts w:ascii="Georgia" w:hAnsi="Georgia"/>
          <w:sz w:val="20"/>
          <w:szCs w:val="20"/>
        </w:rPr>
        <w:t>i</w:t>
      </w:r>
      <w:r w:rsidR="0009414C">
        <w:rPr>
          <w:rFonts w:ascii="Georgia" w:hAnsi="Georgia"/>
          <w:sz w:val="20"/>
          <w:szCs w:val="20"/>
        </w:rPr>
        <w:t>mpact will be seen</w:t>
      </w:r>
      <w:r w:rsidR="006957FB">
        <w:rPr>
          <w:rFonts w:ascii="Georgia" w:hAnsi="Georgia"/>
          <w:sz w:val="20"/>
          <w:szCs w:val="20"/>
        </w:rPr>
        <w:t xml:space="preserve">. </w:t>
      </w:r>
    </w:p>
    <w:p w14:paraId="0172B05D" w14:textId="3B0AC0D3" w:rsidR="006608E5" w:rsidRDefault="006608E5">
      <w:pPr>
        <w:rPr>
          <w:rFonts w:ascii="Georgia" w:hAnsi="Georgia"/>
          <w:sz w:val="20"/>
          <w:szCs w:val="20"/>
        </w:rPr>
      </w:pPr>
      <w:r>
        <w:rPr>
          <w:rFonts w:ascii="Georgia" w:hAnsi="Georgia"/>
          <w:sz w:val="20"/>
          <w:szCs w:val="20"/>
        </w:rPr>
        <w:t>Addressing the public sector wage bill is a thorny issue. The MTBPS acknowledges the challenge in reducing the wage bill which currently accounts for about 35% of consolidated budget spending. (</w:t>
      </w:r>
      <w:r w:rsidR="006631BA">
        <w:rPr>
          <w:rFonts w:ascii="Georgia" w:hAnsi="Georgia"/>
          <w:sz w:val="20"/>
          <w:szCs w:val="20"/>
        </w:rPr>
        <w:t xml:space="preserve">The average civil servant wage increased by a real 66% </w:t>
      </w:r>
      <w:r>
        <w:rPr>
          <w:rFonts w:ascii="Georgia" w:hAnsi="Georgia"/>
          <w:sz w:val="20"/>
          <w:szCs w:val="20"/>
        </w:rPr>
        <w:t xml:space="preserve">over the past decade.) The government first needs to discuss staff costs with the labour unions – a key element within the ruling tripartite alliance. </w:t>
      </w:r>
      <w:r w:rsidR="00FB579F">
        <w:rPr>
          <w:rFonts w:ascii="Georgia" w:hAnsi="Georgia"/>
          <w:sz w:val="20"/>
          <w:szCs w:val="20"/>
        </w:rPr>
        <w:t>It has already struggled to convince workers qualifying for early retirement to take this option</w:t>
      </w:r>
      <w:r w:rsidR="0003712B">
        <w:rPr>
          <w:rFonts w:ascii="Georgia" w:hAnsi="Georgia"/>
          <w:sz w:val="20"/>
          <w:szCs w:val="20"/>
        </w:rPr>
        <w:t xml:space="preserve">: </w:t>
      </w:r>
      <w:r w:rsidR="00FB579F">
        <w:rPr>
          <w:rFonts w:ascii="Georgia" w:hAnsi="Georgia"/>
          <w:sz w:val="20"/>
          <w:szCs w:val="20"/>
        </w:rPr>
        <w:t>results have been underwhelming</w:t>
      </w:r>
      <w:r w:rsidR="0003712B">
        <w:rPr>
          <w:rFonts w:ascii="Georgia" w:hAnsi="Georgia"/>
          <w:sz w:val="20"/>
          <w:szCs w:val="20"/>
        </w:rPr>
        <w:t xml:space="preserve">, with only 3,500 applications. </w:t>
      </w:r>
      <w:r>
        <w:rPr>
          <w:rFonts w:ascii="Georgia" w:hAnsi="Georgia"/>
          <w:sz w:val="20"/>
          <w:szCs w:val="20"/>
        </w:rPr>
        <w:t xml:space="preserve">As such, no tangible progress was announced </w:t>
      </w:r>
      <w:r w:rsidR="00FB579F">
        <w:rPr>
          <w:rFonts w:ascii="Georgia" w:hAnsi="Georgia"/>
          <w:sz w:val="20"/>
          <w:szCs w:val="20"/>
        </w:rPr>
        <w:t xml:space="preserve">on staff cost reductions </w:t>
      </w:r>
      <w:r>
        <w:rPr>
          <w:rFonts w:ascii="Georgia" w:hAnsi="Georgia"/>
          <w:sz w:val="20"/>
          <w:szCs w:val="20"/>
        </w:rPr>
        <w:t xml:space="preserve">in the MTBPS with progress only expected to be reports in the Budget Speech 2020.  </w:t>
      </w:r>
    </w:p>
    <w:p w14:paraId="269441C9" w14:textId="20AC7B69" w:rsidR="003B2536" w:rsidRDefault="003B2536">
      <w:pPr>
        <w:rPr>
          <w:rFonts w:ascii="Georgia" w:hAnsi="Georgia"/>
          <w:sz w:val="20"/>
          <w:szCs w:val="20"/>
        </w:rPr>
      </w:pPr>
    </w:p>
    <w:bookmarkEnd w:id="4"/>
    <w:p w14:paraId="14073840" w14:textId="74059F34" w:rsidR="003B2536" w:rsidRDefault="003B2536">
      <w:pPr>
        <w:rPr>
          <w:rFonts w:ascii="Georgia" w:hAnsi="Georgia"/>
          <w:sz w:val="20"/>
          <w:szCs w:val="20"/>
        </w:rPr>
      </w:pPr>
    </w:p>
    <w:p w14:paraId="16B97153" w14:textId="633D3220" w:rsidR="003B2536" w:rsidRDefault="003B2536">
      <w:pPr>
        <w:rPr>
          <w:rFonts w:ascii="Georgia" w:hAnsi="Georgia"/>
          <w:sz w:val="20"/>
          <w:szCs w:val="20"/>
        </w:rPr>
      </w:pPr>
    </w:p>
    <w:p w14:paraId="3DB8DF93" w14:textId="7865DE18" w:rsidR="003B2536" w:rsidRDefault="003B2536">
      <w:pPr>
        <w:rPr>
          <w:rFonts w:ascii="Georgia" w:hAnsi="Georgia"/>
          <w:sz w:val="20"/>
          <w:szCs w:val="20"/>
        </w:rPr>
      </w:pPr>
    </w:p>
    <w:p w14:paraId="77063ACC" w14:textId="77777777" w:rsidR="003B2536" w:rsidRDefault="003B2536">
      <w:pPr>
        <w:rPr>
          <w:rFonts w:ascii="Georgia" w:hAnsi="Georgia"/>
          <w:sz w:val="20"/>
          <w:szCs w:val="20"/>
        </w:rPr>
      </w:pPr>
    </w:p>
    <w:p w14:paraId="27E495BC" w14:textId="77777777" w:rsidR="002E6430" w:rsidRPr="00621AE0" w:rsidRDefault="002E6430">
      <w:pPr>
        <w:rPr>
          <w:rFonts w:ascii="Georgia" w:hAnsi="Georgia"/>
          <w:i/>
          <w:sz w:val="20"/>
          <w:szCs w:val="20"/>
        </w:rPr>
      </w:pPr>
      <w:bookmarkStart w:id="5" w:name="_Hlk23339398"/>
      <w:r w:rsidRPr="00621AE0">
        <w:rPr>
          <w:rFonts w:ascii="Georgia" w:hAnsi="Georgia"/>
          <w:i/>
          <w:sz w:val="20"/>
          <w:szCs w:val="20"/>
        </w:rPr>
        <w:t xml:space="preserve">Table 1: </w:t>
      </w:r>
      <w:r w:rsidR="00352FF9" w:rsidRPr="00621AE0">
        <w:rPr>
          <w:rFonts w:ascii="Georgia" w:hAnsi="Georgia"/>
          <w:i/>
          <w:sz w:val="20"/>
          <w:szCs w:val="20"/>
        </w:rPr>
        <w:t>Expenditure set to break R2 trillion level in 2021/22</w:t>
      </w:r>
    </w:p>
    <w:tbl>
      <w:tblPr>
        <w:tblStyle w:val="TableGrid"/>
        <w:tblW w:w="0" w:type="auto"/>
        <w:tblLook w:val="04A0" w:firstRow="1" w:lastRow="0" w:firstColumn="1" w:lastColumn="0" w:noHBand="0" w:noVBand="1"/>
      </w:tblPr>
      <w:tblGrid>
        <w:gridCol w:w="2972"/>
        <w:gridCol w:w="1275"/>
        <w:gridCol w:w="1276"/>
        <w:gridCol w:w="1275"/>
        <w:gridCol w:w="1276"/>
        <w:gridCol w:w="1276"/>
      </w:tblGrid>
      <w:tr w:rsidR="00352FF9" w:rsidRPr="00352FF9" w14:paraId="5DA15F79" w14:textId="77777777" w:rsidTr="00352FF9">
        <w:tc>
          <w:tcPr>
            <w:tcW w:w="2972" w:type="dxa"/>
            <w:shd w:val="clear" w:color="auto" w:fill="E27588" w:themeFill="accent4"/>
          </w:tcPr>
          <w:p w14:paraId="07511EC0" w14:textId="77777777" w:rsidR="00352FF9" w:rsidRPr="00352FF9" w:rsidRDefault="00352FF9" w:rsidP="00352FF9">
            <w:pPr>
              <w:rPr>
                <w:rFonts w:asciiTheme="majorHAnsi" w:hAnsiTheme="majorHAnsi" w:cs="Calibri"/>
                <w:bCs/>
                <w:color w:val="FFFFFF" w:themeColor="background1"/>
                <w:sz w:val="18"/>
                <w:szCs w:val="18"/>
              </w:rPr>
            </w:pPr>
            <w:r w:rsidRPr="00352FF9">
              <w:rPr>
                <w:rFonts w:asciiTheme="majorHAnsi" w:hAnsiTheme="majorHAnsi" w:cs="Calibri"/>
                <w:bCs/>
                <w:color w:val="FFFFFF" w:themeColor="background1"/>
                <w:sz w:val="18"/>
                <w:szCs w:val="18"/>
                <w:lang w:val="en-US"/>
              </w:rPr>
              <w:t>R trillion/</w:t>
            </w:r>
            <w:r w:rsidRPr="00352FF9">
              <w:rPr>
                <w:rFonts w:asciiTheme="majorHAnsi" w:hAnsiTheme="majorHAnsi" w:cs="Calibri"/>
                <w:bCs/>
                <w:i/>
                <w:color w:val="FFFFFF" w:themeColor="background1"/>
                <w:sz w:val="18"/>
                <w:szCs w:val="18"/>
                <w:lang w:val="en-US"/>
              </w:rPr>
              <w:t>percentage of GDP</w:t>
            </w:r>
          </w:p>
        </w:tc>
        <w:tc>
          <w:tcPr>
            <w:tcW w:w="1275" w:type="dxa"/>
            <w:shd w:val="clear" w:color="auto" w:fill="E27588" w:themeFill="accent4"/>
            <w:vAlign w:val="center"/>
          </w:tcPr>
          <w:p w14:paraId="4E15555F" w14:textId="77777777" w:rsidR="00352FF9" w:rsidRPr="00352FF9" w:rsidRDefault="00352FF9" w:rsidP="00352FF9">
            <w:pPr>
              <w:jc w:val="center"/>
              <w:rPr>
                <w:rFonts w:asciiTheme="majorHAnsi" w:hAnsiTheme="majorHAnsi" w:cs="Calibri"/>
                <w:b/>
                <w:bCs/>
                <w:color w:val="FFFFFF" w:themeColor="background1"/>
                <w:sz w:val="18"/>
                <w:szCs w:val="18"/>
              </w:rPr>
            </w:pPr>
            <w:r w:rsidRPr="00352FF9">
              <w:rPr>
                <w:rFonts w:asciiTheme="majorHAnsi" w:hAnsiTheme="majorHAnsi" w:cs="Calibri"/>
                <w:b/>
                <w:bCs/>
                <w:color w:val="FFFFFF" w:themeColor="background1"/>
                <w:sz w:val="18"/>
                <w:szCs w:val="18"/>
                <w:lang w:val="en-US"/>
              </w:rPr>
              <w:t>2018/19</w:t>
            </w:r>
          </w:p>
        </w:tc>
        <w:tc>
          <w:tcPr>
            <w:tcW w:w="1276" w:type="dxa"/>
            <w:shd w:val="clear" w:color="auto" w:fill="E27588" w:themeFill="accent4"/>
            <w:vAlign w:val="center"/>
          </w:tcPr>
          <w:p w14:paraId="237906C0" w14:textId="77777777" w:rsidR="00352FF9" w:rsidRPr="00352FF9" w:rsidRDefault="00352FF9" w:rsidP="00352FF9">
            <w:pPr>
              <w:jc w:val="center"/>
              <w:rPr>
                <w:rFonts w:asciiTheme="majorHAnsi" w:hAnsiTheme="majorHAnsi" w:cs="Calibri"/>
                <w:b/>
                <w:bCs/>
                <w:color w:val="FFFFFF" w:themeColor="background1"/>
                <w:sz w:val="18"/>
                <w:szCs w:val="18"/>
              </w:rPr>
            </w:pPr>
            <w:r w:rsidRPr="00352FF9">
              <w:rPr>
                <w:rFonts w:asciiTheme="majorHAnsi" w:hAnsiTheme="majorHAnsi" w:cs="Calibri"/>
                <w:b/>
                <w:bCs/>
                <w:color w:val="FFFFFF" w:themeColor="background1"/>
                <w:sz w:val="18"/>
                <w:szCs w:val="18"/>
                <w:lang w:val="en-US"/>
              </w:rPr>
              <w:t>2019/20f</w:t>
            </w:r>
          </w:p>
        </w:tc>
        <w:tc>
          <w:tcPr>
            <w:tcW w:w="1275" w:type="dxa"/>
            <w:shd w:val="clear" w:color="auto" w:fill="E27588" w:themeFill="accent4"/>
            <w:vAlign w:val="center"/>
          </w:tcPr>
          <w:p w14:paraId="7504BED3" w14:textId="77777777" w:rsidR="00352FF9" w:rsidRPr="00352FF9" w:rsidRDefault="00352FF9" w:rsidP="00352FF9">
            <w:pPr>
              <w:jc w:val="center"/>
              <w:rPr>
                <w:rFonts w:asciiTheme="majorHAnsi" w:hAnsiTheme="majorHAnsi" w:cs="Calibri"/>
                <w:b/>
                <w:bCs/>
                <w:color w:val="FFFFFF" w:themeColor="background1"/>
                <w:sz w:val="18"/>
                <w:szCs w:val="18"/>
              </w:rPr>
            </w:pPr>
            <w:r w:rsidRPr="00352FF9">
              <w:rPr>
                <w:rFonts w:asciiTheme="majorHAnsi" w:hAnsiTheme="majorHAnsi" w:cs="Calibri"/>
                <w:b/>
                <w:bCs/>
                <w:color w:val="FFFFFF" w:themeColor="background1"/>
                <w:sz w:val="18"/>
                <w:szCs w:val="18"/>
                <w:lang w:val="en-US"/>
              </w:rPr>
              <w:t>2020/21f</w:t>
            </w:r>
          </w:p>
        </w:tc>
        <w:tc>
          <w:tcPr>
            <w:tcW w:w="1276" w:type="dxa"/>
            <w:shd w:val="clear" w:color="auto" w:fill="E27588" w:themeFill="accent4"/>
            <w:vAlign w:val="center"/>
          </w:tcPr>
          <w:p w14:paraId="5219A501" w14:textId="77777777" w:rsidR="00352FF9" w:rsidRPr="00352FF9" w:rsidRDefault="00352FF9" w:rsidP="00352FF9">
            <w:pPr>
              <w:jc w:val="center"/>
              <w:rPr>
                <w:rFonts w:asciiTheme="majorHAnsi" w:hAnsiTheme="majorHAnsi" w:cs="Calibri"/>
                <w:b/>
                <w:bCs/>
                <w:color w:val="FFFFFF" w:themeColor="background1"/>
                <w:sz w:val="18"/>
                <w:szCs w:val="18"/>
              </w:rPr>
            </w:pPr>
            <w:r w:rsidRPr="00352FF9">
              <w:rPr>
                <w:rFonts w:asciiTheme="majorHAnsi" w:hAnsiTheme="majorHAnsi" w:cs="Calibri"/>
                <w:b/>
                <w:bCs/>
                <w:color w:val="FFFFFF" w:themeColor="background1"/>
                <w:sz w:val="18"/>
                <w:szCs w:val="18"/>
                <w:lang w:val="en-US"/>
              </w:rPr>
              <w:t>2021/22f</w:t>
            </w:r>
          </w:p>
        </w:tc>
        <w:tc>
          <w:tcPr>
            <w:tcW w:w="1276" w:type="dxa"/>
            <w:shd w:val="clear" w:color="auto" w:fill="E27588" w:themeFill="accent4"/>
            <w:vAlign w:val="center"/>
          </w:tcPr>
          <w:p w14:paraId="3CDBF70C" w14:textId="77777777" w:rsidR="00352FF9" w:rsidRPr="00352FF9" w:rsidRDefault="00352FF9" w:rsidP="00352FF9">
            <w:pPr>
              <w:jc w:val="center"/>
              <w:rPr>
                <w:rFonts w:asciiTheme="majorHAnsi" w:hAnsiTheme="majorHAnsi" w:cs="Calibri"/>
                <w:b/>
                <w:bCs/>
                <w:color w:val="FFFFFF" w:themeColor="background1"/>
                <w:sz w:val="18"/>
                <w:szCs w:val="18"/>
              </w:rPr>
            </w:pPr>
            <w:r w:rsidRPr="00352FF9">
              <w:rPr>
                <w:rFonts w:asciiTheme="majorHAnsi" w:hAnsiTheme="majorHAnsi" w:cs="Calibri"/>
                <w:b/>
                <w:bCs/>
                <w:color w:val="FFFFFF" w:themeColor="background1"/>
                <w:sz w:val="18"/>
                <w:szCs w:val="18"/>
              </w:rPr>
              <w:t>2022/23f</w:t>
            </w:r>
          </w:p>
        </w:tc>
      </w:tr>
      <w:tr w:rsidR="00352FF9" w:rsidRPr="00352FF9" w14:paraId="5B463A3A" w14:textId="77777777" w:rsidTr="00352FF9">
        <w:tc>
          <w:tcPr>
            <w:tcW w:w="2972" w:type="dxa"/>
            <w:vMerge w:val="restart"/>
            <w:vAlign w:val="center"/>
          </w:tcPr>
          <w:p w14:paraId="12D8962D" w14:textId="77777777" w:rsidR="00352FF9" w:rsidRPr="00352FF9" w:rsidRDefault="00352FF9" w:rsidP="00352FF9">
            <w:pPr>
              <w:rPr>
                <w:rFonts w:asciiTheme="majorHAnsi" w:hAnsiTheme="majorHAnsi" w:cs="Calibri"/>
                <w:b/>
                <w:bCs/>
                <w:color w:val="D32D4A" w:themeColor="accent4" w:themeShade="BF"/>
                <w:sz w:val="18"/>
                <w:szCs w:val="18"/>
              </w:rPr>
            </w:pPr>
            <w:r w:rsidRPr="00352FF9">
              <w:rPr>
                <w:rFonts w:asciiTheme="majorHAnsi" w:hAnsiTheme="majorHAnsi" w:cs="Calibri"/>
                <w:b/>
                <w:bCs/>
                <w:color w:val="D32D4A" w:themeColor="accent4" w:themeShade="BF"/>
                <w:sz w:val="18"/>
                <w:szCs w:val="18"/>
                <w:lang w:val="en-US"/>
              </w:rPr>
              <w:t>Revenue</w:t>
            </w:r>
          </w:p>
        </w:tc>
        <w:tc>
          <w:tcPr>
            <w:tcW w:w="1275" w:type="dxa"/>
            <w:vAlign w:val="center"/>
          </w:tcPr>
          <w:p w14:paraId="1A06016F" w14:textId="77777777" w:rsidR="00352FF9" w:rsidRPr="00352FF9" w:rsidRDefault="00352FF9" w:rsidP="00352FF9">
            <w:pPr>
              <w:jc w:val="center"/>
              <w:rPr>
                <w:rFonts w:asciiTheme="majorHAnsi" w:hAnsiTheme="majorHAnsi"/>
                <w:sz w:val="18"/>
                <w:szCs w:val="18"/>
              </w:rPr>
            </w:pPr>
            <w:r w:rsidRPr="00352FF9">
              <w:rPr>
                <w:rFonts w:asciiTheme="majorHAnsi" w:hAnsiTheme="majorHAnsi"/>
                <w:sz w:val="18"/>
                <w:szCs w:val="18"/>
              </w:rPr>
              <w:t>1.45</w:t>
            </w:r>
          </w:p>
        </w:tc>
        <w:tc>
          <w:tcPr>
            <w:tcW w:w="1276" w:type="dxa"/>
            <w:vAlign w:val="center"/>
          </w:tcPr>
          <w:p w14:paraId="7371C4EE" w14:textId="77777777" w:rsidR="00352FF9" w:rsidRPr="00352FF9" w:rsidRDefault="00352FF9" w:rsidP="00352FF9">
            <w:pPr>
              <w:jc w:val="center"/>
              <w:rPr>
                <w:rFonts w:asciiTheme="majorHAnsi" w:hAnsiTheme="majorHAnsi"/>
                <w:sz w:val="18"/>
                <w:szCs w:val="18"/>
              </w:rPr>
            </w:pPr>
            <w:r w:rsidRPr="00352FF9">
              <w:rPr>
                <w:rFonts w:asciiTheme="majorHAnsi" w:hAnsiTheme="majorHAnsi"/>
                <w:sz w:val="18"/>
                <w:szCs w:val="18"/>
              </w:rPr>
              <w:t>1.54</w:t>
            </w:r>
          </w:p>
        </w:tc>
        <w:tc>
          <w:tcPr>
            <w:tcW w:w="1275" w:type="dxa"/>
            <w:vAlign w:val="center"/>
          </w:tcPr>
          <w:p w14:paraId="6E9CD4D8" w14:textId="77777777" w:rsidR="00352FF9" w:rsidRPr="00352FF9" w:rsidRDefault="00352FF9" w:rsidP="00352FF9">
            <w:pPr>
              <w:jc w:val="center"/>
              <w:rPr>
                <w:rFonts w:asciiTheme="majorHAnsi" w:hAnsiTheme="majorHAnsi"/>
                <w:sz w:val="18"/>
                <w:szCs w:val="18"/>
              </w:rPr>
            </w:pPr>
            <w:r w:rsidRPr="00352FF9">
              <w:rPr>
                <w:rFonts w:asciiTheme="majorHAnsi" w:hAnsiTheme="majorHAnsi"/>
                <w:sz w:val="18"/>
                <w:szCs w:val="18"/>
              </w:rPr>
              <w:t>1.62</w:t>
            </w:r>
          </w:p>
        </w:tc>
        <w:tc>
          <w:tcPr>
            <w:tcW w:w="1276" w:type="dxa"/>
            <w:vAlign w:val="center"/>
          </w:tcPr>
          <w:p w14:paraId="119E6260" w14:textId="77777777" w:rsidR="00352FF9" w:rsidRPr="00352FF9" w:rsidRDefault="00352FF9" w:rsidP="00352FF9">
            <w:pPr>
              <w:jc w:val="center"/>
              <w:rPr>
                <w:rFonts w:asciiTheme="majorHAnsi" w:hAnsiTheme="majorHAnsi"/>
                <w:sz w:val="18"/>
                <w:szCs w:val="18"/>
              </w:rPr>
            </w:pPr>
            <w:r w:rsidRPr="00352FF9">
              <w:rPr>
                <w:rFonts w:asciiTheme="majorHAnsi" w:hAnsiTheme="majorHAnsi"/>
                <w:sz w:val="18"/>
                <w:szCs w:val="18"/>
              </w:rPr>
              <w:t>1.73</w:t>
            </w:r>
          </w:p>
        </w:tc>
        <w:tc>
          <w:tcPr>
            <w:tcW w:w="1276" w:type="dxa"/>
            <w:vAlign w:val="center"/>
          </w:tcPr>
          <w:p w14:paraId="0430B2C1" w14:textId="77777777" w:rsidR="00352FF9" w:rsidRPr="00352FF9" w:rsidRDefault="00352FF9" w:rsidP="00352FF9">
            <w:pPr>
              <w:jc w:val="center"/>
              <w:rPr>
                <w:rFonts w:asciiTheme="majorHAnsi" w:hAnsiTheme="majorHAnsi"/>
                <w:sz w:val="18"/>
                <w:szCs w:val="18"/>
              </w:rPr>
            </w:pPr>
            <w:r w:rsidRPr="00352FF9">
              <w:rPr>
                <w:rFonts w:asciiTheme="majorHAnsi" w:hAnsiTheme="majorHAnsi"/>
                <w:sz w:val="18"/>
                <w:szCs w:val="18"/>
              </w:rPr>
              <w:t>1.84</w:t>
            </w:r>
          </w:p>
        </w:tc>
      </w:tr>
      <w:tr w:rsidR="00352FF9" w:rsidRPr="00352FF9" w14:paraId="69A8A6C2" w14:textId="77777777" w:rsidTr="00352FF9">
        <w:tc>
          <w:tcPr>
            <w:tcW w:w="2972" w:type="dxa"/>
            <w:vMerge/>
            <w:vAlign w:val="center"/>
          </w:tcPr>
          <w:p w14:paraId="3034B20A" w14:textId="77777777" w:rsidR="00352FF9" w:rsidRPr="00352FF9" w:rsidRDefault="00352FF9" w:rsidP="00352FF9">
            <w:pPr>
              <w:rPr>
                <w:rFonts w:asciiTheme="majorHAnsi" w:hAnsiTheme="majorHAnsi"/>
                <w:color w:val="D32D4A" w:themeColor="accent4" w:themeShade="BF"/>
                <w:sz w:val="18"/>
                <w:szCs w:val="18"/>
              </w:rPr>
            </w:pPr>
          </w:p>
        </w:tc>
        <w:tc>
          <w:tcPr>
            <w:tcW w:w="1275" w:type="dxa"/>
            <w:vAlign w:val="center"/>
          </w:tcPr>
          <w:p w14:paraId="709F03D8" w14:textId="77777777" w:rsidR="00352FF9" w:rsidRPr="00352FF9" w:rsidRDefault="00352FF9" w:rsidP="00352FF9">
            <w:pPr>
              <w:jc w:val="center"/>
              <w:rPr>
                <w:rFonts w:asciiTheme="majorHAnsi" w:hAnsiTheme="majorHAnsi"/>
                <w:i/>
                <w:sz w:val="18"/>
                <w:szCs w:val="18"/>
              </w:rPr>
            </w:pPr>
            <w:r w:rsidRPr="00352FF9">
              <w:rPr>
                <w:rFonts w:asciiTheme="majorHAnsi" w:hAnsiTheme="majorHAnsi"/>
                <w:i/>
                <w:sz w:val="18"/>
                <w:szCs w:val="18"/>
              </w:rPr>
              <w:t>29.4</w:t>
            </w:r>
          </w:p>
        </w:tc>
        <w:tc>
          <w:tcPr>
            <w:tcW w:w="1276" w:type="dxa"/>
            <w:vAlign w:val="center"/>
          </w:tcPr>
          <w:p w14:paraId="1F6369FC" w14:textId="77777777" w:rsidR="00352FF9" w:rsidRPr="00352FF9" w:rsidRDefault="00352FF9" w:rsidP="00352FF9">
            <w:pPr>
              <w:jc w:val="center"/>
              <w:rPr>
                <w:rFonts w:asciiTheme="majorHAnsi" w:hAnsiTheme="majorHAnsi"/>
                <w:i/>
                <w:sz w:val="18"/>
                <w:szCs w:val="18"/>
              </w:rPr>
            </w:pPr>
            <w:r w:rsidRPr="00352FF9">
              <w:rPr>
                <w:rFonts w:asciiTheme="majorHAnsi" w:hAnsiTheme="majorHAnsi"/>
                <w:i/>
                <w:sz w:val="18"/>
                <w:szCs w:val="18"/>
              </w:rPr>
              <w:t>29.5</w:t>
            </w:r>
          </w:p>
        </w:tc>
        <w:tc>
          <w:tcPr>
            <w:tcW w:w="1275" w:type="dxa"/>
            <w:vAlign w:val="center"/>
          </w:tcPr>
          <w:p w14:paraId="43E5AD68" w14:textId="77777777" w:rsidR="00352FF9" w:rsidRPr="00352FF9" w:rsidRDefault="00352FF9" w:rsidP="00352FF9">
            <w:pPr>
              <w:jc w:val="center"/>
              <w:rPr>
                <w:rFonts w:asciiTheme="majorHAnsi" w:hAnsiTheme="majorHAnsi"/>
                <w:i/>
                <w:sz w:val="18"/>
                <w:szCs w:val="18"/>
              </w:rPr>
            </w:pPr>
            <w:r w:rsidRPr="00352FF9">
              <w:rPr>
                <w:rFonts w:asciiTheme="majorHAnsi" w:hAnsiTheme="majorHAnsi"/>
                <w:i/>
                <w:sz w:val="18"/>
                <w:szCs w:val="18"/>
              </w:rPr>
              <w:t>29.3</w:t>
            </w:r>
          </w:p>
        </w:tc>
        <w:tc>
          <w:tcPr>
            <w:tcW w:w="1276" w:type="dxa"/>
            <w:vAlign w:val="center"/>
          </w:tcPr>
          <w:p w14:paraId="5D3A45D9" w14:textId="77777777" w:rsidR="00352FF9" w:rsidRPr="00352FF9" w:rsidRDefault="00352FF9" w:rsidP="00352FF9">
            <w:pPr>
              <w:jc w:val="center"/>
              <w:rPr>
                <w:rFonts w:asciiTheme="majorHAnsi" w:hAnsiTheme="majorHAnsi"/>
                <w:i/>
                <w:sz w:val="18"/>
                <w:szCs w:val="18"/>
              </w:rPr>
            </w:pPr>
            <w:r w:rsidRPr="00352FF9">
              <w:rPr>
                <w:rFonts w:asciiTheme="majorHAnsi" w:hAnsiTheme="majorHAnsi"/>
                <w:i/>
                <w:sz w:val="18"/>
                <w:szCs w:val="18"/>
              </w:rPr>
              <w:t>29.4</w:t>
            </w:r>
          </w:p>
        </w:tc>
        <w:tc>
          <w:tcPr>
            <w:tcW w:w="1276" w:type="dxa"/>
            <w:vAlign w:val="center"/>
          </w:tcPr>
          <w:p w14:paraId="1F967239" w14:textId="77777777" w:rsidR="00352FF9" w:rsidRPr="00352FF9" w:rsidRDefault="00352FF9" w:rsidP="00352FF9">
            <w:pPr>
              <w:jc w:val="center"/>
              <w:rPr>
                <w:rFonts w:asciiTheme="majorHAnsi" w:hAnsiTheme="majorHAnsi"/>
                <w:i/>
                <w:sz w:val="18"/>
                <w:szCs w:val="18"/>
              </w:rPr>
            </w:pPr>
            <w:r w:rsidRPr="00352FF9">
              <w:rPr>
                <w:rFonts w:asciiTheme="majorHAnsi" w:hAnsiTheme="majorHAnsi"/>
                <w:i/>
                <w:sz w:val="18"/>
                <w:szCs w:val="18"/>
              </w:rPr>
              <w:t>29.3</w:t>
            </w:r>
          </w:p>
        </w:tc>
      </w:tr>
      <w:tr w:rsidR="00352FF9" w:rsidRPr="00352FF9" w14:paraId="1D02A4BA" w14:textId="77777777" w:rsidTr="00352FF9">
        <w:tc>
          <w:tcPr>
            <w:tcW w:w="2972" w:type="dxa"/>
            <w:vMerge w:val="restart"/>
            <w:vAlign w:val="center"/>
          </w:tcPr>
          <w:p w14:paraId="06124735" w14:textId="77777777" w:rsidR="00352FF9" w:rsidRPr="00352FF9" w:rsidRDefault="00352FF9" w:rsidP="00352FF9">
            <w:pPr>
              <w:rPr>
                <w:rFonts w:asciiTheme="majorHAnsi" w:hAnsiTheme="majorHAnsi" w:cs="Calibri"/>
                <w:b/>
                <w:bCs/>
                <w:color w:val="D32D4A" w:themeColor="accent4" w:themeShade="BF"/>
                <w:sz w:val="18"/>
                <w:szCs w:val="18"/>
              </w:rPr>
            </w:pPr>
            <w:r w:rsidRPr="00352FF9">
              <w:rPr>
                <w:rFonts w:asciiTheme="majorHAnsi" w:hAnsiTheme="majorHAnsi" w:cs="Calibri"/>
                <w:b/>
                <w:bCs/>
                <w:color w:val="D32D4A" w:themeColor="accent4" w:themeShade="BF"/>
                <w:sz w:val="18"/>
                <w:szCs w:val="18"/>
                <w:lang w:val="en-US"/>
              </w:rPr>
              <w:t>Expenditure</w:t>
            </w:r>
          </w:p>
        </w:tc>
        <w:tc>
          <w:tcPr>
            <w:tcW w:w="1275" w:type="dxa"/>
            <w:vAlign w:val="center"/>
          </w:tcPr>
          <w:p w14:paraId="064270DB" w14:textId="77777777" w:rsidR="00352FF9" w:rsidRPr="00352FF9" w:rsidRDefault="00352FF9" w:rsidP="00352FF9">
            <w:pPr>
              <w:jc w:val="center"/>
              <w:rPr>
                <w:rFonts w:asciiTheme="majorHAnsi" w:hAnsiTheme="majorHAnsi"/>
                <w:sz w:val="18"/>
                <w:szCs w:val="18"/>
              </w:rPr>
            </w:pPr>
            <w:r w:rsidRPr="00352FF9">
              <w:rPr>
                <w:rFonts w:asciiTheme="majorHAnsi" w:hAnsiTheme="majorHAnsi"/>
                <w:sz w:val="18"/>
                <w:szCs w:val="18"/>
              </w:rPr>
              <w:t>1.65</w:t>
            </w:r>
          </w:p>
        </w:tc>
        <w:tc>
          <w:tcPr>
            <w:tcW w:w="1276" w:type="dxa"/>
            <w:vAlign w:val="center"/>
          </w:tcPr>
          <w:p w14:paraId="3DF048AA" w14:textId="77777777" w:rsidR="00352FF9" w:rsidRPr="00352FF9" w:rsidRDefault="00352FF9" w:rsidP="00352FF9">
            <w:pPr>
              <w:jc w:val="center"/>
              <w:rPr>
                <w:rFonts w:asciiTheme="majorHAnsi" w:hAnsiTheme="majorHAnsi"/>
                <w:sz w:val="18"/>
                <w:szCs w:val="18"/>
              </w:rPr>
            </w:pPr>
            <w:r w:rsidRPr="00352FF9">
              <w:rPr>
                <w:rFonts w:asciiTheme="majorHAnsi" w:hAnsiTheme="majorHAnsi"/>
                <w:sz w:val="18"/>
                <w:szCs w:val="18"/>
              </w:rPr>
              <w:t>1.84</w:t>
            </w:r>
          </w:p>
        </w:tc>
        <w:tc>
          <w:tcPr>
            <w:tcW w:w="1275" w:type="dxa"/>
            <w:vAlign w:val="center"/>
          </w:tcPr>
          <w:p w14:paraId="46208A0F" w14:textId="77777777" w:rsidR="00352FF9" w:rsidRPr="00352FF9" w:rsidRDefault="00352FF9" w:rsidP="00352FF9">
            <w:pPr>
              <w:jc w:val="center"/>
              <w:rPr>
                <w:rFonts w:asciiTheme="majorHAnsi" w:hAnsiTheme="majorHAnsi"/>
                <w:sz w:val="18"/>
                <w:szCs w:val="18"/>
              </w:rPr>
            </w:pPr>
            <w:r w:rsidRPr="00352FF9">
              <w:rPr>
                <w:rFonts w:asciiTheme="majorHAnsi" w:hAnsiTheme="majorHAnsi"/>
                <w:sz w:val="18"/>
                <w:szCs w:val="18"/>
              </w:rPr>
              <w:t>1.98</w:t>
            </w:r>
          </w:p>
        </w:tc>
        <w:tc>
          <w:tcPr>
            <w:tcW w:w="1276" w:type="dxa"/>
            <w:vAlign w:val="center"/>
          </w:tcPr>
          <w:p w14:paraId="695D354B" w14:textId="77777777" w:rsidR="00352FF9" w:rsidRPr="00352FF9" w:rsidRDefault="00352FF9" w:rsidP="00352FF9">
            <w:pPr>
              <w:jc w:val="center"/>
              <w:rPr>
                <w:rFonts w:asciiTheme="majorHAnsi" w:hAnsiTheme="majorHAnsi"/>
                <w:sz w:val="18"/>
                <w:szCs w:val="18"/>
              </w:rPr>
            </w:pPr>
            <w:r w:rsidRPr="00352FF9">
              <w:rPr>
                <w:rFonts w:asciiTheme="majorHAnsi" w:hAnsiTheme="majorHAnsi"/>
                <w:sz w:val="18"/>
                <w:szCs w:val="18"/>
              </w:rPr>
              <w:t>2.10</w:t>
            </w:r>
          </w:p>
        </w:tc>
        <w:tc>
          <w:tcPr>
            <w:tcW w:w="1276" w:type="dxa"/>
            <w:vAlign w:val="center"/>
          </w:tcPr>
          <w:p w14:paraId="37D261E7" w14:textId="77777777" w:rsidR="00352FF9" w:rsidRPr="00352FF9" w:rsidRDefault="00352FF9" w:rsidP="00352FF9">
            <w:pPr>
              <w:jc w:val="center"/>
              <w:rPr>
                <w:rFonts w:asciiTheme="majorHAnsi" w:hAnsiTheme="majorHAnsi"/>
                <w:sz w:val="18"/>
                <w:szCs w:val="18"/>
              </w:rPr>
            </w:pPr>
            <w:r w:rsidRPr="00352FF9">
              <w:rPr>
                <w:rFonts w:asciiTheme="majorHAnsi" w:hAnsiTheme="majorHAnsi"/>
                <w:sz w:val="18"/>
                <w:szCs w:val="18"/>
              </w:rPr>
              <w:t>2.21</w:t>
            </w:r>
          </w:p>
        </w:tc>
      </w:tr>
      <w:tr w:rsidR="00352FF9" w:rsidRPr="00352FF9" w14:paraId="44D651C7" w14:textId="77777777" w:rsidTr="00352FF9">
        <w:tc>
          <w:tcPr>
            <w:tcW w:w="2972" w:type="dxa"/>
            <w:vMerge/>
            <w:vAlign w:val="center"/>
          </w:tcPr>
          <w:p w14:paraId="097623D4" w14:textId="77777777" w:rsidR="00352FF9" w:rsidRPr="00352FF9" w:rsidRDefault="00352FF9" w:rsidP="00352FF9">
            <w:pPr>
              <w:rPr>
                <w:rFonts w:asciiTheme="majorHAnsi" w:hAnsiTheme="majorHAnsi"/>
                <w:color w:val="D32D4A" w:themeColor="accent4" w:themeShade="BF"/>
                <w:sz w:val="18"/>
                <w:szCs w:val="18"/>
              </w:rPr>
            </w:pPr>
          </w:p>
        </w:tc>
        <w:tc>
          <w:tcPr>
            <w:tcW w:w="1275" w:type="dxa"/>
            <w:vAlign w:val="center"/>
          </w:tcPr>
          <w:p w14:paraId="14492E98" w14:textId="77777777" w:rsidR="00352FF9" w:rsidRPr="00352FF9" w:rsidRDefault="00352FF9" w:rsidP="00352FF9">
            <w:pPr>
              <w:jc w:val="center"/>
              <w:rPr>
                <w:rFonts w:asciiTheme="majorHAnsi" w:hAnsiTheme="majorHAnsi"/>
                <w:i/>
                <w:sz w:val="18"/>
                <w:szCs w:val="18"/>
              </w:rPr>
            </w:pPr>
            <w:r w:rsidRPr="00352FF9">
              <w:rPr>
                <w:rFonts w:asciiTheme="majorHAnsi" w:hAnsiTheme="majorHAnsi"/>
                <w:i/>
                <w:sz w:val="18"/>
                <w:szCs w:val="18"/>
              </w:rPr>
              <w:t>33.6</w:t>
            </w:r>
          </w:p>
        </w:tc>
        <w:tc>
          <w:tcPr>
            <w:tcW w:w="1276" w:type="dxa"/>
            <w:vAlign w:val="center"/>
          </w:tcPr>
          <w:p w14:paraId="568D47FF" w14:textId="77777777" w:rsidR="00352FF9" w:rsidRPr="00352FF9" w:rsidRDefault="00352FF9" w:rsidP="00352FF9">
            <w:pPr>
              <w:jc w:val="center"/>
              <w:rPr>
                <w:rFonts w:asciiTheme="majorHAnsi" w:hAnsiTheme="majorHAnsi"/>
                <w:i/>
                <w:sz w:val="18"/>
                <w:szCs w:val="18"/>
              </w:rPr>
            </w:pPr>
            <w:r w:rsidRPr="00352FF9">
              <w:rPr>
                <w:rFonts w:asciiTheme="majorHAnsi" w:hAnsiTheme="majorHAnsi"/>
                <w:i/>
                <w:sz w:val="18"/>
                <w:szCs w:val="18"/>
              </w:rPr>
              <w:t>35.4</w:t>
            </w:r>
          </w:p>
        </w:tc>
        <w:tc>
          <w:tcPr>
            <w:tcW w:w="1275" w:type="dxa"/>
            <w:vAlign w:val="center"/>
          </w:tcPr>
          <w:p w14:paraId="050FE61F" w14:textId="77777777" w:rsidR="00352FF9" w:rsidRPr="00352FF9" w:rsidRDefault="00352FF9" w:rsidP="00352FF9">
            <w:pPr>
              <w:jc w:val="center"/>
              <w:rPr>
                <w:rFonts w:asciiTheme="majorHAnsi" w:hAnsiTheme="majorHAnsi"/>
                <w:i/>
                <w:sz w:val="18"/>
                <w:szCs w:val="18"/>
              </w:rPr>
            </w:pPr>
            <w:r w:rsidRPr="00352FF9">
              <w:rPr>
                <w:rFonts w:asciiTheme="majorHAnsi" w:hAnsiTheme="majorHAnsi"/>
                <w:i/>
                <w:sz w:val="18"/>
                <w:szCs w:val="18"/>
              </w:rPr>
              <w:t>35.8</w:t>
            </w:r>
          </w:p>
        </w:tc>
        <w:tc>
          <w:tcPr>
            <w:tcW w:w="1276" w:type="dxa"/>
            <w:vAlign w:val="center"/>
          </w:tcPr>
          <w:p w14:paraId="4DFBD6A1" w14:textId="77777777" w:rsidR="00352FF9" w:rsidRPr="00352FF9" w:rsidRDefault="00352FF9" w:rsidP="00352FF9">
            <w:pPr>
              <w:jc w:val="center"/>
              <w:rPr>
                <w:rFonts w:asciiTheme="majorHAnsi" w:hAnsiTheme="majorHAnsi"/>
                <w:i/>
                <w:sz w:val="18"/>
                <w:szCs w:val="18"/>
              </w:rPr>
            </w:pPr>
            <w:r w:rsidRPr="00352FF9">
              <w:rPr>
                <w:rFonts w:asciiTheme="majorHAnsi" w:hAnsiTheme="majorHAnsi"/>
                <w:i/>
                <w:sz w:val="18"/>
                <w:szCs w:val="18"/>
              </w:rPr>
              <w:t>35.6</w:t>
            </w:r>
          </w:p>
        </w:tc>
        <w:tc>
          <w:tcPr>
            <w:tcW w:w="1276" w:type="dxa"/>
            <w:vAlign w:val="center"/>
          </w:tcPr>
          <w:p w14:paraId="5165AE23" w14:textId="77777777" w:rsidR="00352FF9" w:rsidRPr="00352FF9" w:rsidRDefault="00352FF9" w:rsidP="00352FF9">
            <w:pPr>
              <w:jc w:val="center"/>
              <w:rPr>
                <w:rFonts w:asciiTheme="majorHAnsi" w:hAnsiTheme="majorHAnsi"/>
                <w:i/>
                <w:sz w:val="18"/>
                <w:szCs w:val="18"/>
              </w:rPr>
            </w:pPr>
            <w:r w:rsidRPr="00352FF9">
              <w:rPr>
                <w:rFonts w:asciiTheme="majorHAnsi" w:hAnsiTheme="majorHAnsi"/>
                <w:i/>
                <w:sz w:val="18"/>
                <w:szCs w:val="18"/>
              </w:rPr>
              <w:t>35.3</w:t>
            </w:r>
          </w:p>
        </w:tc>
      </w:tr>
      <w:tr w:rsidR="00352FF9" w:rsidRPr="00352FF9" w14:paraId="00D5792F" w14:textId="77777777" w:rsidTr="00352FF9">
        <w:tc>
          <w:tcPr>
            <w:tcW w:w="2972" w:type="dxa"/>
            <w:vMerge w:val="restart"/>
            <w:vAlign w:val="center"/>
          </w:tcPr>
          <w:p w14:paraId="6D0C09B2" w14:textId="77777777" w:rsidR="00352FF9" w:rsidRPr="00352FF9" w:rsidRDefault="00352FF9" w:rsidP="00352FF9">
            <w:pPr>
              <w:rPr>
                <w:rFonts w:asciiTheme="majorHAnsi" w:hAnsiTheme="majorHAnsi" w:cs="Calibri"/>
                <w:b/>
                <w:bCs/>
                <w:color w:val="D32D4A" w:themeColor="accent4" w:themeShade="BF"/>
                <w:sz w:val="18"/>
                <w:szCs w:val="18"/>
              </w:rPr>
            </w:pPr>
            <w:r w:rsidRPr="00352FF9">
              <w:rPr>
                <w:rFonts w:asciiTheme="majorHAnsi" w:hAnsiTheme="majorHAnsi" w:cs="Calibri"/>
                <w:b/>
                <w:bCs/>
                <w:color w:val="D32D4A" w:themeColor="accent4" w:themeShade="BF"/>
                <w:sz w:val="18"/>
                <w:szCs w:val="18"/>
                <w:lang w:val="en-US"/>
              </w:rPr>
              <w:t xml:space="preserve">Budget balance </w:t>
            </w:r>
          </w:p>
        </w:tc>
        <w:tc>
          <w:tcPr>
            <w:tcW w:w="1275" w:type="dxa"/>
            <w:vAlign w:val="center"/>
          </w:tcPr>
          <w:p w14:paraId="01DCD9AB" w14:textId="77777777" w:rsidR="00352FF9" w:rsidRPr="00352FF9" w:rsidRDefault="00352FF9" w:rsidP="00352FF9">
            <w:pPr>
              <w:jc w:val="center"/>
              <w:rPr>
                <w:rFonts w:asciiTheme="majorHAnsi" w:hAnsiTheme="majorHAnsi"/>
                <w:sz w:val="18"/>
                <w:szCs w:val="18"/>
              </w:rPr>
            </w:pPr>
            <w:r w:rsidRPr="00352FF9">
              <w:rPr>
                <w:rFonts w:asciiTheme="majorHAnsi" w:hAnsiTheme="majorHAnsi"/>
                <w:sz w:val="18"/>
                <w:szCs w:val="18"/>
              </w:rPr>
              <w:t>-0.21</w:t>
            </w:r>
          </w:p>
        </w:tc>
        <w:tc>
          <w:tcPr>
            <w:tcW w:w="1276" w:type="dxa"/>
            <w:vAlign w:val="center"/>
          </w:tcPr>
          <w:p w14:paraId="10972D19" w14:textId="77777777" w:rsidR="00352FF9" w:rsidRPr="00352FF9" w:rsidRDefault="00352FF9" w:rsidP="00352FF9">
            <w:pPr>
              <w:jc w:val="center"/>
              <w:rPr>
                <w:rFonts w:asciiTheme="majorHAnsi" w:hAnsiTheme="majorHAnsi"/>
                <w:sz w:val="18"/>
                <w:szCs w:val="18"/>
              </w:rPr>
            </w:pPr>
            <w:r w:rsidRPr="00352FF9">
              <w:rPr>
                <w:rFonts w:asciiTheme="majorHAnsi" w:hAnsiTheme="majorHAnsi"/>
                <w:sz w:val="18"/>
                <w:szCs w:val="18"/>
              </w:rPr>
              <w:t>-0.31</w:t>
            </w:r>
          </w:p>
        </w:tc>
        <w:tc>
          <w:tcPr>
            <w:tcW w:w="1275" w:type="dxa"/>
            <w:vAlign w:val="center"/>
          </w:tcPr>
          <w:p w14:paraId="12A9BF80" w14:textId="77777777" w:rsidR="00352FF9" w:rsidRPr="00352FF9" w:rsidRDefault="00352FF9" w:rsidP="00352FF9">
            <w:pPr>
              <w:jc w:val="center"/>
              <w:rPr>
                <w:rFonts w:asciiTheme="majorHAnsi" w:hAnsiTheme="majorHAnsi"/>
                <w:sz w:val="18"/>
                <w:szCs w:val="18"/>
              </w:rPr>
            </w:pPr>
            <w:r w:rsidRPr="00352FF9">
              <w:rPr>
                <w:rFonts w:asciiTheme="majorHAnsi" w:hAnsiTheme="majorHAnsi"/>
                <w:sz w:val="18"/>
                <w:szCs w:val="18"/>
              </w:rPr>
              <w:t>-0.36</w:t>
            </w:r>
          </w:p>
        </w:tc>
        <w:tc>
          <w:tcPr>
            <w:tcW w:w="1276" w:type="dxa"/>
            <w:vAlign w:val="center"/>
          </w:tcPr>
          <w:p w14:paraId="15244A73" w14:textId="77777777" w:rsidR="00352FF9" w:rsidRPr="00352FF9" w:rsidRDefault="00352FF9" w:rsidP="00352FF9">
            <w:pPr>
              <w:jc w:val="center"/>
              <w:rPr>
                <w:rFonts w:asciiTheme="majorHAnsi" w:hAnsiTheme="majorHAnsi"/>
                <w:sz w:val="18"/>
                <w:szCs w:val="18"/>
              </w:rPr>
            </w:pPr>
            <w:r w:rsidRPr="00352FF9">
              <w:rPr>
                <w:rFonts w:asciiTheme="majorHAnsi" w:hAnsiTheme="majorHAnsi"/>
                <w:sz w:val="18"/>
                <w:szCs w:val="18"/>
              </w:rPr>
              <w:t>-0.37</w:t>
            </w:r>
          </w:p>
        </w:tc>
        <w:tc>
          <w:tcPr>
            <w:tcW w:w="1276" w:type="dxa"/>
            <w:vAlign w:val="center"/>
          </w:tcPr>
          <w:p w14:paraId="2C48D30E" w14:textId="77777777" w:rsidR="00352FF9" w:rsidRPr="00352FF9" w:rsidRDefault="00352FF9" w:rsidP="00352FF9">
            <w:pPr>
              <w:jc w:val="center"/>
              <w:rPr>
                <w:rFonts w:asciiTheme="majorHAnsi" w:hAnsiTheme="majorHAnsi"/>
                <w:sz w:val="18"/>
                <w:szCs w:val="18"/>
              </w:rPr>
            </w:pPr>
            <w:r w:rsidRPr="00352FF9">
              <w:rPr>
                <w:rFonts w:asciiTheme="majorHAnsi" w:hAnsiTheme="majorHAnsi"/>
                <w:sz w:val="18"/>
                <w:szCs w:val="18"/>
              </w:rPr>
              <w:t>-0.37</w:t>
            </w:r>
          </w:p>
        </w:tc>
      </w:tr>
      <w:tr w:rsidR="00352FF9" w:rsidRPr="00352FF9" w14:paraId="5E175CE5" w14:textId="77777777" w:rsidTr="00352FF9">
        <w:tc>
          <w:tcPr>
            <w:tcW w:w="2972" w:type="dxa"/>
            <w:vMerge/>
            <w:vAlign w:val="center"/>
          </w:tcPr>
          <w:p w14:paraId="1896C34A" w14:textId="77777777" w:rsidR="00352FF9" w:rsidRPr="00352FF9" w:rsidRDefault="00352FF9" w:rsidP="00352FF9">
            <w:pPr>
              <w:rPr>
                <w:rFonts w:asciiTheme="majorHAnsi" w:hAnsiTheme="majorHAnsi"/>
                <w:color w:val="D32D4A" w:themeColor="accent4" w:themeShade="BF"/>
                <w:sz w:val="18"/>
                <w:szCs w:val="18"/>
              </w:rPr>
            </w:pPr>
          </w:p>
        </w:tc>
        <w:tc>
          <w:tcPr>
            <w:tcW w:w="1275" w:type="dxa"/>
            <w:vAlign w:val="center"/>
          </w:tcPr>
          <w:p w14:paraId="6ACE9EBC" w14:textId="77777777" w:rsidR="00352FF9" w:rsidRPr="00352FF9" w:rsidRDefault="00352FF9" w:rsidP="00352FF9">
            <w:pPr>
              <w:jc w:val="center"/>
              <w:rPr>
                <w:rFonts w:asciiTheme="majorHAnsi" w:hAnsiTheme="majorHAnsi"/>
                <w:i/>
                <w:sz w:val="18"/>
                <w:szCs w:val="18"/>
              </w:rPr>
            </w:pPr>
            <w:r w:rsidRPr="00352FF9">
              <w:rPr>
                <w:rFonts w:asciiTheme="majorHAnsi" w:hAnsiTheme="majorHAnsi"/>
                <w:i/>
                <w:sz w:val="18"/>
                <w:szCs w:val="18"/>
              </w:rPr>
              <w:t>-4.2</w:t>
            </w:r>
          </w:p>
        </w:tc>
        <w:tc>
          <w:tcPr>
            <w:tcW w:w="1276" w:type="dxa"/>
            <w:vAlign w:val="center"/>
          </w:tcPr>
          <w:p w14:paraId="13AC8820" w14:textId="77777777" w:rsidR="00352FF9" w:rsidRPr="00352FF9" w:rsidRDefault="00352FF9" w:rsidP="00352FF9">
            <w:pPr>
              <w:jc w:val="center"/>
              <w:rPr>
                <w:rFonts w:asciiTheme="majorHAnsi" w:hAnsiTheme="majorHAnsi"/>
                <w:i/>
                <w:sz w:val="18"/>
                <w:szCs w:val="18"/>
              </w:rPr>
            </w:pPr>
            <w:r w:rsidRPr="00352FF9">
              <w:rPr>
                <w:rFonts w:asciiTheme="majorHAnsi" w:hAnsiTheme="majorHAnsi"/>
                <w:i/>
                <w:sz w:val="18"/>
                <w:szCs w:val="18"/>
              </w:rPr>
              <w:t>-5.9</w:t>
            </w:r>
          </w:p>
        </w:tc>
        <w:tc>
          <w:tcPr>
            <w:tcW w:w="1275" w:type="dxa"/>
            <w:vAlign w:val="center"/>
          </w:tcPr>
          <w:p w14:paraId="5CEEEC32" w14:textId="77777777" w:rsidR="00352FF9" w:rsidRPr="00352FF9" w:rsidRDefault="00352FF9" w:rsidP="00352FF9">
            <w:pPr>
              <w:jc w:val="center"/>
              <w:rPr>
                <w:rFonts w:asciiTheme="majorHAnsi" w:hAnsiTheme="majorHAnsi"/>
                <w:i/>
                <w:sz w:val="18"/>
                <w:szCs w:val="18"/>
              </w:rPr>
            </w:pPr>
            <w:r w:rsidRPr="00352FF9">
              <w:rPr>
                <w:rFonts w:asciiTheme="majorHAnsi" w:hAnsiTheme="majorHAnsi"/>
                <w:i/>
                <w:sz w:val="18"/>
                <w:szCs w:val="18"/>
              </w:rPr>
              <w:t>-6.5</w:t>
            </w:r>
          </w:p>
        </w:tc>
        <w:tc>
          <w:tcPr>
            <w:tcW w:w="1276" w:type="dxa"/>
            <w:vAlign w:val="center"/>
          </w:tcPr>
          <w:p w14:paraId="54E81952" w14:textId="77777777" w:rsidR="00352FF9" w:rsidRPr="00352FF9" w:rsidRDefault="00352FF9" w:rsidP="00352FF9">
            <w:pPr>
              <w:jc w:val="center"/>
              <w:rPr>
                <w:rFonts w:asciiTheme="majorHAnsi" w:hAnsiTheme="majorHAnsi"/>
                <w:i/>
                <w:sz w:val="18"/>
                <w:szCs w:val="18"/>
              </w:rPr>
            </w:pPr>
            <w:r w:rsidRPr="00352FF9">
              <w:rPr>
                <w:rFonts w:asciiTheme="majorHAnsi" w:hAnsiTheme="majorHAnsi"/>
                <w:i/>
                <w:sz w:val="18"/>
                <w:szCs w:val="18"/>
              </w:rPr>
              <w:t>-6.2</w:t>
            </w:r>
          </w:p>
        </w:tc>
        <w:tc>
          <w:tcPr>
            <w:tcW w:w="1276" w:type="dxa"/>
            <w:vAlign w:val="center"/>
          </w:tcPr>
          <w:p w14:paraId="672052DA" w14:textId="77777777" w:rsidR="00352FF9" w:rsidRPr="00352FF9" w:rsidRDefault="00352FF9" w:rsidP="00352FF9">
            <w:pPr>
              <w:jc w:val="center"/>
              <w:rPr>
                <w:rFonts w:asciiTheme="majorHAnsi" w:hAnsiTheme="majorHAnsi"/>
                <w:i/>
                <w:sz w:val="18"/>
                <w:szCs w:val="18"/>
              </w:rPr>
            </w:pPr>
            <w:r w:rsidRPr="00352FF9">
              <w:rPr>
                <w:rFonts w:asciiTheme="majorHAnsi" w:hAnsiTheme="majorHAnsi"/>
                <w:i/>
                <w:sz w:val="18"/>
                <w:szCs w:val="18"/>
              </w:rPr>
              <w:t>-5.9</w:t>
            </w:r>
          </w:p>
        </w:tc>
      </w:tr>
      <w:tr w:rsidR="00352FF9" w:rsidRPr="00352FF9" w14:paraId="771166EA" w14:textId="77777777" w:rsidTr="00352FF9">
        <w:tc>
          <w:tcPr>
            <w:tcW w:w="2972" w:type="dxa"/>
            <w:vMerge w:val="restart"/>
            <w:vAlign w:val="center"/>
          </w:tcPr>
          <w:p w14:paraId="4153A604" w14:textId="77777777" w:rsidR="00352FF9" w:rsidRPr="00352FF9" w:rsidRDefault="00352FF9" w:rsidP="00352FF9">
            <w:pPr>
              <w:rPr>
                <w:rFonts w:asciiTheme="majorHAnsi" w:hAnsiTheme="majorHAnsi" w:cs="Calibri"/>
                <w:b/>
                <w:bCs/>
                <w:color w:val="D32D4A" w:themeColor="accent4" w:themeShade="BF"/>
                <w:sz w:val="18"/>
                <w:szCs w:val="18"/>
              </w:rPr>
            </w:pPr>
            <w:r w:rsidRPr="00352FF9">
              <w:rPr>
                <w:rFonts w:asciiTheme="majorHAnsi" w:hAnsiTheme="majorHAnsi" w:cs="Calibri"/>
                <w:b/>
                <w:bCs/>
                <w:color w:val="D32D4A" w:themeColor="accent4" w:themeShade="BF"/>
                <w:sz w:val="18"/>
                <w:szCs w:val="18"/>
                <w:lang w:val="en-US"/>
              </w:rPr>
              <w:t>Total gross loan debt</w:t>
            </w:r>
          </w:p>
        </w:tc>
        <w:tc>
          <w:tcPr>
            <w:tcW w:w="1275" w:type="dxa"/>
            <w:vAlign w:val="center"/>
          </w:tcPr>
          <w:p w14:paraId="4114C5B7" w14:textId="77777777" w:rsidR="00352FF9" w:rsidRPr="00352FF9" w:rsidRDefault="00352FF9" w:rsidP="00352FF9">
            <w:pPr>
              <w:jc w:val="center"/>
              <w:rPr>
                <w:rFonts w:asciiTheme="majorHAnsi" w:hAnsiTheme="majorHAnsi"/>
                <w:sz w:val="18"/>
                <w:szCs w:val="18"/>
              </w:rPr>
            </w:pPr>
            <w:r w:rsidRPr="00352FF9">
              <w:rPr>
                <w:rFonts w:asciiTheme="majorHAnsi" w:hAnsiTheme="majorHAnsi"/>
                <w:sz w:val="18"/>
                <w:szCs w:val="18"/>
              </w:rPr>
              <w:t>2.79</w:t>
            </w:r>
          </w:p>
        </w:tc>
        <w:tc>
          <w:tcPr>
            <w:tcW w:w="1276" w:type="dxa"/>
            <w:vAlign w:val="center"/>
          </w:tcPr>
          <w:p w14:paraId="54F1C449" w14:textId="77777777" w:rsidR="00352FF9" w:rsidRPr="00352FF9" w:rsidRDefault="00352FF9" w:rsidP="00352FF9">
            <w:pPr>
              <w:jc w:val="center"/>
              <w:rPr>
                <w:rFonts w:asciiTheme="majorHAnsi" w:hAnsiTheme="majorHAnsi"/>
                <w:sz w:val="18"/>
                <w:szCs w:val="18"/>
              </w:rPr>
            </w:pPr>
            <w:r w:rsidRPr="00352FF9">
              <w:rPr>
                <w:rFonts w:asciiTheme="majorHAnsi" w:hAnsiTheme="majorHAnsi"/>
                <w:sz w:val="18"/>
                <w:szCs w:val="18"/>
              </w:rPr>
              <w:t>3.17</w:t>
            </w:r>
          </w:p>
        </w:tc>
        <w:tc>
          <w:tcPr>
            <w:tcW w:w="1275" w:type="dxa"/>
            <w:vAlign w:val="center"/>
          </w:tcPr>
          <w:p w14:paraId="5A04174F" w14:textId="77777777" w:rsidR="00352FF9" w:rsidRPr="00352FF9" w:rsidRDefault="00352FF9" w:rsidP="00352FF9">
            <w:pPr>
              <w:jc w:val="center"/>
              <w:rPr>
                <w:rFonts w:asciiTheme="majorHAnsi" w:hAnsiTheme="majorHAnsi"/>
                <w:sz w:val="18"/>
                <w:szCs w:val="18"/>
              </w:rPr>
            </w:pPr>
            <w:r w:rsidRPr="00352FF9">
              <w:rPr>
                <w:rFonts w:asciiTheme="majorHAnsi" w:hAnsiTheme="majorHAnsi"/>
                <w:sz w:val="18"/>
                <w:szCs w:val="18"/>
              </w:rPr>
              <w:t>3.59</w:t>
            </w:r>
          </w:p>
        </w:tc>
        <w:tc>
          <w:tcPr>
            <w:tcW w:w="1276" w:type="dxa"/>
            <w:vAlign w:val="center"/>
          </w:tcPr>
          <w:p w14:paraId="69FF1607" w14:textId="77777777" w:rsidR="00352FF9" w:rsidRPr="00352FF9" w:rsidRDefault="00352FF9" w:rsidP="00352FF9">
            <w:pPr>
              <w:jc w:val="center"/>
              <w:rPr>
                <w:rFonts w:asciiTheme="majorHAnsi" w:hAnsiTheme="majorHAnsi"/>
                <w:sz w:val="18"/>
                <w:szCs w:val="18"/>
              </w:rPr>
            </w:pPr>
            <w:r w:rsidRPr="00352FF9">
              <w:rPr>
                <w:rFonts w:asciiTheme="majorHAnsi" w:hAnsiTheme="majorHAnsi"/>
                <w:sz w:val="18"/>
                <w:szCs w:val="18"/>
              </w:rPr>
              <w:t>4.04</w:t>
            </w:r>
          </w:p>
        </w:tc>
        <w:tc>
          <w:tcPr>
            <w:tcW w:w="1276" w:type="dxa"/>
            <w:vAlign w:val="center"/>
          </w:tcPr>
          <w:p w14:paraId="79FCECB2" w14:textId="77777777" w:rsidR="00352FF9" w:rsidRPr="00352FF9" w:rsidRDefault="00352FF9" w:rsidP="00352FF9">
            <w:pPr>
              <w:jc w:val="center"/>
              <w:rPr>
                <w:rFonts w:asciiTheme="majorHAnsi" w:hAnsiTheme="majorHAnsi"/>
                <w:sz w:val="18"/>
                <w:szCs w:val="18"/>
              </w:rPr>
            </w:pPr>
            <w:r w:rsidRPr="00352FF9">
              <w:rPr>
                <w:rFonts w:asciiTheme="majorHAnsi" w:hAnsiTheme="majorHAnsi"/>
                <w:sz w:val="18"/>
                <w:szCs w:val="18"/>
              </w:rPr>
              <w:t>4.48</w:t>
            </w:r>
          </w:p>
        </w:tc>
      </w:tr>
      <w:tr w:rsidR="00352FF9" w:rsidRPr="00352FF9" w14:paraId="254173EB" w14:textId="77777777" w:rsidTr="00352FF9">
        <w:tc>
          <w:tcPr>
            <w:tcW w:w="2972" w:type="dxa"/>
            <w:vMerge/>
          </w:tcPr>
          <w:p w14:paraId="71A621C1" w14:textId="77777777" w:rsidR="00352FF9" w:rsidRPr="00352FF9" w:rsidRDefault="00352FF9" w:rsidP="00352FF9">
            <w:pPr>
              <w:rPr>
                <w:rFonts w:asciiTheme="majorHAnsi" w:hAnsiTheme="majorHAnsi"/>
                <w:sz w:val="18"/>
                <w:szCs w:val="18"/>
              </w:rPr>
            </w:pPr>
          </w:p>
        </w:tc>
        <w:tc>
          <w:tcPr>
            <w:tcW w:w="1275" w:type="dxa"/>
            <w:vAlign w:val="center"/>
          </w:tcPr>
          <w:p w14:paraId="0D69E7F8" w14:textId="77777777" w:rsidR="00352FF9" w:rsidRPr="00352FF9" w:rsidRDefault="00352FF9" w:rsidP="00352FF9">
            <w:pPr>
              <w:jc w:val="center"/>
              <w:rPr>
                <w:rFonts w:asciiTheme="majorHAnsi" w:hAnsiTheme="majorHAnsi"/>
                <w:i/>
                <w:sz w:val="18"/>
                <w:szCs w:val="18"/>
              </w:rPr>
            </w:pPr>
            <w:r w:rsidRPr="00352FF9">
              <w:rPr>
                <w:rFonts w:asciiTheme="majorHAnsi" w:hAnsiTheme="majorHAnsi"/>
                <w:i/>
                <w:sz w:val="18"/>
                <w:szCs w:val="18"/>
              </w:rPr>
              <w:t>56.7</w:t>
            </w:r>
          </w:p>
        </w:tc>
        <w:tc>
          <w:tcPr>
            <w:tcW w:w="1276" w:type="dxa"/>
            <w:vAlign w:val="center"/>
          </w:tcPr>
          <w:p w14:paraId="32F4DC80" w14:textId="77777777" w:rsidR="00352FF9" w:rsidRPr="00352FF9" w:rsidRDefault="00352FF9" w:rsidP="00352FF9">
            <w:pPr>
              <w:jc w:val="center"/>
              <w:rPr>
                <w:rFonts w:asciiTheme="majorHAnsi" w:hAnsiTheme="majorHAnsi"/>
                <w:i/>
                <w:sz w:val="18"/>
                <w:szCs w:val="18"/>
              </w:rPr>
            </w:pPr>
            <w:r w:rsidRPr="00352FF9">
              <w:rPr>
                <w:rFonts w:asciiTheme="majorHAnsi" w:hAnsiTheme="majorHAnsi"/>
                <w:i/>
                <w:sz w:val="18"/>
                <w:szCs w:val="18"/>
              </w:rPr>
              <w:t>60.8</w:t>
            </w:r>
          </w:p>
        </w:tc>
        <w:tc>
          <w:tcPr>
            <w:tcW w:w="1275" w:type="dxa"/>
            <w:vAlign w:val="center"/>
          </w:tcPr>
          <w:p w14:paraId="76BBF84F" w14:textId="77777777" w:rsidR="00352FF9" w:rsidRPr="00352FF9" w:rsidRDefault="00352FF9" w:rsidP="00352FF9">
            <w:pPr>
              <w:jc w:val="center"/>
              <w:rPr>
                <w:rFonts w:asciiTheme="majorHAnsi" w:hAnsiTheme="majorHAnsi"/>
                <w:i/>
                <w:sz w:val="18"/>
                <w:szCs w:val="18"/>
              </w:rPr>
            </w:pPr>
            <w:r w:rsidRPr="00352FF9">
              <w:rPr>
                <w:rFonts w:asciiTheme="majorHAnsi" w:hAnsiTheme="majorHAnsi"/>
                <w:i/>
                <w:sz w:val="18"/>
                <w:szCs w:val="18"/>
              </w:rPr>
              <w:t>64.9</w:t>
            </w:r>
          </w:p>
        </w:tc>
        <w:tc>
          <w:tcPr>
            <w:tcW w:w="1276" w:type="dxa"/>
            <w:vAlign w:val="center"/>
          </w:tcPr>
          <w:p w14:paraId="2431D86D" w14:textId="77777777" w:rsidR="00352FF9" w:rsidRPr="00352FF9" w:rsidRDefault="00352FF9" w:rsidP="00352FF9">
            <w:pPr>
              <w:jc w:val="center"/>
              <w:rPr>
                <w:rFonts w:asciiTheme="majorHAnsi" w:hAnsiTheme="majorHAnsi"/>
                <w:i/>
                <w:sz w:val="18"/>
                <w:szCs w:val="18"/>
              </w:rPr>
            </w:pPr>
            <w:r w:rsidRPr="00352FF9">
              <w:rPr>
                <w:rFonts w:asciiTheme="majorHAnsi" w:hAnsiTheme="majorHAnsi"/>
                <w:i/>
                <w:sz w:val="18"/>
                <w:szCs w:val="18"/>
              </w:rPr>
              <w:t>68.5</w:t>
            </w:r>
          </w:p>
        </w:tc>
        <w:tc>
          <w:tcPr>
            <w:tcW w:w="1276" w:type="dxa"/>
            <w:vAlign w:val="center"/>
          </w:tcPr>
          <w:p w14:paraId="27488C77" w14:textId="77777777" w:rsidR="00352FF9" w:rsidRPr="00352FF9" w:rsidRDefault="00352FF9" w:rsidP="00352FF9">
            <w:pPr>
              <w:jc w:val="center"/>
              <w:rPr>
                <w:rFonts w:asciiTheme="majorHAnsi" w:hAnsiTheme="majorHAnsi"/>
                <w:i/>
                <w:sz w:val="18"/>
                <w:szCs w:val="18"/>
              </w:rPr>
            </w:pPr>
            <w:r w:rsidRPr="00352FF9">
              <w:rPr>
                <w:rFonts w:asciiTheme="majorHAnsi" w:hAnsiTheme="majorHAnsi"/>
                <w:i/>
                <w:sz w:val="18"/>
                <w:szCs w:val="18"/>
              </w:rPr>
              <w:t>71.3</w:t>
            </w:r>
          </w:p>
        </w:tc>
      </w:tr>
    </w:tbl>
    <w:p w14:paraId="5B08CB2C" w14:textId="77777777" w:rsidR="002E6430" w:rsidRPr="00621AE0" w:rsidRDefault="002E6430">
      <w:pPr>
        <w:rPr>
          <w:rFonts w:ascii="Georgia" w:hAnsi="Georgia"/>
          <w:i/>
          <w:sz w:val="20"/>
          <w:szCs w:val="20"/>
        </w:rPr>
      </w:pPr>
      <w:r w:rsidRPr="00621AE0">
        <w:rPr>
          <w:rFonts w:ascii="Georgia" w:hAnsi="Georgia"/>
          <w:i/>
          <w:sz w:val="20"/>
          <w:szCs w:val="20"/>
        </w:rPr>
        <w:t>Source: National Treasury</w:t>
      </w:r>
    </w:p>
    <w:p w14:paraId="7B6737CA" w14:textId="77777777" w:rsidR="006631BA" w:rsidRDefault="006631BA">
      <w:pPr>
        <w:rPr>
          <w:rFonts w:ascii="Georgia" w:hAnsi="Georgia"/>
          <w:sz w:val="20"/>
          <w:szCs w:val="20"/>
        </w:rPr>
      </w:pPr>
      <w:r>
        <w:rPr>
          <w:rFonts w:ascii="Georgia" w:hAnsi="Georgia"/>
          <w:sz w:val="20"/>
          <w:szCs w:val="20"/>
        </w:rPr>
        <w:t xml:space="preserve">Some </w:t>
      </w:r>
      <w:r w:rsidR="00FB579F">
        <w:rPr>
          <w:rFonts w:ascii="Georgia" w:hAnsi="Georgia"/>
          <w:sz w:val="20"/>
          <w:szCs w:val="20"/>
        </w:rPr>
        <w:t xml:space="preserve">small </w:t>
      </w:r>
      <w:r>
        <w:rPr>
          <w:rFonts w:ascii="Georgia" w:hAnsi="Georgia"/>
          <w:sz w:val="20"/>
          <w:szCs w:val="20"/>
        </w:rPr>
        <w:t xml:space="preserve">steps </w:t>
      </w:r>
      <w:r w:rsidR="00FB579F">
        <w:rPr>
          <w:rFonts w:ascii="Georgia" w:hAnsi="Georgia"/>
          <w:sz w:val="20"/>
          <w:szCs w:val="20"/>
        </w:rPr>
        <w:t xml:space="preserve">at the highest level of government </w:t>
      </w:r>
      <w:r>
        <w:rPr>
          <w:rFonts w:ascii="Georgia" w:hAnsi="Georgia"/>
          <w:sz w:val="20"/>
          <w:szCs w:val="20"/>
        </w:rPr>
        <w:t xml:space="preserve">were also announced to </w:t>
      </w:r>
      <w:r w:rsidR="00FB579F">
        <w:rPr>
          <w:rFonts w:ascii="Georgia" w:hAnsi="Georgia"/>
          <w:sz w:val="20"/>
          <w:szCs w:val="20"/>
        </w:rPr>
        <w:t>c</w:t>
      </w:r>
      <w:r>
        <w:rPr>
          <w:rFonts w:ascii="Georgia" w:hAnsi="Georgia"/>
          <w:sz w:val="20"/>
          <w:szCs w:val="20"/>
        </w:rPr>
        <w:t xml:space="preserve">urb spending – these will save some money, but nothing near the </w:t>
      </w:r>
      <w:r w:rsidR="00FB579F">
        <w:rPr>
          <w:rFonts w:ascii="Georgia" w:hAnsi="Georgia"/>
          <w:sz w:val="20"/>
          <w:szCs w:val="20"/>
        </w:rPr>
        <w:t>magnitude</w:t>
      </w:r>
      <w:r>
        <w:rPr>
          <w:rFonts w:ascii="Georgia" w:hAnsi="Georgia"/>
          <w:sz w:val="20"/>
          <w:szCs w:val="20"/>
        </w:rPr>
        <w:t xml:space="preserve"> required to right the fiscal ship. The MTBPS indicated that President Cyril Ramaphosa has approved a remuneration freeze </w:t>
      </w:r>
      <w:r w:rsidR="00FB579F">
        <w:rPr>
          <w:rFonts w:ascii="Georgia" w:hAnsi="Georgia"/>
          <w:sz w:val="20"/>
          <w:szCs w:val="20"/>
        </w:rPr>
        <w:t xml:space="preserve">(and possible </w:t>
      </w:r>
      <w:r w:rsidR="0003712B">
        <w:rPr>
          <w:rFonts w:ascii="Georgia" w:hAnsi="Georgia"/>
          <w:sz w:val="20"/>
          <w:szCs w:val="20"/>
        </w:rPr>
        <w:t xml:space="preserve">salary </w:t>
      </w:r>
      <w:r w:rsidR="00FB579F">
        <w:rPr>
          <w:rFonts w:ascii="Georgia" w:hAnsi="Georgia"/>
          <w:sz w:val="20"/>
          <w:szCs w:val="20"/>
        </w:rPr>
        <w:t xml:space="preserve">cuts) </w:t>
      </w:r>
      <w:r>
        <w:rPr>
          <w:rFonts w:ascii="Georgia" w:hAnsi="Georgia"/>
          <w:sz w:val="20"/>
          <w:szCs w:val="20"/>
        </w:rPr>
        <w:t xml:space="preserve">for Cabinet ministers, the capping of official cars’ costs at R700,000, </w:t>
      </w:r>
      <w:r w:rsidR="00FB579F">
        <w:rPr>
          <w:rFonts w:ascii="Georgia" w:hAnsi="Georgia"/>
          <w:sz w:val="20"/>
          <w:szCs w:val="20"/>
        </w:rPr>
        <w:t>a new cellphone dispensation for officials, and domestic air travel limited to economy class only.</w:t>
      </w:r>
    </w:p>
    <w:p w14:paraId="41D4344C" w14:textId="77777777" w:rsidR="0009414C" w:rsidRDefault="0009414C">
      <w:pPr>
        <w:rPr>
          <w:rFonts w:ascii="Georgia" w:hAnsi="Georgia"/>
          <w:sz w:val="20"/>
          <w:szCs w:val="20"/>
        </w:rPr>
      </w:pPr>
      <w:r>
        <w:rPr>
          <w:rFonts w:ascii="Georgia" w:hAnsi="Georgia"/>
          <w:sz w:val="20"/>
          <w:szCs w:val="20"/>
        </w:rPr>
        <w:t xml:space="preserve">An important point to note </w:t>
      </w:r>
      <w:r w:rsidR="00FB579F">
        <w:rPr>
          <w:rFonts w:ascii="Georgia" w:hAnsi="Georgia"/>
          <w:sz w:val="20"/>
          <w:szCs w:val="20"/>
        </w:rPr>
        <w:t xml:space="preserve">on the spending reduction front </w:t>
      </w:r>
      <w:r>
        <w:rPr>
          <w:rFonts w:ascii="Georgia" w:hAnsi="Georgia"/>
          <w:sz w:val="20"/>
          <w:szCs w:val="20"/>
        </w:rPr>
        <w:t xml:space="preserve">is that, with Eskom being the biggest factor in rising expenditure, baseline expenditure </w:t>
      </w:r>
      <w:r w:rsidR="0003712B">
        <w:rPr>
          <w:rFonts w:ascii="Georgia" w:hAnsi="Georgia"/>
          <w:sz w:val="20"/>
          <w:szCs w:val="20"/>
        </w:rPr>
        <w:t xml:space="preserve">plans have </w:t>
      </w:r>
      <w:r>
        <w:rPr>
          <w:rFonts w:ascii="Georgia" w:hAnsi="Georgia"/>
          <w:sz w:val="20"/>
          <w:szCs w:val="20"/>
        </w:rPr>
        <w:t xml:space="preserve">actually been reduced. Put differently, the general spending on goods, services and transfers are planned to </w:t>
      </w:r>
      <w:r w:rsidR="001A2459">
        <w:rPr>
          <w:rFonts w:ascii="Georgia" w:hAnsi="Georgia"/>
          <w:sz w:val="20"/>
          <w:szCs w:val="20"/>
        </w:rPr>
        <w:t xml:space="preserve">decline. </w:t>
      </w:r>
      <w:r>
        <w:rPr>
          <w:rFonts w:ascii="Georgia" w:hAnsi="Georgia"/>
          <w:sz w:val="20"/>
          <w:szCs w:val="20"/>
        </w:rPr>
        <w:t>This is visible in a planned R8.2 billion reduction in non-interest spending in the 2020/22 fiscal year. And fro</w:t>
      </w:r>
      <w:r w:rsidR="006957FB">
        <w:rPr>
          <w:rFonts w:ascii="Georgia" w:hAnsi="Georgia"/>
          <w:sz w:val="20"/>
          <w:szCs w:val="20"/>
        </w:rPr>
        <w:t>m</w:t>
      </w:r>
      <w:r>
        <w:rPr>
          <w:rFonts w:ascii="Georgia" w:hAnsi="Georgia"/>
          <w:sz w:val="20"/>
          <w:szCs w:val="20"/>
        </w:rPr>
        <w:t xml:space="preserve"> the 2022/23 period onwards, National Treasury aims to link spending increases to the inflation rate. </w:t>
      </w:r>
      <w:r w:rsidR="006957FB">
        <w:rPr>
          <w:rFonts w:ascii="Georgia" w:hAnsi="Georgia"/>
          <w:sz w:val="20"/>
          <w:szCs w:val="20"/>
        </w:rPr>
        <w:t xml:space="preserve">This is, at least, some good news on the spending front. </w:t>
      </w:r>
      <w:r w:rsidR="001A2459">
        <w:rPr>
          <w:rFonts w:ascii="Georgia" w:hAnsi="Georgia"/>
          <w:sz w:val="20"/>
          <w:szCs w:val="20"/>
        </w:rPr>
        <w:t xml:space="preserve">It is however less positive than could have been: a planned 2% reduction in goods, services and infrastructure spending over the medium-term is below the 5%+ level that Minister Mboweni recently asked government departments to make in their planning. </w:t>
      </w:r>
    </w:p>
    <w:p w14:paraId="04E72174" w14:textId="77777777" w:rsidR="00A5726F" w:rsidRPr="002E6430" w:rsidRDefault="00974ED6">
      <w:pPr>
        <w:rPr>
          <w:rFonts w:ascii="Georgia" w:hAnsi="Georgia"/>
          <w:b/>
          <w:i/>
          <w:color w:val="DC6900" w:themeColor="accent1"/>
          <w:szCs w:val="20"/>
        </w:rPr>
      </w:pPr>
      <w:r>
        <w:rPr>
          <w:noProof/>
        </w:rPr>
        <w:drawing>
          <wp:anchor distT="0" distB="0" distL="114300" distR="114300" simplePos="0" relativeHeight="251660288" behindDoc="0" locked="0" layoutInCell="1" allowOverlap="1" wp14:anchorId="6E897E4B" wp14:editId="2BBEE6C1">
            <wp:simplePos x="0" y="0"/>
            <wp:positionH relativeFrom="column">
              <wp:posOffset>0</wp:posOffset>
            </wp:positionH>
            <wp:positionV relativeFrom="paragraph">
              <wp:posOffset>214</wp:posOffset>
            </wp:positionV>
            <wp:extent cx="1382116" cy="1080000"/>
            <wp:effectExtent l="0" t="0" r="8890" b="6350"/>
            <wp:wrapSquare wrapText="bothSides"/>
            <wp:docPr id="28" name="Picture 28" descr="PwC_Pictograms_CalculatorTax.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wC_Pictograms_CalculatorTax.zi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2116"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957FB" w:rsidRPr="002E6430">
        <w:rPr>
          <w:rFonts w:ascii="Georgia" w:hAnsi="Georgia"/>
          <w:b/>
          <w:i/>
          <w:color w:val="DC6900" w:themeColor="accent1"/>
          <w:szCs w:val="20"/>
        </w:rPr>
        <w:t>The fiscal deficit and stabilising public finances</w:t>
      </w:r>
    </w:p>
    <w:p w14:paraId="31FB0A73" w14:textId="60549908" w:rsidR="006957FB" w:rsidRDefault="006957FB">
      <w:pPr>
        <w:rPr>
          <w:rFonts w:ascii="Georgia" w:hAnsi="Georgia"/>
          <w:color w:val="000000" w:themeColor="text1"/>
          <w:sz w:val="20"/>
          <w:szCs w:val="20"/>
        </w:rPr>
      </w:pPr>
      <w:r>
        <w:rPr>
          <w:rFonts w:ascii="Georgia" w:hAnsi="Georgia"/>
          <w:sz w:val="20"/>
          <w:szCs w:val="20"/>
        </w:rPr>
        <w:t xml:space="preserve">In February, the National Treasury indicated that the fiscal deficit was forecast to widen from 4.0% of GDP in </w:t>
      </w:r>
      <w:r w:rsidRPr="006957FB">
        <w:rPr>
          <w:rFonts w:ascii="Georgia" w:hAnsi="Georgia"/>
          <w:sz w:val="20"/>
          <w:szCs w:val="20"/>
        </w:rPr>
        <w:t>2017/18</w:t>
      </w:r>
      <w:r>
        <w:rPr>
          <w:rFonts w:ascii="Georgia" w:hAnsi="Georgia"/>
          <w:sz w:val="20"/>
          <w:szCs w:val="20"/>
        </w:rPr>
        <w:t xml:space="preserve"> to 4.5% of GDP in the current (2019/20) financial year. </w:t>
      </w:r>
      <w:r w:rsidR="00845046">
        <w:rPr>
          <w:rFonts w:ascii="Georgia" w:hAnsi="Georgia"/>
          <w:sz w:val="20"/>
          <w:szCs w:val="20"/>
        </w:rPr>
        <w:t>Considering</w:t>
      </w:r>
      <w:r>
        <w:rPr>
          <w:rFonts w:ascii="Georgia" w:hAnsi="Georgia"/>
          <w:sz w:val="20"/>
          <w:szCs w:val="20"/>
        </w:rPr>
        <w:t xml:space="preserve"> deteriorating revenues growth, increased spending obligations, and no guarantee that proposed expenditure reform measures will have a significant impact on the state purse, the deficit is now forecast to balloon to 6.5% of GDP </w:t>
      </w:r>
      <w:r w:rsidRPr="007960C9">
        <w:rPr>
          <w:rFonts w:ascii="Georgia" w:hAnsi="Georgia"/>
          <w:color w:val="000000" w:themeColor="text1"/>
          <w:sz w:val="20"/>
          <w:szCs w:val="20"/>
        </w:rPr>
        <w:t xml:space="preserve">in the 2020/21 period. </w:t>
      </w:r>
    </w:p>
    <w:p w14:paraId="06CCB72C" w14:textId="4F95C3F0" w:rsidR="002E6430" w:rsidRPr="004B3D04" w:rsidRDefault="002E6430">
      <w:pPr>
        <w:rPr>
          <w:rFonts w:ascii="Georgia" w:hAnsi="Georgia"/>
          <w:i/>
          <w:color w:val="000000" w:themeColor="text1"/>
          <w:sz w:val="20"/>
          <w:szCs w:val="20"/>
        </w:rPr>
      </w:pPr>
      <w:r w:rsidRPr="007960C9">
        <w:rPr>
          <w:rFonts w:ascii="Georgia" w:hAnsi="Georgia"/>
          <w:i/>
          <w:color w:val="000000" w:themeColor="text1"/>
          <w:sz w:val="20"/>
          <w:szCs w:val="20"/>
        </w:rPr>
        <w:t xml:space="preserve">Figure </w:t>
      </w:r>
      <w:r w:rsidR="003B2536">
        <w:rPr>
          <w:rFonts w:ascii="Georgia" w:hAnsi="Georgia"/>
          <w:i/>
          <w:color w:val="000000" w:themeColor="text1"/>
          <w:sz w:val="20"/>
          <w:szCs w:val="20"/>
        </w:rPr>
        <w:t>2</w:t>
      </w:r>
      <w:r w:rsidRPr="007960C9">
        <w:rPr>
          <w:rFonts w:ascii="Georgia" w:hAnsi="Georgia"/>
          <w:i/>
          <w:color w:val="000000" w:themeColor="text1"/>
          <w:sz w:val="20"/>
          <w:szCs w:val="20"/>
        </w:rPr>
        <w:t>:</w:t>
      </w:r>
      <w:r w:rsidR="004B3D04" w:rsidRPr="007960C9">
        <w:rPr>
          <w:rFonts w:ascii="Georgia" w:hAnsi="Georgia"/>
          <w:i/>
          <w:color w:val="000000" w:themeColor="text1"/>
          <w:sz w:val="20"/>
          <w:szCs w:val="20"/>
        </w:rPr>
        <w:t xml:space="preserve"> Significant </w:t>
      </w:r>
      <w:r w:rsidR="004B3D04">
        <w:rPr>
          <w:rFonts w:ascii="Georgia" w:hAnsi="Georgia"/>
          <w:i/>
          <w:color w:val="000000" w:themeColor="text1"/>
          <w:sz w:val="20"/>
          <w:szCs w:val="20"/>
        </w:rPr>
        <w:t>widening of the fiscal deficit (% of GDP) planned over the medium term</w:t>
      </w:r>
    </w:p>
    <w:p w14:paraId="769BBAD8" w14:textId="77777777" w:rsidR="002E6430" w:rsidRPr="002E6430" w:rsidRDefault="002E6430">
      <w:pPr>
        <w:rPr>
          <w:rFonts w:ascii="Georgia" w:hAnsi="Georgia"/>
          <w:color w:val="000000" w:themeColor="text1"/>
          <w:sz w:val="20"/>
          <w:szCs w:val="20"/>
        </w:rPr>
      </w:pPr>
      <w:bookmarkStart w:id="6" w:name="_Hlk23339413"/>
      <w:bookmarkEnd w:id="5"/>
      <w:r>
        <w:rPr>
          <w:noProof/>
        </w:rPr>
        <w:lastRenderedPageBreak/>
        <w:drawing>
          <wp:inline distT="0" distB="0" distL="0" distR="0" wp14:anchorId="55A735FB" wp14:editId="76AE6C7D">
            <wp:extent cx="5868035" cy="2184400"/>
            <wp:effectExtent l="0" t="0" r="18415" b="6350"/>
            <wp:docPr id="18" name="Chart 18">
              <a:extLst xmlns:a="http://schemas.openxmlformats.org/drawingml/2006/main">
                <a:ext uri="{FF2B5EF4-FFF2-40B4-BE49-F238E27FC236}">
                  <a16:creationId xmlns:a16="http://schemas.microsoft.com/office/drawing/2014/main" id="{6F0A6481-38C7-4C2C-980C-DB0D00FDE4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5BE295" w14:textId="77777777" w:rsidR="002E6430" w:rsidRPr="004B3D04" w:rsidRDefault="002E6430">
      <w:pPr>
        <w:rPr>
          <w:rFonts w:ascii="Georgia" w:hAnsi="Georgia"/>
          <w:i/>
          <w:color w:val="000000" w:themeColor="text1"/>
          <w:sz w:val="20"/>
          <w:szCs w:val="20"/>
        </w:rPr>
      </w:pPr>
      <w:r w:rsidRPr="004B3D04">
        <w:rPr>
          <w:rFonts w:ascii="Georgia" w:hAnsi="Georgia"/>
          <w:i/>
          <w:color w:val="000000" w:themeColor="text1"/>
          <w:sz w:val="20"/>
          <w:szCs w:val="20"/>
        </w:rPr>
        <w:t>Source: National Treasury</w:t>
      </w:r>
    </w:p>
    <w:p w14:paraId="1310608C" w14:textId="77777777" w:rsidR="006957FB" w:rsidRDefault="006957FB">
      <w:pPr>
        <w:rPr>
          <w:rFonts w:ascii="Georgia" w:hAnsi="Georgia"/>
          <w:sz w:val="20"/>
          <w:szCs w:val="20"/>
        </w:rPr>
      </w:pPr>
      <w:r>
        <w:rPr>
          <w:rFonts w:ascii="Georgia" w:hAnsi="Georgia"/>
          <w:sz w:val="20"/>
          <w:szCs w:val="20"/>
        </w:rPr>
        <w:t>The only way to address this fiscal plunge is to roll back expenditure. Specifically, the MTBPS is aiming to see a main budget primary balance – i.e. revenue equal to</w:t>
      </w:r>
      <w:r w:rsidR="008B5C62">
        <w:rPr>
          <w:rFonts w:ascii="Georgia" w:hAnsi="Georgia"/>
          <w:sz w:val="20"/>
          <w:szCs w:val="20"/>
        </w:rPr>
        <w:t xml:space="preserve"> </w:t>
      </w:r>
      <w:r>
        <w:rPr>
          <w:rFonts w:ascii="Georgia" w:hAnsi="Georgia"/>
          <w:sz w:val="20"/>
          <w:szCs w:val="20"/>
        </w:rPr>
        <w:t xml:space="preserve">non-interest expenditure – by 2022/23. The National Treasury sees three </w:t>
      </w:r>
      <w:r w:rsidR="008B5C62">
        <w:rPr>
          <w:rFonts w:ascii="Georgia" w:hAnsi="Georgia"/>
          <w:sz w:val="20"/>
          <w:szCs w:val="20"/>
        </w:rPr>
        <w:t xml:space="preserve">(very challenging) </w:t>
      </w:r>
      <w:r>
        <w:rPr>
          <w:rFonts w:ascii="Georgia" w:hAnsi="Georgia"/>
          <w:sz w:val="20"/>
          <w:szCs w:val="20"/>
        </w:rPr>
        <w:t>ways to achieve this</w:t>
      </w:r>
      <w:r w:rsidR="008B5C62">
        <w:rPr>
          <w:rFonts w:ascii="Georgia" w:hAnsi="Georgia"/>
          <w:sz w:val="20"/>
          <w:szCs w:val="20"/>
        </w:rPr>
        <w:t>:</w:t>
      </w:r>
    </w:p>
    <w:p w14:paraId="76549C58" w14:textId="77777777" w:rsidR="008B5C62" w:rsidRDefault="008B5C62" w:rsidP="008B5C62">
      <w:pPr>
        <w:pStyle w:val="ListParagraph"/>
        <w:numPr>
          <w:ilvl w:val="0"/>
          <w:numId w:val="2"/>
        </w:numPr>
        <w:rPr>
          <w:rFonts w:ascii="Georgia" w:hAnsi="Georgia"/>
          <w:sz w:val="20"/>
          <w:szCs w:val="20"/>
        </w:rPr>
      </w:pPr>
      <w:r>
        <w:rPr>
          <w:rFonts w:ascii="Georgia" w:hAnsi="Georgia"/>
          <w:sz w:val="20"/>
          <w:szCs w:val="20"/>
        </w:rPr>
        <w:t>Reduced growth in the public sector wage bill to the benefit of spending on other important cost points</w:t>
      </w:r>
    </w:p>
    <w:p w14:paraId="26FED2BB" w14:textId="77777777" w:rsidR="008B5C62" w:rsidRDefault="008B5C62" w:rsidP="008B5C62">
      <w:pPr>
        <w:pStyle w:val="ListParagraph"/>
        <w:numPr>
          <w:ilvl w:val="0"/>
          <w:numId w:val="2"/>
        </w:numPr>
        <w:rPr>
          <w:rFonts w:ascii="Georgia" w:hAnsi="Georgia"/>
          <w:sz w:val="20"/>
          <w:szCs w:val="20"/>
        </w:rPr>
      </w:pPr>
      <w:r>
        <w:rPr>
          <w:rFonts w:ascii="Georgia" w:hAnsi="Georgia"/>
          <w:sz w:val="20"/>
          <w:szCs w:val="20"/>
        </w:rPr>
        <w:t>Further tax increases (</w:t>
      </w:r>
      <w:r w:rsidR="00D94374">
        <w:rPr>
          <w:rFonts w:ascii="Georgia" w:hAnsi="Georgia"/>
          <w:sz w:val="20"/>
          <w:szCs w:val="20"/>
        </w:rPr>
        <w:t xml:space="preserve">with </w:t>
      </w:r>
      <w:r>
        <w:rPr>
          <w:rFonts w:ascii="Georgia" w:hAnsi="Georgia"/>
          <w:sz w:val="20"/>
          <w:szCs w:val="20"/>
        </w:rPr>
        <w:t>“moderate scope” for boosting revenues in this way)</w:t>
      </w:r>
    </w:p>
    <w:p w14:paraId="18E72607" w14:textId="77777777" w:rsidR="008B5C62" w:rsidRDefault="008B5C62" w:rsidP="008B5C62">
      <w:pPr>
        <w:pStyle w:val="ListParagraph"/>
        <w:numPr>
          <w:ilvl w:val="0"/>
          <w:numId w:val="2"/>
        </w:numPr>
        <w:rPr>
          <w:rFonts w:ascii="Georgia" w:hAnsi="Georgia"/>
          <w:sz w:val="20"/>
          <w:szCs w:val="20"/>
        </w:rPr>
      </w:pPr>
      <w:r>
        <w:rPr>
          <w:rFonts w:ascii="Georgia" w:hAnsi="Georgia"/>
          <w:sz w:val="20"/>
          <w:szCs w:val="20"/>
        </w:rPr>
        <w:t>A sustainable plan for the funding of SOEs</w:t>
      </w:r>
    </w:p>
    <w:p w14:paraId="76AAA911" w14:textId="77777777" w:rsidR="00347168" w:rsidRDefault="008B5C62" w:rsidP="008B5C62">
      <w:pPr>
        <w:rPr>
          <w:rFonts w:ascii="Georgia" w:hAnsi="Georgia"/>
          <w:sz w:val="20"/>
          <w:szCs w:val="20"/>
        </w:rPr>
      </w:pPr>
      <w:r>
        <w:rPr>
          <w:rFonts w:ascii="Georgia" w:hAnsi="Georgia"/>
          <w:sz w:val="20"/>
          <w:szCs w:val="20"/>
        </w:rPr>
        <w:t>These endeavours</w:t>
      </w:r>
      <w:r w:rsidR="002E6430">
        <w:rPr>
          <w:rFonts w:ascii="Georgia" w:hAnsi="Georgia"/>
          <w:sz w:val="20"/>
          <w:szCs w:val="20"/>
        </w:rPr>
        <w:t xml:space="preserve">, it has been promised, </w:t>
      </w:r>
      <w:r>
        <w:rPr>
          <w:rFonts w:ascii="Georgia" w:hAnsi="Georgia"/>
          <w:sz w:val="20"/>
          <w:szCs w:val="20"/>
        </w:rPr>
        <w:t xml:space="preserve">will be released with the Budget Speech 2020 in February next year. The minister warned that decisions in this regard will be tough, but that the short-term costs will be outweighed by the need for sustainable long-term public finances. If he </w:t>
      </w:r>
      <w:r w:rsidR="00845046">
        <w:rPr>
          <w:rFonts w:ascii="Georgia" w:hAnsi="Georgia"/>
          <w:sz w:val="20"/>
          <w:szCs w:val="20"/>
        </w:rPr>
        <w:t>can</w:t>
      </w:r>
      <w:r>
        <w:rPr>
          <w:rFonts w:ascii="Georgia" w:hAnsi="Georgia"/>
          <w:sz w:val="20"/>
          <w:szCs w:val="20"/>
        </w:rPr>
        <w:t xml:space="preserve"> push through these reforms </w:t>
      </w:r>
      <w:r w:rsidR="00845046">
        <w:rPr>
          <w:rFonts w:ascii="Georgia" w:hAnsi="Georgia"/>
          <w:sz w:val="20"/>
          <w:szCs w:val="20"/>
        </w:rPr>
        <w:t>b</w:t>
      </w:r>
      <w:r>
        <w:rPr>
          <w:rFonts w:ascii="Georgia" w:hAnsi="Georgia"/>
          <w:sz w:val="20"/>
          <w:szCs w:val="20"/>
        </w:rPr>
        <w:t>y February 2020, the medium-term fiscal projections could look somewhat better from those released this month</w:t>
      </w:r>
      <w:r w:rsidR="00352FF9">
        <w:rPr>
          <w:rFonts w:ascii="Georgia" w:hAnsi="Georgia"/>
          <w:sz w:val="20"/>
          <w:szCs w:val="20"/>
        </w:rPr>
        <w:t>.</w:t>
      </w:r>
    </w:p>
    <w:p w14:paraId="0C24D8CE" w14:textId="77777777" w:rsidR="004B3D04" w:rsidRPr="00FB64FC" w:rsidRDefault="004B3D04" w:rsidP="007960C9">
      <w:pPr>
        <w:ind w:left="1440"/>
        <w:rPr>
          <w:rFonts w:ascii="Georgia" w:hAnsi="Georgia"/>
          <w:i/>
          <w:color w:val="000000" w:themeColor="text1"/>
          <w:sz w:val="20"/>
          <w:szCs w:val="20"/>
        </w:rPr>
      </w:pPr>
      <w:r w:rsidRPr="00FB64FC">
        <w:rPr>
          <w:rFonts w:ascii="Georgia" w:hAnsi="Georgia"/>
          <w:i/>
          <w:color w:val="000000" w:themeColor="text1"/>
          <w:sz w:val="20"/>
          <w:szCs w:val="20"/>
        </w:rPr>
        <w:t xml:space="preserve">In other words, the MTBPS 2019 </w:t>
      </w:r>
      <w:r w:rsidR="00564140" w:rsidRPr="00FB64FC">
        <w:rPr>
          <w:rFonts w:ascii="Georgia" w:hAnsi="Georgia"/>
          <w:i/>
          <w:color w:val="000000" w:themeColor="text1"/>
          <w:sz w:val="20"/>
          <w:szCs w:val="20"/>
        </w:rPr>
        <w:t xml:space="preserve">could act as a warning of how bad fiscal metrics could be if these changes are not set in place by </w:t>
      </w:r>
      <w:r w:rsidR="00845046" w:rsidRPr="00FB64FC">
        <w:rPr>
          <w:rFonts w:ascii="Georgia" w:hAnsi="Georgia"/>
          <w:i/>
          <w:color w:val="000000" w:themeColor="text1"/>
          <w:sz w:val="20"/>
          <w:szCs w:val="20"/>
        </w:rPr>
        <w:t>early next year.</w:t>
      </w:r>
      <w:r w:rsidR="00347168" w:rsidRPr="00FB64FC">
        <w:rPr>
          <w:rFonts w:ascii="Georgia" w:hAnsi="Georgia"/>
          <w:i/>
          <w:color w:val="000000" w:themeColor="text1"/>
          <w:sz w:val="20"/>
          <w:szCs w:val="20"/>
        </w:rPr>
        <w:t xml:space="preserve"> This would not be the first time that the National Treasury uses this kind of tactic. </w:t>
      </w:r>
      <w:r w:rsidRPr="00FB64FC">
        <w:rPr>
          <w:rFonts w:ascii="Georgia" w:hAnsi="Georgia"/>
          <w:i/>
          <w:color w:val="000000" w:themeColor="text1"/>
          <w:sz w:val="20"/>
          <w:szCs w:val="20"/>
        </w:rPr>
        <w:t>The MTBP</w:t>
      </w:r>
      <w:r w:rsidR="007960C9" w:rsidRPr="00FB64FC">
        <w:rPr>
          <w:rFonts w:ascii="Georgia" w:hAnsi="Georgia"/>
          <w:i/>
          <w:color w:val="000000" w:themeColor="text1"/>
          <w:sz w:val="20"/>
          <w:szCs w:val="20"/>
        </w:rPr>
        <w:t>S</w:t>
      </w:r>
      <w:r w:rsidRPr="00FB64FC">
        <w:rPr>
          <w:rFonts w:ascii="Georgia" w:hAnsi="Georgia"/>
          <w:i/>
          <w:color w:val="000000" w:themeColor="text1"/>
          <w:sz w:val="20"/>
          <w:szCs w:val="20"/>
        </w:rPr>
        <w:t xml:space="preserve"> 2017 was a similar shock document that laid bare the fiscal failures that could ensue if the government did not take drastic action. At the time that the </w:t>
      </w:r>
      <w:r w:rsidR="007960C9" w:rsidRPr="00FB64FC">
        <w:rPr>
          <w:rFonts w:ascii="Georgia" w:hAnsi="Georgia"/>
          <w:i/>
          <w:color w:val="000000" w:themeColor="text1"/>
          <w:sz w:val="20"/>
          <w:szCs w:val="20"/>
        </w:rPr>
        <w:t xml:space="preserve">MTBPS 2017 </w:t>
      </w:r>
      <w:r w:rsidRPr="00FB64FC">
        <w:rPr>
          <w:rFonts w:ascii="Georgia" w:hAnsi="Georgia"/>
          <w:i/>
          <w:color w:val="000000" w:themeColor="text1"/>
          <w:sz w:val="20"/>
          <w:szCs w:val="20"/>
        </w:rPr>
        <w:t>was drafted, the country was experiencing many economic and political uncertainties – as it is now</w:t>
      </w:r>
      <w:r w:rsidR="007960C9" w:rsidRPr="00FB64FC">
        <w:rPr>
          <w:rFonts w:ascii="Georgia" w:hAnsi="Georgia"/>
          <w:i/>
          <w:color w:val="000000" w:themeColor="text1"/>
          <w:sz w:val="20"/>
          <w:szCs w:val="20"/>
        </w:rPr>
        <w:t xml:space="preserve"> – that made for a morbid fiscal outlook. Budget Speech 2018 proved to be more optimistic. </w:t>
      </w:r>
      <w:r w:rsidRPr="00FB64FC">
        <w:rPr>
          <w:rFonts w:ascii="Georgia" w:hAnsi="Georgia"/>
          <w:i/>
          <w:color w:val="000000" w:themeColor="text1"/>
          <w:sz w:val="20"/>
          <w:szCs w:val="20"/>
        </w:rPr>
        <w:t xml:space="preserve"> </w:t>
      </w:r>
    </w:p>
    <w:p w14:paraId="7C9E1267" w14:textId="77777777" w:rsidR="008B5C62" w:rsidRPr="008B5C62" w:rsidRDefault="00F41826" w:rsidP="008B5C62">
      <w:pPr>
        <w:rPr>
          <w:rFonts w:ascii="Georgia" w:hAnsi="Georgia"/>
          <w:sz w:val="20"/>
          <w:szCs w:val="20"/>
        </w:rPr>
      </w:pPr>
      <w:r>
        <w:rPr>
          <w:rFonts w:ascii="Georgia" w:hAnsi="Georgia"/>
          <w:sz w:val="20"/>
          <w:szCs w:val="20"/>
        </w:rPr>
        <w:t xml:space="preserve">In a bid to improve spending efficiency and reduce wasteful expenditure, the National Treasury will over the coming year: </w:t>
      </w:r>
    </w:p>
    <w:p w14:paraId="5734E2C4" w14:textId="77777777" w:rsidR="00A5726F" w:rsidRPr="00F41826" w:rsidRDefault="00F41826" w:rsidP="00F41826">
      <w:pPr>
        <w:pStyle w:val="ListParagraph"/>
        <w:numPr>
          <w:ilvl w:val="0"/>
          <w:numId w:val="3"/>
        </w:numPr>
        <w:rPr>
          <w:rFonts w:ascii="Georgia" w:hAnsi="Georgia"/>
          <w:sz w:val="20"/>
          <w:szCs w:val="20"/>
        </w:rPr>
      </w:pPr>
      <w:r w:rsidRPr="00F41826">
        <w:rPr>
          <w:rFonts w:ascii="Georgia" w:hAnsi="Georgia"/>
          <w:sz w:val="20"/>
          <w:szCs w:val="20"/>
        </w:rPr>
        <w:t>Merge and consolidate regulatory entities and agencies</w:t>
      </w:r>
    </w:p>
    <w:p w14:paraId="22EC6208" w14:textId="77777777" w:rsidR="00F41826" w:rsidRPr="00F41826" w:rsidRDefault="00F41826" w:rsidP="00F41826">
      <w:pPr>
        <w:pStyle w:val="ListParagraph"/>
        <w:numPr>
          <w:ilvl w:val="0"/>
          <w:numId w:val="3"/>
        </w:numPr>
        <w:rPr>
          <w:rFonts w:ascii="Georgia" w:hAnsi="Georgia"/>
          <w:sz w:val="20"/>
          <w:szCs w:val="20"/>
        </w:rPr>
      </w:pPr>
      <w:r w:rsidRPr="00F41826">
        <w:rPr>
          <w:rFonts w:ascii="Georgia" w:hAnsi="Georgia"/>
          <w:sz w:val="20"/>
          <w:szCs w:val="20"/>
        </w:rPr>
        <w:t>Implement recommendations from expenditure reviews</w:t>
      </w:r>
    </w:p>
    <w:p w14:paraId="617984CD" w14:textId="77777777" w:rsidR="00F41826" w:rsidRPr="00F41826" w:rsidRDefault="00F41826" w:rsidP="00F41826">
      <w:pPr>
        <w:pStyle w:val="ListParagraph"/>
        <w:numPr>
          <w:ilvl w:val="0"/>
          <w:numId w:val="3"/>
        </w:numPr>
        <w:rPr>
          <w:rFonts w:ascii="Georgia" w:hAnsi="Georgia"/>
          <w:sz w:val="20"/>
          <w:szCs w:val="20"/>
        </w:rPr>
      </w:pPr>
      <w:r w:rsidRPr="00F41826">
        <w:rPr>
          <w:rFonts w:ascii="Georgia" w:hAnsi="Georgia"/>
          <w:sz w:val="20"/>
          <w:szCs w:val="20"/>
        </w:rPr>
        <w:t>Dispose of unused land and other assets</w:t>
      </w:r>
    </w:p>
    <w:p w14:paraId="0DE899A6" w14:textId="77777777" w:rsidR="00F41826" w:rsidRPr="00F41826" w:rsidRDefault="00F41826" w:rsidP="00F41826">
      <w:pPr>
        <w:pStyle w:val="ListParagraph"/>
        <w:numPr>
          <w:ilvl w:val="0"/>
          <w:numId w:val="3"/>
        </w:numPr>
        <w:rPr>
          <w:rFonts w:ascii="Georgia" w:hAnsi="Georgia"/>
          <w:sz w:val="20"/>
          <w:szCs w:val="20"/>
        </w:rPr>
      </w:pPr>
      <w:r w:rsidRPr="00F41826">
        <w:rPr>
          <w:rFonts w:ascii="Georgia" w:hAnsi="Georgia"/>
          <w:sz w:val="20"/>
          <w:szCs w:val="20"/>
        </w:rPr>
        <w:t>Reform the ministerial handbook in order to manage the benefits of office bearers</w:t>
      </w:r>
    </w:p>
    <w:p w14:paraId="2F5B1B5F" w14:textId="77777777" w:rsidR="00F41826" w:rsidRPr="00F41826" w:rsidRDefault="00F41826" w:rsidP="00F41826">
      <w:pPr>
        <w:pStyle w:val="ListParagraph"/>
        <w:numPr>
          <w:ilvl w:val="0"/>
          <w:numId w:val="3"/>
        </w:numPr>
        <w:rPr>
          <w:rFonts w:ascii="Georgia" w:hAnsi="Georgia"/>
          <w:sz w:val="20"/>
          <w:szCs w:val="20"/>
        </w:rPr>
      </w:pPr>
      <w:r w:rsidRPr="00F41826">
        <w:rPr>
          <w:rFonts w:ascii="Georgia" w:hAnsi="Georgia"/>
          <w:sz w:val="20"/>
          <w:szCs w:val="20"/>
        </w:rPr>
        <w:t>Review the existing procurement framework to simplify procurement processes</w:t>
      </w:r>
    </w:p>
    <w:p w14:paraId="5535C97A" w14:textId="77777777" w:rsidR="007D547E" w:rsidRDefault="00974ED6" w:rsidP="006957FB">
      <w:pPr>
        <w:rPr>
          <w:rFonts w:ascii="Georgia" w:hAnsi="Georgia"/>
          <w:b/>
          <w:i/>
          <w:color w:val="DC6900" w:themeColor="accent1"/>
          <w:szCs w:val="20"/>
        </w:rPr>
      </w:pPr>
      <w:bookmarkStart w:id="7" w:name="_Hlk23339426"/>
      <w:bookmarkEnd w:id="6"/>
      <w:r>
        <w:rPr>
          <w:noProof/>
        </w:rPr>
        <w:lastRenderedPageBreak/>
        <w:drawing>
          <wp:anchor distT="0" distB="0" distL="114300" distR="114300" simplePos="0" relativeHeight="251661312" behindDoc="0" locked="0" layoutInCell="1" allowOverlap="1" wp14:anchorId="38372730" wp14:editId="36E72E43">
            <wp:simplePos x="0" y="0"/>
            <wp:positionH relativeFrom="column">
              <wp:posOffset>0</wp:posOffset>
            </wp:positionH>
            <wp:positionV relativeFrom="paragraph">
              <wp:posOffset>-1725</wp:posOffset>
            </wp:positionV>
            <wp:extent cx="1382116" cy="1080000"/>
            <wp:effectExtent l="0" t="0" r="8890" b="6350"/>
            <wp:wrapSquare wrapText="bothSides"/>
            <wp:docPr id="29" name="Picture 29" descr="PwC_Pictograms_Presentation.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wC_Pictograms_Presentation.zi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2116"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547E">
        <w:rPr>
          <w:rFonts w:ascii="Georgia" w:hAnsi="Georgia"/>
          <w:b/>
          <w:i/>
          <w:color w:val="DC6900" w:themeColor="accent1"/>
          <w:szCs w:val="20"/>
        </w:rPr>
        <w:t>Rising public debt, increasing pressure on rating agencies</w:t>
      </w:r>
    </w:p>
    <w:p w14:paraId="0B7F2F7B" w14:textId="77777777" w:rsidR="007552DE" w:rsidRDefault="007552DE" w:rsidP="006957FB">
      <w:pPr>
        <w:rPr>
          <w:rFonts w:ascii="Georgia" w:hAnsi="Georgia"/>
          <w:sz w:val="20"/>
          <w:szCs w:val="20"/>
        </w:rPr>
      </w:pPr>
      <w:r w:rsidRPr="00541CBF">
        <w:rPr>
          <w:rFonts w:ascii="Georgia" w:hAnsi="Georgia"/>
          <w:sz w:val="20"/>
          <w:szCs w:val="20"/>
        </w:rPr>
        <w:t>The MTBPS is frank in saying that debt repayment obligations are crowding out economic and social spending programmes</w:t>
      </w:r>
      <w:r>
        <w:rPr>
          <w:rFonts w:ascii="Georgia" w:hAnsi="Georgia"/>
          <w:sz w:val="20"/>
          <w:szCs w:val="20"/>
        </w:rPr>
        <w:t xml:space="preserve"> and that this cannot be sustained. However, f</w:t>
      </w:r>
      <w:r w:rsidR="00F41826">
        <w:rPr>
          <w:rFonts w:ascii="Georgia" w:hAnsi="Georgia"/>
          <w:sz w:val="20"/>
          <w:szCs w:val="20"/>
        </w:rPr>
        <w:t xml:space="preserve">or the time being, many of the ideas that the MTBPS has put on the table still needs to be implemented. </w:t>
      </w:r>
      <w:r>
        <w:rPr>
          <w:rFonts w:ascii="Georgia" w:hAnsi="Georgia"/>
          <w:sz w:val="20"/>
          <w:szCs w:val="20"/>
        </w:rPr>
        <w:t xml:space="preserve">This implies delays in shoring up revenues and reducing expenditure growth. </w:t>
      </w:r>
    </w:p>
    <w:p w14:paraId="294D3337" w14:textId="1C84F8F7" w:rsidR="006957FB" w:rsidRDefault="00F41826" w:rsidP="006957FB">
      <w:pPr>
        <w:rPr>
          <w:rFonts w:ascii="Georgia" w:hAnsi="Georgia"/>
          <w:sz w:val="20"/>
          <w:szCs w:val="20"/>
        </w:rPr>
      </w:pPr>
      <w:r>
        <w:rPr>
          <w:rFonts w:ascii="Georgia" w:hAnsi="Georgia"/>
          <w:sz w:val="20"/>
          <w:szCs w:val="20"/>
        </w:rPr>
        <w:t>As such, and p</w:t>
      </w:r>
      <w:r w:rsidR="006957FB">
        <w:rPr>
          <w:rFonts w:ascii="Georgia" w:hAnsi="Georgia"/>
          <w:sz w:val="20"/>
          <w:szCs w:val="20"/>
        </w:rPr>
        <w:t xml:space="preserve">ending success in these areas, the fiscal deficit will remain huge, and debt accumulation a reality. </w:t>
      </w:r>
      <w:r w:rsidR="001A2459">
        <w:rPr>
          <w:rFonts w:ascii="Georgia" w:hAnsi="Georgia"/>
          <w:sz w:val="20"/>
          <w:szCs w:val="20"/>
        </w:rPr>
        <w:t>The National Treasury is now planning for government gross loan debt to increase from R2.79 trillion (56.7% of GDP) in 2018/19 to R4.48 trillion (71.3% of GDP) by 2022/23</w:t>
      </w:r>
      <w:r w:rsidR="009B64FB">
        <w:rPr>
          <w:rFonts w:ascii="Georgia" w:hAnsi="Georgia"/>
          <w:sz w:val="20"/>
          <w:szCs w:val="20"/>
        </w:rPr>
        <w:t xml:space="preserve">, in the absence of policy adjustments. </w:t>
      </w:r>
      <w:r w:rsidR="001A2459">
        <w:rPr>
          <w:rFonts w:ascii="Georgia" w:hAnsi="Georgia"/>
          <w:sz w:val="20"/>
          <w:szCs w:val="20"/>
        </w:rPr>
        <w:t xml:space="preserve">This </w:t>
      </w:r>
      <w:r w:rsidR="009B64FB">
        <w:rPr>
          <w:rFonts w:ascii="Georgia" w:hAnsi="Georgia"/>
          <w:sz w:val="20"/>
          <w:szCs w:val="20"/>
        </w:rPr>
        <w:t xml:space="preserve">will be a </w:t>
      </w:r>
      <w:r w:rsidR="001A2459">
        <w:rPr>
          <w:rFonts w:ascii="Georgia" w:hAnsi="Georgia"/>
          <w:sz w:val="20"/>
          <w:szCs w:val="20"/>
        </w:rPr>
        <w:t>massive increase in pure rand terms as well as the GDP ratio. (In February, the debt outlook was flirting wit</w:t>
      </w:r>
      <w:r w:rsidR="007552DE">
        <w:rPr>
          <w:rFonts w:ascii="Georgia" w:hAnsi="Georgia"/>
          <w:sz w:val="20"/>
          <w:szCs w:val="20"/>
        </w:rPr>
        <w:t>h</w:t>
      </w:r>
      <w:r w:rsidR="001A2459">
        <w:rPr>
          <w:rFonts w:ascii="Georgia" w:hAnsi="Georgia"/>
          <w:sz w:val="20"/>
          <w:szCs w:val="20"/>
        </w:rPr>
        <w:t xml:space="preserve"> the 60% of GDP mark, and is now set to break the 70% of GDP level in a few years’ time.) </w:t>
      </w:r>
    </w:p>
    <w:p w14:paraId="344FD175" w14:textId="7523320B" w:rsidR="003B2536" w:rsidRDefault="003B2536" w:rsidP="006957FB">
      <w:pPr>
        <w:rPr>
          <w:rFonts w:ascii="Georgia" w:hAnsi="Georgia"/>
          <w:sz w:val="20"/>
          <w:szCs w:val="20"/>
        </w:rPr>
      </w:pPr>
    </w:p>
    <w:p w14:paraId="6243C735" w14:textId="5D3E15CB" w:rsidR="003B2536" w:rsidRDefault="003B2536" w:rsidP="006957FB">
      <w:pPr>
        <w:rPr>
          <w:rFonts w:ascii="Georgia" w:hAnsi="Georgia"/>
          <w:sz w:val="20"/>
          <w:szCs w:val="20"/>
        </w:rPr>
      </w:pPr>
    </w:p>
    <w:p w14:paraId="31D6E8E9" w14:textId="1CB1F628" w:rsidR="003B2536" w:rsidRDefault="003B2536" w:rsidP="006957FB">
      <w:pPr>
        <w:rPr>
          <w:rFonts w:ascii="Georgia" w:hAnsi="Georgia"/>
          <w:sz w:val="20"/>
          <w:szCs w:val="20"/>
        </w:rPr>
      </w:pPr>
    </w:p>
    <w:p w14:paraId="723D2941" w14:textId="77777777" w:rsidR="003B2536" w:rsidRDefault="003B2536" w:rsidP="006957FB">
      <w:pPr>
        <w:rPr>
          <w:rFonts w:ascii="Georgia" w:hAnsi="Georgia"/>
          <w:sz w:val="20"/>
          <w:szCs w:val="20"/>
        </w:rPr>
      </w:pPr>
    </w:p>
    <w:p w14:paraId="11B27AEF" w14:textId="40D18055" w:rsidR="00621AE0" w:rsidRPr="00621AE0" w:rsidRDefault="00621AE0" w:rsidP="006957FB">
      <w:pPr>
        <w:rPr>
          <w:rFonts w:ascii="Georgia" w:hAnsi="Georgia"/>
          <w:i/>
          <w:sz w:val="20"/>
          <w:szCs w:val="20"/>
        </w:rPr>
      </w:pPr>
      <w:r w:rsidRPr="00621AE0">
        <w:rPr>
          <w:rFonts w:ascii="Georgia" w:hAnsi="Georgia"/>
          <w:i/>
          <w:sz w:val="20"/>
          <w:szCs w:val="20"/>
        </w:rPr>
        <w:t xml:space="preserve">Figure </w:t>
      </w:r>
      <w:r w:rsidR="003B2536">
        <w:rPr>
          <w:rFonts w:ascii="Georgia" w:hAnsi="Georgia"/>
          <w:i/>
          <w:sz w:val="20"/>
          <w:szCs w:val="20"/>
        </w:rPr>
        <w:t>3</w:t>
      </w:r>
      <w:r w:rsidRPr="00621AE0">
        <w:rPr>
          <w:rFonts w:ascii="Georgia" w:hAnsi="Georgia"/>
          <w:i/>
          <w:sz w:val="20"/>
          <w:szCs w:val="20"/>
        </w:rPr>
        <w:t xml:space="preserve">: Gross government debt </w:t>
      </w:r>
      <w:r w:rsidR="00B62E80">
        <w:rPr>
          <w:rFonts w:ascii="Georgia" w:hAnsi="Georgia"/>
          <w:i/>
          <w:sz w:val="20"/>
          <w:szCs w:val="20"/>
        </w:rPr>
        <w:t xml:space="preserve">(% of GDP) </w:t>
      </w:r>
      <w:r w:rsidRPr="00621AE0">
        <w:rPr>
          <w:rFonts w:ascii="Georgia" w:hAnsi="Georgia"/>
          <w:i/>
          <w:sz w:val="20"/>
          <w:szCs w:val="20"/>
        </w:rPr>
        <w:t>envisaged soaring in coming years</w:t>
      </w:r>
    </w:p>
    <w:p w14:paraId="0722CDE9" w14:textId="77777777" w:rsidR="00352FF9" w:rsidRDefault="00FB64FC" w:rsidP="006957FB">
      <w:pPr>
        <w:rPr>
          <w:rFonts w:ascii="Georgia" w:hAnsi="Georgia"/>
          <w:sz w:val="20"/>
          <w:szCs w:val="20"/>
        </w:rPr>
      </w:pPr>
      <w:r>
        <w:rPr>
          <w:noProof/>
        </w:rPr>
        <w:drawing>
          <wp:inline distT="0" distB="0" distL="0" distR="0" wp14:anchorId="5DE6814D" wp14:editId="6EFB5351">
            <wp:extent cx="5930265" cy="2346784"/>
            <wp:effectExtent l="0" t="0" r="13335" b="15875"/>
            <wp:docPr id="37" name="Chart 37">
              <a:extLst xmlns:a="http://schemas.openxmlformats.org/drawingml/2006/main">
                <a:ext uri="{FF2B5EF4-FFF2-40B4-BE49-F238E27FC236}">
                  <a16:creationId xmlns:a16="http://schemas.microsoft.com/office/drawing/2014/main" id="{DA149D8B-16DC-4AA7-8149-62AD64C8FE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422821" w14:textId="77777777" w:rsidR="00621AE0" w:rsidRPr="00621AE0" w:rsidRDefault="00621AE0" w:rsidP="006957FB">
      <w:pPr>
        <w:rPr>
          <w:rFonts w:ascii="Georgia" w:hAnsi="Georgia"/>
          <w:i/>
          <w:sz w:val="20"/>
          <w:szCs w:val="20"/>
        </w:rPr>
      </w:pPr>
      <w:r w:rsidRPr="00621AE0">
        <w:rPr>
          <w:rFonts w:ascii="Georgia" w:hAnsi="Georgia"/>
          <w:i/>
          <w:sz w:val="20"/>
          <w:szCs w:val="20"/>
        </w:rPr>
        <w:t>Source: National Treasury</w:t>
      </w:r>
    </w:p>
    <w:p w14:paraId="4E0A5493" w14:textId="3BD4F3F5" w:rsidR="00F57BB3" w:rsidRDefault="007552DE" w:rsidP="006957FB">
      <w:pPr>
        <w:rPr>
          <w:rFonts w:ascii="Georgia" w:hAnsi="Georgia"/>
          <w:sz w:val="20"/>
          <w:szCs w:val="20"/>
        </w:rPr>
      </w:pPr>
      <w:r>
        <w:rPr>
          <w:rFonts w:ascii="Georgia" w:hAnsi="Georgia"/>
          <w:sz w:val="20"/>
          <w:szCs w:val="20"/>
        </w:rPr>
        <w:t>The MTBPS admits that since the Budget Speech 2019, risks of further sovereign ratings downgrades have increased due to low economic growth and rising public debt. The latter is a crucial issue. Moody’s Investors Service – the only ratings agency still to rate South Africa at investment grade – already has a bloated view of the country’s public debt after recently adding Eskom’s government-guaranteed debt obligations to those of the sovereign. The MTPBS’s downward revision on economic growth and upward revision in planned state lending will certainly push Moody’s debt metrics be</w:t>
      </w:r>
      <w:r w:rsidR="00F57BB3">
        <w:rPr>
          <w:rFonts w:ascii="Georgia" w:hAnsi="Georgia"/>
          <w:sz w:val="20"/>
          <w:szCs w:val="20"/>
        </w:rPr>
        <w:t>y</w:t>
      </w:r>
      <w:r>
        <w:rPr>
          <w:rFonts w:ascii="Georgia" w:hAnsi="Georgia"/>
          <w:sz w:val="20"/>
          <w:szCs w:val="20"/>
        </w:rPr>
        <w:t>ond critical levels, leading to a downgrade to non-investment grade</w:t>
      </w:r>
      <w:r w:rsidR="00FD6900">
        <w:rPr>
          <w:rFonts w:ascii="Georgia" w:hAnsi="Georgia"/>
          <w:sz w:val="20"/>
          <w:szCs w:val="20"/>
        </w:rPr>
        <w:t xml:space="preserve"> if the </w:t>
      </w:r>
      <w:r w:rsidR="005575E4">
        <w:rPr>
          <w:rFonts w:ascii="Georgia" w:hAnsi="Georgia"/>
          <w:sz w:val="20"/>
          <w:szCs w:val="20"/>
        </w:rPr>
        <w:t xml:space="preserve">agency wants to maintain its integrity. </w:t>
      </w:r>
      <w:r w:rsidR="00B50DBA">
        <w:rPr>
          <w:rFonts w:ascii="Georgia" w:hAnsi="Georgia"/>
          <w:sz w:val="20"/>
          <w:szCs w:val="20"/>
        </w:rPr>
        <w:t xml:space="preserve">(Moody’s is scheduled to comment on South Africa’s creditworthiness on November 1.) </w:t>
      </w:r>
      <w:r w:rsidR="00F57BB3">
        <w:rPr>
          <w:rFonts w:ascii="Georgia" w:hAnsi="Georgia"/>
          <w:sz w:val="20"/>
          <w:szCs w:val="20"/>
        </w:rPr>
        <w:t xml:space="preserve">The only immediate lifebuoy would be if the agency latches on to the multiple promises of change to be revealed in February 2020. </w:t>
      </w:r>
    </w:p>
    <w:bookmarkEnd w:id="7"/>
    <w:p w14:paraId="7D5B7C64" w14:textId="77777777" w:rsidR="00A5726F" w:rsidRPr="00541CBF" w:rsidRDefault="00991023">
      <w:pPr>
        <w:rPr>
          <w:rFonts w:ascii="Georgia" w:hAnsi="Georgia"/>
          <w:sz w:val="20"/>
          <w:szCs w:val="20"/>
        </w:rPr>
      </w:pPr>
      <w:r>
        <w:rPr>
          <w:rFonts w:ascii="Georgia" w:hAnsi="Georgia"/>
          <w:sz w:val="20"/>
          <w:szCs w:val="20"/>
        </w:rPr>
        <w:lastRenderedPageBreak/>
        <w:t xml:space="preserve">On a positive note, </w:t>
      </w:r>
      <w:r w:rsidR="007552DE">
        <w:rPr>
          <w:rFonts w:ascii="Georgia" w:hAnsi="Georgia"/>
          <w:sz w:val="20"/>
          <w:szCs w:val="20"/>
        </w:rPr>
        <w:t>the government has a prudent debt management process in place. T</w:t>
      </w:r>
      <w:r>
        <w:rPr>
          <w:rFonts w:ascii="Georgia" w:hAnsi="Georgia"/>
          <w:sz w:val="20"/>
          <w:szCs w:val="20"/>
        </w:rPr>
        <w:t>he National Treasury uses international benchmarks for structuring its debt portfolio and remains within these limits. Interest, inflation, currency and refinancing risks are under control on accumulated debt</w:t>
      </w:r>
      <w:r w:rsidR="007552DE">
        <w:rPr>
          <w:rFonts w:ascii="Georgia" w:hAnsi="Georgia"/>
          <w:sz w:val="20"/>
          <w:szCs w:val="20"/>
        </w:rPr>
        <w:t xml:space="preserve">. For example long-term, fixed rate bonds are the mainstay issuance for South Africa’s borrowing needs, which protects public finances from sudden interest and exchange rate shocks. Furthermore, the majority of borrowing is done in local capital markets. </w:t>
      </w:r>
    </w:p>
    <w:p w14:paraId="39C0053C" w14:textId="77777777" w:rsidR="00A5726F" w:rsidRPr="002E6430" w:rsidRDefault="00974ED6">
      <w:pPr>
        <w:rPr>
          <w:rFonts w:ascii="Georgia" w:hAnsi="Georgia"/>
          <w:b/>
          <w:i/>
          <w:color w:val="DC6900" w:themeColor="accent1"/>
          <w:szCs w:val="20"/>
        </w:rPr>
      </w:pPr>
      <w:r>
        <w:rPr>
          <w:noProof/>
        </w:rPr>
        <w:drawing>
          <wp:anchor distT="0" distB="0" distL="114300" distR="114300" simplePos="0" relativeHeight="251662336" behindDoc="0" locked="0" layoutInCell="1" allowOverlap="1" wp14:anchorId="133A9F5D" wp14:editId="4B007924">
            <wp:simplePos x="0" y="0"/>
            <wp:positionH relativeFrom="column">
              <wp:posOffset>0</wp:posOffset>
            </wp:positionH>
            <wp:positionV relativeFrom="paragraph">
              <wp:posOffset>-374</wp:posOffset>
            </wp:positionV>
            <wp:extent cx="1382116" cy="1080000"/>
            <wp:effectExtent l="0" t="0" r="8890" b="6350"/>
            <wp:wrapSquare wrapText="bothSides"/>
            <wp:docPr id="30" name="Picture 30" descr="PwC_Pictograms_Infrastructure.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wC_Pictograms_Infrastructure.zi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2116"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6430" w:rsidRPr="002E6430">
        <w:rPr>
          <w:rFonts w:ascii="Georgia" w:hAnsi="Georgia"/>
          <w:b/>
          <w:i/>
          <w:color w:val="DC6900" w:themeColor="accent1"/>
          <w:szCs w:val="20"/>
        </w:rPr>
        <w:t>Final thoughts</w:t>
      </w:r>
      <w:r w:rsidR="004B3D04">
        <w:rPr>
          <w:rFonts w:ascii="Georgia" w:hAnsi="Georgia"/>
          <w:b/>
          <w:i/>
          <w:color w:val="DC6900" w:themeColor="accent1"/>
          <w:szCs w:val="20"/>
        </w:rPr>
        <w:t xml:space="preserve"> on the fiscal game plan</w:t>
      </w:r>
    </w:p>
    <w:p w14:paraId="1695A0D9" w14:textId="1D86B21C" w:rsidR="004B3D04" w:rsidRDefault="000C1B12">
      <w:pPr>
        <w:rPr>
          <w:rFonts w:ascii="Georgia" w:hAnsi="Georgia"/>
          <w:sz w:val="20"/>
          <w:szCs w:val="20"/>
        </w:rPr>
      </w:pPr>
      <w:r>
        <w:rPr>
          <w:rFonts w:ascii="Georgia" w:hAnsi="Georgia"/>
          <w:sz w:val="20"/>
          <w:szCs w:val="20"/>
        </w:rPr>
        <w:t>The MTBPS 2019 was Minister Mboweni’s best kick</w:t>
      </w:r>
      <w:r w:rsidR="00AF524C">
        <w:rPr>
          <w:rFonts w:ascii="Georgia" w:hAnsi="Georgia"/>
          <w:sz w:val="20"/>
          <w:szCs w:val="20"/>
        </w:rPr>
        <w:t xml:space="preserve"> into </w:t>
      </w:r>
      <w:r>
        <w:rPr>
          <w:rFonts w:ascii="Georgia" w:hAnsi="Georgia"/>
          <w:sz w:val="20"/>
          <w:szCs w:val="20"/>
        </w:rPr>
        <w:t xml:space="preserve">touch under the circumstances. In team ball sports like rugby and soccer, kicking </w:t>
      </w:r>
      <w:r w:rsidR="00AF524C">
        <w:rPr>
          <w:rFonts w:ascii="Georgia" w:hAnsi="Georgia"/>
          <w:sz w:val="20"/>
          <w:szCs w:val="20"/>
        </w:rPr>
        <w:t xml:space="preserve">into </w:t>
      </w:r>
      <w:r>
        <w:rPr>
          <w:rFonts w:ascii="Georgia" w:hAnsi="Georgia"/>
          <w:sz w:val="20"/>
          <w:szCs w:val="20"/>
        </w:rPr>
        <w:t xml:space="preserve">touch can take a lot of pressure off a team. It delays the immediate threat of a pressured encounter and relieves pressure on the players. However, while relief can help in staging a better offensive manoeuvre, kicking </w:t>
      </w:r>
      <w:r w:rsidR="00AF524C">
        <w:rPr>
          <w:rFonts w:ascii="Georgia" w:hAnsi="Georgia"/>
          <w:sz w:val="20"/>
          <w:szCs w:val="20"/>
        </w:rPr>
        <w:t xml:space="preserve">into </w:t>
      </w:r>
      <w:r>
        <w:rPr>
          <w:rFonts w:ascii="Georgia" w:hAnsi="Georgia"/>
          <w:sz w:val="20"/>
          <w:szCs w:val="20"/>
        </w:rPr>
        <w:t xml:space="preserve">touch can also backfire in that the opposing team counters with their own tactics. Minister Mboweni has many opponents in trying to realise the processes made for Budget Speech 2020. </w:t>
      </w:r>
      <w:r w:rsidR="002E6430">
        <w:rPr>
          <w:rFonts w:ascii="Georgia" w:hAnsi="Georgia"/>
          <w:sz w:val="20"/>
          <w:szCs w:val="20"/>
        </w:rPr>
        <w:t>Rating agencies – some might call them the referees in this game - are likely to be unpleased with the MTBPS kick</w:t>
      </w:r>
      <w:r w:rsidR="004B3D04">
        <w:rPr>
          <w:rFonts w:ascii="Georgia" w:hAnsi="Georgia"/>
          <w:sz w:val="20"/>
          <w:szCs w:val="20"/>
        </w:rPr>
        <w:t xml:space="preserve">, thereby building the pressure on the National Treasury heading </w:t>
      </w:r>
      <w:r w:rsidR="00974ED6">
        <w:rPr>
          <w:rFonts w:ascii="Georgia" w:hAnsi="Georgia"/>
          <w:sz w:val="20"/>
          <w:szCs w:val="20"/>
        </w:rPr>
        <w:t xml:space="preserve">down the road </w:t>
      </w:r>
      <w:r w:rsidR="004B3D04">
        <w:rPr>
          <w:rFonts w:ascii="Georgia" w:hAnsi="Georgia"/>
          <w:sz w:val="20"/>
          <w:szCs w:val="20"/>
        </w:rPr>
        <w:t xml:space="preserve">to February 2020. </w:t>
      </w:r>
    </w:p>
    <w:p w14:paraId="05485457" w14:textId="2F64A2D1" w:rsidR="004B3D04" w:rsidRDefault="004B3D04">
      <w:pPr>
        <w:rPr>
          <w:rFonts w:ascii="Georgia" w:hAnsi="Georgia"/>
          <w:sz w:val="20"/>
          <w:szCs w:val="20"/>
        </w:rPr>
      </w:pPr>
    </w:p>
    <w:p w14:paraId="42C6FDAC" w14:textId="66FE8FD7" w:rsidR="003B2536" w:rsidRDefault="003B2536">
      <w:pPr>
        <w:rPr>
          <w:rFonts w:ascii="Georgia" w:hAnsi="Georgia"/>
          <w:sz w:val="20"/>
          <w:szCs w:val="20"/>
        </w:rPr>
      </w:pPr>
    </w:p>
    <w:p w14:paraId="4EE11B92" w14:textId="77777777" w:rsidR="003B2536" w:rsidRPr="00541CBF" w:rsidRDefault="003B2536">
      <w:pPr>
        <w:rPr>
          <w:rFonts w:ascii="Georgia" w:hAnsi="Georgia"/>
          <w:sz w:val="20"/>
          <w:szCs w:val="20"/>
        </w:rPr>
      </w:pPr>
    </w:p>
    <w:p w14:paraId="42D8473A" w14:textId="77777777" w:rsidR="00A5726F" w:rsidRPr="002E6430" w:rsidRDefault="00A5726F" w:rsidP="00A5726F">
      <w:pPr>
        <w:rPr>
          <w:rFonts w:ascii="Georgia" w:hAnsi="Georgia"/>
          <w:b/>
          <w:i/>
          <w:color w:val="DC6900" w:themeColor="accent1"/>
          <w:szCs w:val="20"/>
        </w:rPr>
      </w:pPr>
      <w:r w:rsidRPr="002E6430">
        <w:rPr>
          <w:rFonts w:ascii="Georgia" w:hAnsi="Georgia"/>
          <w:b/>
          <w:i/>
          <w:color w:val="DC6900" w:themeColor="accent1"/>
          <w:szCs w:val="20"/>
        </w:rPr>
        <w:t>Contacts</w:t>
      </w:r>
    </w:p>
    <w:p w14:paraId="7E3149B1" w14:textId="77777777" w:rsidR="00A5726F" w:rsidRPr="004B3D04" w:rsidRDefault="00A5726F" w:rsidP="00A5726F">
      <w:pPr>
        <w:rPr>
          <w:rFonts w:asciiTheme="majorHAnsi" w:hAnsiTheme="majorHAnsi" w:cstheme="minorHAnsi"/>
          <w:sz w:val="2"/>
          <w:szCs w:val="2"/>
        </w:rPr>
      </w:pPr>
    </w:p>
    <w:p w14:paraId="43E51266" w14:textId="77777777" w:rsidR="004B3D04" w:rsidRDefault="004B3D04" w:rsidP="00A5726F">
      <w:pPr>
        <w:rPr>
          <w:rFonts w:asciiTheme="majorHAnsi" w:hAnsiTheme="majorHAnsi" w:cstheme="minorHAnsi"/>
          <w:b/>
          <w:sz w:val="20"/>
          <w:szCs w:val="20"/>
        </w:rPr>
        <w:sectPr w:rsidR="004B3D04" w:rsidSect="007D547E">
          <w:headerReference w:type="default" r:id="rId16"/>
          <w:footerReference w:type="default" r:id="rId17"/>
          <w:pgSz w:w="12240" w:h="15840"/>
          <w:pgMar w:top="1817" w:right="1440" w:bottom="1440" w:left="1440" w:header="720" w:footer="720" w:gutter="0"/>
          <w:cols w:space="720"/>
          <w:docGrid w:linePitch="360"/>
        </w:sectPr>
      </w:pPr>
    </w:p>
    <w:p w14:paraId="45FF99B6" w14:textId="77777777" w:rsidR="00A5726F" w:rsidRPr="00541CBF" w:rsidRDefault="00A5726F" w:rsidP="00A5726F">
      <w:pPr>
        <w:rPr>
          <w:rFonts w:asciiTheme="majorHAnsi" w:hAnsiTheme="majorHAnsi" w:cstheme="minorHAnsi"/>
          <w:b/>
          <w:sz w:val="20"/>
          <w:szCs w:val="20"/>
        </w:rPr>
      </w:pPr>
      <w:r w:rsidRPr="00541CBF">
        <w:rPr>
          <w:rFonts w:asciiTheme="majorHAnsi" w:hAnsiTheme="majorHAnsi" w:cstheme="minorHAnsi"/>
          <w:b/>
          <w:sz w:val="20"/>
          <w:szCs w:val="20"/>
        </w:rPr>
        <w:t>Lullu Krugel</w:t>
      </w:r>
    </w:p>
    <w:p w14:paraId="79B8BFF8" w14:textId="77777777" w:rsidR="00A5726F" w:rsidRPr="00541CBF" w:rsidRDefault="00A5726F" w:rsidP="00A5726F">
      <w:pPr>
        <w:rPr>
          <w:rFonts w:asciiTheme="majorHAnsi" w:hAnsiTheme="majorHAnsi" w:cstheme="minorHAnsi"/>
          <w:sz w:val="20"/>
          <w:szCs w:val="20"/>
        </w:rPr>
      </w:pPr>
      <w:r w:rsidRPr="00541CBF">
        <w:rPr>
          <w:rFonts w:asciiTheme="majorHAnsi" w:hAnsiTheme="majorHAnsi" w:cstheme="minorHAnsi"/>
          <w:sz w:val="20"/>
          <w:szCs w:val="20"/>
        </w:rPr>
        <w:t>Chief Economist and Partner, Strategy&amp;</w:t>
      </w:r>
    </w:p>
    <w:p w14:paraId="3FA979AA" w14:textId="77777777" w:rsidR="00A5726F" w:rsidRPr="00541CBF" w:rsidRDefault="00A5726F" w:rsidP="00A5726F">
      <w:pPr>
        <w:rPr>
          <w:rFonts w:asciiTheme="majorHAnsi" w:hAnsiTheme="majorHAnsi" w:cstheme="minorHAnsi"/>
          <w:sz w:val="20"/>
          <w:szCs w:val="20"/>
        </w:rPr>
      </w:pPr>
      <w:r w:rsidRPr="00541CBF">
        <w:rPr>
          <w:rFonts w:asciiTheme="majorHAnsi" w:hAnsiTheme="majorHAnsi" w:cstheme="minorHAnsi"/>
          <w:sz w:val="20"/>
          <w:szCs w:val="20"/>
        </w:rPr>
        <w:t>lullu.krugel@pwc.com</w:t>
      </w:r>
    </w:p>
    <w:p w14:paraId="63AD503D" w14:textId="77777777" w:rsidR="00A5726F" w:rsidRPr="00541CBF" w:rsidRDefault="00A5726F" w:rsidP="00A5726F">
      <w:pPr>
        <w:rPr>
          <w:rFonts w:asciiTheme="majorHAnsi" w:hAnsiTheme="majorHAnsi" w:cstheme="minorHAnsi"/>
          <w:sz w:val="20"/>
          <w:szCs w:val="20"/>
        </w:rPr>
      </w:pPr>
      <w:r w:rsidRPr="00541CBF">
        <w:rPr>
          <w:rFonts w:asciiTheme="majorHAnsi" w:hAnsiTheme="majorHAnsi" w:cstheme="minorHAnsi"/>
          <w:sz w:val="20"/>
          <w:szCs w:val="20"/>
        </w:rPr>
        <w:t>+27 (0) 11 797 4929</w:t>
      </w:r>
    </w:p>
    <w:p w14:paraId="0AEC1A11" w14:textId="77777777" w:rsidR="00A5726F" w:rsidRPr="00541CBF" w:rsidRDefault="00A5726F" w:rsidP="00A5726F">
      <w:pPr>
        <w:rPr>
          <w:rFonts w:asciiTheme="majorHAnsi" w:hAnsiTheme="majorHAnsi"/>
          <w:noProof/>
          <w:sz w:val="20"/>
          <w:szCs w:val="20"/>
          <w:lang w:eastAsia="en-GB"/>
        </w:rPr>
      </w:pPr>
    </w:p>
    <w:p w14:paraId="1EB0B2DA" w14:textId="77777777" w:rsidR="00A5726F" w:rsidRPr="00541CBF" w:rsidRDefault="00A5726F" w:rsidP="00A5726F">
      <w:pPr>
        <w:rPr>
          <w:rFonts w:asciiTheme="majorHAnsi" w:hAnsiTheme="majorHAnsi"/>
          <w:b/>
          <w:noProof/>
          <w:sz w:val="20"/>
          <w:szCs w:val="20"/>
          <w:lang w:eastAsia="en-GB"/>
        </w:rPr>
      </w:pPr>
      <w:r w:rsidRPr="00541CBF">
        <w:rPr>
          <w:rFonts w:asciiTheme="majorHAnsi" w:hAnsiTheme="majorHAnsi"/>
          <w:b/>
          <w:noProof/>
          <w:sz w:val="20"/>
          <w:szCs w:val="20"/>
          <w:lang w:eastAsia="en-GB"/>
        </w:rPr>
        <w:t>Christie Viljoen</w:t>
      </w:r>
    </w:p>
    <w:p w14:paraId="7BCA2344" w14:textId="77777777" w:rsidR="00A5726F" w:rsidRPr="00541CBF" w:rsidRDefault="00A5726F" w:rsidP="00A5726F">
      <w:pPr>
        <w:rPr>
          <w:rFonts w:asciiTheme="majorHAnsi" w:hAnsiTheme="majorHAnsi"/>
          <w:noProof/>
          <w:sz w:val="20"/>
          <w:szCs w:val="20"/>
          <w:lang w:eastAsia="en-GB"/>
        </w:rPr>
      </w:pPr>
      <w:r w:rsidRPr="00541CBF">
        <w:rPr>
          <w:rFonts w:asciiTheme="majorHAnsi" w:hAnsiTheme="majorHAnsi"/>
          <w:noProof/>
          <w:sz w:val="20"/>
          <w:szCs w:val="20"/>
          <w:lang w:eastAsia="en-GB"/>
        </w:rPr>
        <w:t>Economist, Strategy&amp;</w:t>
      </w:r>
    </w:p>
    <w:p w14:paraId="14B7F240" w14:textId="77777777" w:rsidR="00A5726F" w:rsidRPr="00541CBF" w:rsidRDefault="00A5726F" w:rsidP="00A5726F">
      <w:pPr>
        <w:rPr>
          <w:rFonts w:asciiTheme="majorHAnsi" w:hAnsiTheme="majorHAnsi"/>
          <w:noProof/>
          <w:sz w:val="20"/>
          <w:szCs w:val="20"/>
          <w:lang w:eastAsia="en-GB"/>
        </w:rPr>
      </w:pPr>
      <w:r w:rsidRPr="00541CBF">
        <w:rPr>
          <w:rFonts w:asciiTheme="majorHAnsi" w:hAnsiTheme="majorHAnsi"/>
          <w:noProof/>
          <w:sz w:val="20"/>
          <w:szCs w:val="20"/>
          <w:lang w:eastAsia="en-GB"/>
        </w:rPr>
        <w:t>christie.viljoen@pwc.com</w:t>
      </w:r>
    </w:p>
    <w:p w14:paraId="6FD52F2E" w14:textId="77777777" w:rsidR="00A5726F" w:rsidRPr="00541CBF" w:rsidRDefault="00A5726F" w:rsidP="00A5726F">
      <w:pPr>
        <w:rPr>
          <w:rFonts w:asciiTheme="majorHAnsi" w:hAnsiTheme="majorHAnsi"/>
          <w:noProof/>
          <w:sz w:val="20"/>
          <w:szCs w:val="20"/>
          <w:lang w:eastAsia="en-GB"/>
        </w:rPr>
      </w:pPr>
      <w:r w:rsidRPr="00541CBF">
        <w:rPr>
          <w:rFonts w:asciiTheme="majorHAnsi" w:hAnsiTheme="majorHAnsi"/>
          <w:noProof/>
          <w:sz w:val="20"/>
          <w:szCs w:val="20"/>
          <w:lang w:eastAsia="en-GB"/>
        </w:rPr>
        <w:t>+27 (0) 21 529 2595</w:t>
      </w:r>
    </w:p>
    <w:p w14:paraId="607FDED0" w14:textId="77777777" w:rsidR="00A5726F" w:rsidRDefault="00A5726F">
      <w:pPr>
        <w:rPr>
          <w:rFonts w:asciiTheme="majorHAnsi" w:hAnsiTheme="majorHAnsi"/>
          <w:sz w:val="20"/>
          <w:szCs w:val="20"/>
        </w:rPr>
      </w:pPr>
    </w:p>
    <w:p w14:paraId="2493A901" w14:textId="77777777" w:rsidR="004B3D04" w:rsidRDefault="004B3D04">
      <w:pPr>
        <w:rPr>
          <w:rFonts w:asciiTheme="majorHAnsi" w:hAnsiTheme="majorHAnsi"/>
          <w:sz w:val="20"/>
          <w:szCs w:val="20"/>
        </w:rPr>
        <w:sectPr w:rsidR="004B3D04" w:rsidSect="004B3D04">
          <w:type w:val="continuous"/>
          <w:pgSz w:w="12240" w:h="15840"/>
          <w:pgMar w:top="1973" w:right="1440" w:bottom="1440" w:left="1440" w:header="720" w:footer="720" w:gutter="0"/>
          <w:cols w:num="2" w:space="720"/>
          <w:docGrid w:linePitch="360"/>
        </w:sectPr>
      </w:pPr>
    </w:p>
    <w:p w14:paraId="4FC7643A" w14:textId="77777777" w:rsidR="004B3D04" w:rsidRDefault="00621AE0">
      <w:pPr>
        <w:rPr>
          <w:rFonts w:asciiTheme="majorHAnsi" w:hAnsiTheme="majorHAnsi"/>
          <w:sz w:val="20"/>
          <w:szCs w:val="20"/>
        </w:rPr>
      </w:pPr>
      <w:r>
        <w:rPr>
          <w:noProof/>
        </w:rPr>
        <w:drawing>
          <wp:anchor distT="0" distB="0" distL="114300" distR="114300" simplePos="0" relativeHeight="251663360" behindDoc="1" locked="0" layoutInCell="1" allowOverlap="1" wp14:anchorId="6B1A2D3D" wp14:editId="3A5E3375">
            <wp:simplePos x="0" y="0"/>
            <wp:positionH relativeFrom="page">
              <wp:align>left</wp:align>
            </wp:positionH>
            <wp:positionV relativeFrom="paragraph">
              <wp:posOffset>284675</wp:posOffset>
            </wp:positionV>
            <wp:extent cx="7776149" cy="5585988"/>
            <wp:effectExtent l="0" t="0" r="0" b="0"/>
            <wp:wrapNone/>
            <wp:docPr id="33" name="Picture 33" descr="PwC_Geom_Illus_27.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wC_Geom_Illus_27.zip"/>
                    <pic:cNvPicPr>
                      <a:picLocks noChangeAspect="1" noChangeArrowheads="1"/>
                    </pic:cNvPicPr>
                  </pic:nvPicPr>
                  <pic:blipFill>
                    <a:blip r:embed="rId18">
                      <a:alphaModFix amt="20000"/>
                      <a:extLst>
                        <a:ext uri="{28A0092B-C50C-407E-A947-70E740481C1C}">
                          <a14:useLocalDpi xmlns:a14="http://schemas.microsoft.com/office/drawing/2010/main" val="0"/>
                        </a:ext>
                      </a:extLst>
                    </a:blip>
                    <a:srcRect/>
                    <a:stretch>
                      <a:fillRect/>
                    </a:stretch>
                  </pic:blipFill>
                  <pic:spPr bwMode="auto">
                    <a:xfrm>
                      <a:off x="0" y="0"/>
                      <a:ext cx="7782360" cy="55904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5CEF3F" w14:textId="77777777" w:rsidR="004B3D04" w:rsidRDefault="004B3D04">
      <w:pPr>
        <w:rPr>
          <w:rFonts w:asciiTheme="majorHAnsi" w:hAnsiTheme="majorHAnsi"/>
          <w:sz w:val="20"/>
          <w:szCs w:val="20"/>
        </w:rPr>
      </w:pPr>
    </w:p>
    <w:p w14:paraId="1B530620" w14:textId="77777777" w:rsidR="007960C9" w:rsidRDefault="007960C9">
      <w:pPr>
        <w:rPr>
          <w:rFonts w:asciiTheme="majorHAnsi" w:hAnsiTheme="majorHAnsi"/>
          <w:sz w:val="20"/>
          <w:szCs w:val="20"/>
        </w:rPr>
      </w:pPr>
    </w:p>
    <w:p w14:paraId="5B1EC2FA" w14:textId="77777777" w:rsidR="007960C9" w:rsidRDefault="007960C9">
      <w:pPr>
        <w:rPr>
          <w:rFonts w:asciiTheme="majorHAnsi" w:hAnsiTheme="majorHAnsi"/>
          <w:sz w:val="20"/>
          <w:szCs w:val="20"/>
        </w:rPr>
      </w:pPr>
    </w:p>
    <w:p w14:paraId="462AEA5B" w14:textId="77777777" w:rsidR="007960C9" w:rsidRPr="00541CBF" w:rsidRDefault="007960C9">
      <w:pPr>
        <w:rPr>
          <w:rFonts w:asciiTheme="majorHAnsi" w:hAnsiTheme="majorHAnsi"/>
          <w:sz w:val="20"/>
          <w:szCs w:val="20"/>
        </w:rPr>
      </w:pPr>
    </w:p>
    <w:sectPr w:rsidR="007960C9" w:rsidRPr="00541CBF" w:rsidSect="004B3D04">
      <w:type w:val="continuous"/>
      <w:pgSz w:w="12240" w:h="15840"/>
      <w:pgMar w:top="197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60EFB" w14:textId="77777777" w:rsidR="00D934BE" w:rsidRDefault="00D934BE" w:rsidP="00A5726F">
      <w:pPr>
        <w:spacing w:after="0" w:line="240" w:lineRule="auto"/>
      </w:pPr>
      <w:r>
        <w:separator/>
      </w:r>
    </w:p>
  </w:endnote>
  <w:endnote w:type="continuationSeparator" w:id="0">
    <w:p w14:paraId="0BA2FC59" w14:textId="77777777" w:rsidR="00D934BE" w:rsidRDefault="00D934BE" w:rsidP="00A57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CD98E" w14:textId="77777777" w:rsidR="00FB579F" w:rsidRPr="00A5726F" w:rsidRDefault="00FB579F">
    <w:pPr>
      <w:pStyle w:val="Footer"/>
      <w:rPr>
        <w:rFonts w:asciiTheme="majorHAnsi" w:hAnsiTheme="majorHAnsi"/>
        <w:sz w:val="16"/>
        <w:szCs w:val="16"/>
      </w:rPr>
    </w:pPr>
    <w:r w:rsidRPr="00A5726F">
      <w:rPr>
        <w:rFonts w:asciiTheme="majorHAnsi" w:hAnsiTheme="majorHAnsi" w:cs="Arial"/>
        <w:color w:val="263238"/>
        <w:sz w:val="16"/>
        <w:szCs w:val="16"/>
      </w:rPr>
      <w:t>© 2019 PwC. All rights reserved. PwC refers to the PwC network and/or one or more of its member firms, each of which is a separate legal entity. Please see </w:t>
    </w:r>
    <w:hyperlink r:id="rId1" w:tgtFrame="_blank" w:history="1">
      <w:r w:rsidRPr="00A5726F">
        <w:rPr>
          <w:rStyle w:val="Hyperlink"/>
          <w:rFonts w:asciiTheme="majorHAnsi" w:hAnsiTheme="majorHAnsi" w:cs="Arial"/>
          <w:color w:val="263238"/>
          <w:sz w:val="16"/>
          <w:szCs w:val="16"/>
        </w:rPr>
        <w:t>www.pwc.com/structure</w:t>
      </w:r>
    </w:hyperlink>
    <w:r w:rsidRPr="00A5726F">
      <w:rPr>
        <w:rFonts w:asciiTheme="majorHAnsi" w:hAnsiTheme="majorHAnsi" w:cs="Arial"/>
        <w:color w:val="263238"/>
        <w:sz w:val="16"/>
        <w:szCs w:val="16"/>
      </w:rPr>
      <w:t> for further details. This content is for general information purposes only and should not be used as a substitute for consultation with professional advisors.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FEA00" w14:textId="77777777" w:rsidR="00D934BE" w:rsidRDefault="00D934BE" w:rsidP="00A5726F">
      <w:pPr>
        <w:spacing w:after="0" w:line="240" w:lineRule="auto"/>
      </w:pPr>
      <w:r>
        <w:separator/>
      </w:r>
    </w:p>
  </w:footnote>
  <w:footnote w:type="continuationSeparator" w:id="0">
    <w:p w14:paraId="662E62DD" w14:textId="77777777" w:rsidR="00D934BE" w:rsidRDefault="00D934BE" w:rsidP="00A57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EB648" w14:textId="77777777" w:rsidR="00FB579F" w:rsidRDefault="00FB579F">
    <w:pPr>
      <w:pStyle w:val="Header"/>
    </w:pPr>
    <w:bookmarkStart w:id="8" w:name="PrimaryHeader"/>
    <w:bookmarkEnd w:id="8"/>
    <w:r>
      <w:rPr>
        <w:noProof/>
        <w:lang w:val="en-US"/>
      </w:rPr>
      <w:drawing>
        <wp:anchor distT="0" distB="0" distL="114300" distR="114300" simplePos="0" relativeHeight="251659264" behindDoc="0" locked="1" layoutInCell="1" allowOverlap="1" wp14:anchorId="50B9D803" wp14:editId="04A0C5C2">
          <wp:simplePos x="0" y="0"/>
          <wp:positionH relativeFrom="page">
            <wp:posOffset>59055</wp:posOffset>
          </wp:positionH>
          <wp:positionV relativeFrom="page">
            <wp:posOffset>38100</wp:posOffset>
          </wp:positionV>
          <wp:extent cx="1188000" cy="1080000"/>
          <wp:effectExtent l="0" t="0" r="0" b="0"/>
          <wp:wrapNone/>
          <wp:docPr id="36" name="first_page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80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82307"/>
    <w:multiLevelType w:val="hybridMultilevel"/>
    <w:tmpl w:val="038A0B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DE12A2E"/>
    <w:multiLevelType w:val="hybridMultilevel"/>
    <w:tmpl w:val="D034E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A4E2B13"/>
    <w:multiLevelType w:val="hybridMultilevel"/>
    <w:tmpl w:val="7DFA50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6F"/>
    <w:rsid w:val="0003712B"/>
    <w:rsid w:val="0009414C"/>
    <w:rsid w:val="000B4CAD"/>
    <w:rsid w:val="000C1B12"/>
    <w:rsid w:val="0010604B"/>
    <w:rsid w:val="00133515"/>
    <w:rsid w:val="00185405"/>
    <w:rsid w:val="001A2459"/>
    <w:rsid w:val="002653ED"/>
    <w:rsid w:val="002B1AA1"/>
    <w:rsid w:val="002E6430"/>
    <w:rsid w:val="00347168"/>
    <w:rsid w:val="00352FF9"/>
    <w:rsid w:val="003B2536"/>
    <w:rsid w:val="003B2BFE"/>
    <w:rsid w:val="003C48F8"/>
    <w:rsid w:val="003C6D4E"/>
    <w:rsid w:val="00411B8C"/>
    <w:rsid w:val="00487CA7"/>
    <w:rsid w:val="004B3D04"/>
    <w:rsid w:val="00541CBF"/>
    <w:rsid w:val="005575E4"/>
    <w:rsid w:val="00564140"/>
    <w:rsid w:val="00621AE0"/>
    <w:rsid w:val="006422BB"/>
    <w:rsid w:val="006608E5"/>
    <w:rsid w:val="006631BA"/>
    <w:rsid w:val="006652BF"/>
    <w:rsid w:val="006957FB"/>
    <w:rsid w:val="007457A7"/>
    <w:rsid w:val="007552DE"/>
    <w:rsid w:val="007960C9"/>
    <w:rsid w:val="007A5916"/>
    <w:rsid w:val="007D547E"/>
    <w:rsid w:val="00805811"/>
    <w:rsid w:val="00815BE4"/>
    <w:rsid w:val="00845046"/>
    <w:rsid w:val="008B5C62"/>
    <w:rsid w:val="00974ED6"/>
    <w:rsid w:val="00991023"/>
    <w:rsid w:val="009B64FB"/>
    <w:rsid w:val="00A164D7"/>
    <w:rsid w:val="00A52B04"/>
    <w:rsid w:val="00A5726F"/>
    <w:rsid w:val="00AF2F64"/>
    <w:rsid w:val="00AF524C"/>
    <w:rsid w:val="00B50DBA"/>
    <w:rsid w:val="00B62E80"/>
    <w:rsid w:val="00B74858"/>
    <w:rsid w:val="00D934BE"/>
    <w:rsid w:val="00D94374"/>
    <w:rsid w:val="00DA5D45"/>
    <w:rsid w:val="00DC04FC"/>
    <w:rsid w:val="00EC30BE"/>
    <w:rsid w:val="00F41826"/>
    <w:rsid w:val="00F57BB3"/>
    <w:rsid w:val="00F66F02"/>
    <w:rsid w:val="00F76C6E"/>
    <w:rsid w:val="00FB579F"/>
    <w:rsid w:val="00FB64FC"/>
    <w:rsid w:val="00FD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B6E89"/>
  <w15:chartTrackingRefBased/>
  <w15:docId w15:val="{36076767-5117-44C6-9B2F-FFAACFC5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26F"/>
    <w:rPr>
      <w:lang w:val="en-ZA"/>
    </w:rPr>
  </w:style>
  <w:style w:type="paragraph" w:styleId="Footer">
    <w:name w:val="footer"/>
    <w:basedOn w:val="Normal"/>
    <w:link w:val="FooterChar"/>
    <w:uiPriority w:val="99"/>
    <w:unhideWhenUsed/>
    <w:rsid w:val="00A57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26F"/>
    <w:rPr>
      <w:lang w:val="en-ZA"/>
    </w:rPr>
  </w:style>
  <w:style w:type="character" w:styleId="Hyperlink">
    <w:name w:val="Hyperlink"/>
    <w:basedOn w:val="DefaultParagraphFont"/>
    <w:uiPriority w:val="99"/>
    <w:semiHidden/>
    <w:unhideWhenUsed/>
    <w:rsid w:val="00A5726F"/>
    <w:rPr>
      <w:color w:val="0000FF"/>
      <w:u w:val="single"/>
    </w:rPr>
  </w:style>
  <w:style w:type="paragraph" w:styleId="ListParagraph">
    <w:name w:val="List Paragraph"/>
    <w:basedOn w:val="Normal"/>
    <w:uiPriority w:val="34"/>
    <w:qFormat/>
    <w:rsid w:val="00A5726F"/>
    <w:pPr>
      <w:spacing w:line="256" w:lineRule="auto"/>
      <w:ind w:left="720"/>
      <w:contextualSpacing/>
    </w:pPr>
  </w:style>
  <w:style w:type="paragraph" w:styleId="BalloonText">
    <w:name w:val="Balloon Text"/>
    <w:basedOn w:val="Normal"/>
    <w:link w:val="BalloonTextChar"/>
    <w:uiPriority w:val="99"/>
    <w:semiHidden/>
    <w:unhideWhenUsed/>
    <w:rsid w:val="00FB5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79F"/>
    <w:rPr>
      <w:rFonts w:ascii="Segoe UI" w:hAnsi="Segoe UI" w:cs="Segoe UI"/>
      <w:sz w:val="18"/>
      <w:szCs w:val="18"/>
      <w:lang w:val="en-ZA"/>
    </w:rPr>
  </w:style>
  <w:style w:type="table" w:styleId="TableGrid">
    <w:name w:val="Table Grid"/>
    <w:basedOn w:val="TableNormal"/>
    <w:uiPriority w:val="39"/>
    <w:rsid w:val="0035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52F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2FF9"/>
    <w:rPr>
      <w:sz w:val="20"/>
      <w:szCs w:val="20"/>
      <w:lang w:val="en-ZA"/>
    </w:rPr>
  </w:style>
  <w:style w:type="character" w:styleId="FootnoteReference">
    <w:name w:val="footnote reference"/>
    <w:basedOn w:val="DefaultParagraphFont"/>
    <w:uiPriority w:val="99"/>
    <w:semiHidden/>
    <w:unhideWhenUsed/>
    <w:rsid w:val="00352FF9"/>
    <w:rPr>
      <w:vertAlign w:val="superscript"/>
    </w:rPr>
  </w:style>
  <w:style w:type="character" w:styleId="CommentReference">
    <w:name w:val="annotation reference"/>
    <w:basedOn w:val="DefaultParagraphFont"/>
    <w:uiPriority w:val="99"/>
    <w:semiHidden/>
    <w:unhideWhenUsed/>
    <w:rsid w:val="00B50DBA"/>
    <w:rPr>
      <w:sz w:val="16"/>
      <w:szCs w:val="16"/>
    </w:rPr>
  </w:style>
  <w:style w:type="paragraph" w:styleId="CommentText">
    <w:name w:val="annotation text"/>
    <w:basedOn w:val="Normal"/>
    <w:link w:val="CommentTextChar"/>
    <w:uiPriority w:val="99"/>
    <w:semiHidden/>
    <w:unhideWhenUsed/>
    <w:rsid w:val="00B50DBA"/>
    <w:pPr>
      <w:spacing w:line="240" w:lineRule="auto"/>
    </w:pPr>
    <w:rPr>
      <w:sz w:val="20"/>
      <w:szCs w:val="20"/>
    </w:rPr>
  </w:style>
  <w:style w:type="character" w:customStyle="1" w:styleId="CommentTextChar">
    <w:name w:val="Comment Text Char"/>
    <w:basedOn w:val="DefaultParagraphFont"/>
    <w:link w:val="CommentText"/>
    <w:uiPriority w:val="99"/>
    <w:semiHidden/>
    <w:rsid w:val="00B50DBA"/>
    <w:rPr>
      <w:sz w:val="20"/>
      <w:szCs w:val="20"/>
      <w:lang w:val="en-ZA"/>
    </w:rPr>
  </w:style>
  <w:style w:type="paragraph" w:styleId="CommentSubject">
    <w:name w:val="annotation subject"/>
    <w:basedOn w:val="CommentText"/>
    <w:next w:val="CommentText"/>
    <w:link w:val="CommentSubjectChar"/>
    <w:uiPriority w:val="99"/>
    <w:semiHidden/>
    <w:unhideWhenUsed/>
    <w:rsid w:val="00B50DBA"/>
    <w:rPr>
      <w:b/>
      <w:bCs/>
    </w:rPr>
  </w:style>
  <w:style w:type="character" w:customStyle="1" w:styleId="CommentSubjectChar">
    <w:name w:val="Comment Subject Char"/>
    <w:basedOn w:val="CommentTextChar"/>
    <w:link w:val="CommentSubject"/>
    <w:uiPriority w:val="99"/>
    <w:semiHidden/>
    <w:rsid w:val="00B50DBA"/>
    <w:rPr>
      <w:b/>
      <w:bCs/>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384064">
      <w:bodyDiv w:val="1"/>
      <w:marLeft w:val="0"/>
      <w:marRight w:val="0"/>
      <w:marTop w:val="0"/>
      <w:marBottom w:val="0"/>
      <w:divBdr>
        <w:top w:val="none" w:sz="0" w:space="0" w:color="auto"/>
        <w:left w:val="none" w:sz="0" w:space="0" w:color="auto"/>
        <w:bottom w:val="none" w:sz="0" w:space="0" w:color="auto"/>
        <w:right w:val="none" w:sz="0" w:space="0" w:color="auto"/>
      </w:divBdr>
    </w:div>
    <w:div w:id="18499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s>
</file>

<file path=word/_rels/footer1.xml.rels><?xml version="1.0" encoding="UTF-8" standalone="yes"?>
<Relationships xmlns="http://schemas.openxmlformats.org/package/2006/relationships"><Relationship Id="rId1" Type="http://schemas.openxmlformats.org/officeDocument/2006/relationships/hyperlink" Target="https://www.google.com/url?q=http://www.pwc.com/structure&amp;sa=D&amp;source=hangouts&amp;ust=1542185495358000&amp;usg=AFQjCNHDraIMDDg3ighG5MApYtk1yyhHG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cviljoen003\Desktop\Junk\Book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viljoen003\Desktop\Junk\Book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viljoen003\Desktop\Junk\Book4.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Growth!$B$5</c:f>
              <c:strCache>
                <c:ptCount val="1"/>
                <c:pt idx="0">
                  <c:v>Budget 2019</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j-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Growth!$C$4:$H$4</c:f>
              <c:strCache>
                <c:ptCount val="6"/>
                <c:pt idx="0">
                  <c:v>2017</c:v>
                </c:pt>
                <c:pt idx="1">
                  <c:v>2018e</c:v>
                </c:pt>
                <c:pt idx="2">
                  <c:v>2019f</c:v>
                </c:pt>
                <c:pt idx="3">
                  <c:v>2020f</c:v>
                </c:pt>
                <c:pt idx="4">
                  <c:v>2021f</c:v>
                </c:pt>
                <c:pt idx="5">
                  <c:v>2022f</c:v>
                </c:pt>
              </c:strCache>
            </c:strRef>
          </c:cat>
          <c:val>
            <c:numRef>
              <c:f>Growth!$C$5:$H$5</c:f>
              <c:numCache>
                <c:formatCode>General</c:formatCode>
                <c:ptCount val="6"/>
                <c:pt idx="0">
                  <c:v>1.3</c:v>
                </c:pt>
                <c:pt idx="1">
                  <c:v>0.7</c:v>
                </c:pt>
                <c:pt idx="2">
                  <c:v>1.5</c:v>
                </c:pt>
                <c:pt idx="3">
                  <c:v>1.7</c:v>
                </c:pt>
                <c:pt idx="4">
                  <c:v>2.1</c:v>
                </c:pt>
              </c:numCache>
            </c:numRef>
          </c:val>
          <c:smooth val="0"/>
          <c:extLst>
            <c:ext xmlns:c16="http://schemas.microsoft.com/office/drawing/2014/chart" uri="{C3380CC4-5D6E-409C-BE32-E72D297353CC}">
              <c16:uniqueId val="{00000000-018B-47A2-96DE-525722DCA129}"/>
            </c:ext>
          </c:extLst>
        </c:ser>
        <c:ser>
          <c:idx val="1"/>
          <c:order val="1"/>
          <c:tx>
            <c:strRef>
              <c:f>Growth!$B$6</c:f>
              <c:strCache>
                <c:ptCount val="1"/>
                <c:pt idx="0">
                  <c:v>SARB September 2019</c:v>
                </c:pt>
              </c:strCache>
            </c:strRef>
          </c:tx>
          <c:spPr>
            <a:ln w="28575" cap="rnd">
              <a:solidFill>
                <a:schemeClr val="accent2"/>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6-018B-47A2-96DE-525722DCA129}"/>
                </c:ext>
              </c:extLst>
            </c:dLbl>
            <c:dLbl>
              <c:idx val="2"/>
              <c:layout>
                <c:manualLayout>
                  <c:x val="-3.6480686695278972E-2"/>
                  <c:y val="-5.75539568345323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18B-47A2-96DE-525722DCA129}"/>
                </c:ext>
              </c:extLst>
            </c:dLbl>
            <c:dLbl>
              <c:idx val="3"/>
              <c:layout>
                <c:manualLayout>
                  <c:x val="-1.7167381974248927E-2"/>
                  <c:y val="2.15827338129496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8B-47A2-96DE-525722DCA129}"/>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Growth!$C$4:$H$4</c:f>
              <c:strCache>
                <c:ptCount val="6"/>
                <c:pt idx="0">
                  <c:v>2017</c:v>
                </c:pt>
                <c:pt idx="1">
                  <c:v>2018e</c:v>
                </c:pt>
                <c:pt idx="2">
                  <c:v>2019f</c:v>
                </c:pt>
                <c:pt idx="3">
                  <c:v>2020f</c:v>
                </c:pt>
                <c:pt idx="4">
                  <c:v>2021f</c:v>
                </c:pt>
                <c:pt idx="5">
                  <c:v>2022f</c:v>
                </c:pt>
              </c:strCache>
            </c:strRef>
          </c:cat>
          <c:val>
            <c:numRef>
              <c:f>Growth!$C$6:$H$6</c:f>
              <c:numCache>
                <c:formatCode>General</c:formatCode>
                <c:ptCount val="6"/>
                <c:pt idx="0">
                  <c:v>1.4</c:v>
                </c:pt>
                <c:pt idx="1">
                  <c:v>0.8</c:v>
                </c:pt>
                <c:pt idx="2">
                  <c:v>0.6</c:v>
                </c:pt>
                <c:pt idx="3">
                  <c:v>1.5</c:v>
                </c:pt>
                <c:pt idx="4">
                  <c:v>1.8</c:v>
                </c:pt>
              </c:numCache>
            </c:numRef>
          </c:val>
          <c:smooth val="0"/>
          <c:extLst>
            <c:ext xmlns:c16="http://schemas.microsoft.com/office/drawing/2014/chart" uri="{C3380CC4-5D6E-409C-BE32-E72D297353CC}">
              <c16:uniqueId val="{00000001-018B-47A2-96DE-525722DCA129}"/>
            </c:ext>
          </c:extLst>
        </c:ser>
        <c:ser>
          <c:idx val="2"/>
          <c:order val="2"/>
          <c:tx>
            <c:strRef>
              <c:f>Growth!$B$7</c:f>
              <c:strCache>
                <c:ptCount val="1"/>
                <c:pt idx="0">
                  <c:v>MTBPS 2019</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j-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Growth!$C$4:$H$4</c:f>
              <c:strCache>
                <c:ptCount val="6"/>
                <c:pt idx="0">
                  <c:v>2017</c:v>
                </c:pt>
                <c:pt idx="1">
                  <c:v>2018e</c:v>
                </c:pt>
                <c:pt idx="2">
                  <c:v>2019f</c:v>
                </c:pt>
                <c:pt idx="3">
                  <c:v>2020f</c:v>
                </c:pt>
                <c:pt idx="4">
                  <c:v>2021f</c:v>
                </c:pt>
                <c:pt idx="5">
                  <c:v>2022f</c:v>
                </c:pt>
              </c:strCache>
            </c:strRef>
          </c:cat>
          <c:val>
            <c:numRef>
              <c:f>Growth!$C$7:$H$7</c:f>
              <c:numCache>
                <c:formatCode>General</c:formatCode>
                <c:ptCount val="6"/>
                <c:pt idx="0">
                  <c:v>1.4</c:v>
                </c:pt>
                <c:pt idx="1">
                  <c:v>0.8</c:v>
                </c:pt>
                <c:pt idx="2">
                  <c:v>0.5</c:v>
                </c:pt>
                <c:pt idx="3">
                  <c:v>1.2</c:v>
                </c:pt>
                <c:pt idx="4">
                  <c:v>1.6</c:v>
                </c:pt>
                <c:pt idx="5">
                  <c:v>1.7</c:v>
                </c:pt>
              </c:numCache>
            </c:numRef>
          </c:val>
          <c:smooth val="0"/>
          <c:extLst>
            <c:ext xmlns:c16="http://schemas.microsoft.com/office/drawing/2014/chart" uri="{C3380CC4-5D6E-409C-BE32-E72D297353CC}">
              <c16:uniqueId val="{00000002-018B-47A2-96DE-525722DCA129}"/>
            </c:ext>
          </c:extLst>
        </c:ser>
        <c:dLbls>
          <c:showLegendKey val="0"/>
          <c:showVal val="0"/>
          <c:showCatName val="0"/>
          <c:showSerName val="0"/>
          <c:showPercent val="0"/>
          <c:showBubbleSize val="0"/>
        </c:dLbls>
        <c:smooth val="0"/>
        <c:axId val="10632767"/>
        <c:axId val="177897423"/>
      </c:lineChart>
      <c:catAx>
        <c:axId val="10632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177897423"/>
        <c:crosses val="autoZero"/>
        <c:auto val="1"/>
        <c:lblAlgn val="ctr"/>
        <c:lblOffset val="100"/>
        <c:noMultiLvlLbl val="0"/>
      </c:catAx>
      <c:valAx>
        <c:axId val="17789742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106327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j-l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Deficit!$C$6</c:f>
              <c:strCache>
                <c:ptCount val="1"/>
                <c:pt idx="0">
                  <c:v>MTBPS 2018</c:v>
                </c:pt>
              </c:strCache>
            </c:strRef>
          </c:tx>
          <c:spPr>
            <a:ln w="28575" cap="rnd">
              <a:solidFill>
                <a:schemeClr val="accent1"/>
              </a:solidFill>
              <a:round/>
            </a:ln>
            <a:effectLst/>
          </c:spPr>
          <c:marker>
            <c:symbol val="none"/>
          </c:marker>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j-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Deficit!$D$5:$I$5</c:f>
              <c:strCache>
                <c:ptCount val="6"/>
                <c:pt idx="0">
                  <c:v>2017/18</c:v>
                </c:pt>
                <c:pt idx="1">
                  <c:v>2018/19</c:v>
                </c:pt>
                <c:pt idx="2">
                  <c:v>2019/20f</c:v>
                </c:pt>
                <c:pt idx="3">
                  <c:v>2020/21f</c:v>
                </c:pt>
                <c:pt idx="4">
                  <c:v>2021/22f</c:v>
                </c:pt>
                <c:pt idx="5">
                  <c:v>2022/23f</c:v>
                </c:pt>
              </c:strCache>
            </c:strRef>
          </c:cat>
          <c:val>
            <c:numRef>
              <c:f>Deficit!$D$6:$I$6</c:f>
              <c:numCache>
                <c:formatCode>General</c:formatCode>
                <c:ptCount val="6"/>
                <c:pt idx="0">
                  <c:v>-4</c:v>
                </c:pt>
                <c:pt idx="1">
                  <c:v>-4</c:v>
                </c:pt>
                <c:pt idx="2">
                  <c:v>-4.2</c:v>
                </c:pt>
                <c:pt idx="3">
                  <c:v>-4.2</c:v>
                </c:pt>
                <c:pt idx="4">
                  <c:v>-4</c:v>
                </c:pt>
              </c:numCache>
            </c:numRef>
          </c:val>
          <c:smooth val="0"/>
          <c:extLst>
            <c:ext xmlns:c16="http://schemas.microsoft.com/office/drawing/2014/chart" uri="{C3380CC4-5D6E-409C-BE32-E72D297353CC}">
              <c16:uniqueId val="{00000001-2F9C-4B18-98D7-6FDE2773E289}"/>
            </c:ext>
          </c:extLst>
        </c:ser>
        <c:ser>
          <c:idx val="1"/>
          <c:order val="1"/>
          <c:tx>
            <c:strRef>
              <c:f>Deficit!$C$7</c:f>
              <c:strCache>
                <c:ptCount val="1"/>
                <c:pt idx="0">
                  <c:v>Budget 2019</c:v>
                </c:pt>
              </c:strCache>
            </c:strRef>
          </c:tx>
          <c:spPr>
            <a:ln w="28575" cap="rnd">
              <a:solidFill>
                <a:schemeClr val="accent2"/>
              </a:solidFill>
              <a:round/>
            </a:ln>
            <a:effectLst/>
          </c:spPr>
          <c:marker>
            <c:symbol val="none"/>
          </c:marker>
          <c:dLbls>
            <c:dLbl>
              <c:idx val="1"/>
              <c:layout>
                <c:manualLayout>
                  <c:x val="-3.3010539303190929E-2"/>
                  <c:y val="7.7003638603854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F9C-4B18-98D7-6FDE2773E289}"/>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j-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cat>
            <c:strRef>
              <c:f>Deficit!$D$5:$I$5</c:f>
              <c:strCache>
                <c:ptCount val="6"/>
                <c:pt idx="0">
                  <c:v>2017/18</c:v>
                </c:pt>
                <c:pt idx="1">
                  <c:v>2018/19</c:v>
                </c:pt>
                <c:pt idx="2">
                  <c:v>2019/20f</c:v>
                </c:pt>
                <c:pt idx="3">
                  <c:v>2020/21f</c:v>
                </c:pt>
                <c:pt idx="4">
                  <c:v>2021/22f</c:v>
                </c:pt>
                <c:pt idx="5">
                  <c:v>2022/23f</c:v>
                </c:pt>
              </c:strCache>
            </c:strRef>
          </c:cat>
          <c:val>
            <c:numRef>
              <c:f>Deficit!$D$7:$I$7</c:f>
              <c:numCache>
                <c:formatCode>General</c:formatCode>
                <c:ptCount val="6"/>
                <c:pt idx="0">
                  <c:v>-4</c:v>
                </c:pt>
                <c:pt idx="1">
                  <c:v>-4.2</c:v>
                </c:pt>
                <c:pt idx="2">
                  <c:v>-4.5</c:v>
                </c:pt>
                <c:pt idx="3">
                  <c:v>-4.3</c:v>
                </c:pt>
                <c:pt idx="4">
                  <c:v>-4</c:v>
                </c:pt>
              </c:numCache>
            </c:numRef>
          </c:val>
          <c:smooth val="0"/>
          <c:extLst>
            <c:ext xmlns:c16="http://schemas.microsoft.com/office/drawing/2014/chart" uri="{C3380CC4-5D6E-409C-BE32-E72D297353CC}">
              <c16:uniqueId val="{00000002-2F9C-4B18-98D7-6FDE2773E289}"/>
            </c:ext>
          </c:extLst>
        </c:ser>
        <c:ser>
          <c:idx val="2"/>
          <c:order val="2"/>
          <c:tx>
            <c:strRef>
              <c:f>Deficit!$C$8</c:f>
              <c:strCache>
                <c:ptCount val="1"/>
                <c:pt idx="0">
                  <c:v>MTBPS 2019</c:v>
                </c:pt>
              </c:strCache>
            </c:strRef>
          </c:tx>
          <c:spPr>
            <a:ln w="28575" cap="rnd">
              <a:solidFill>
                <a:schemeClr val="accent3"/>
              </a:solidFill>
              <a:round/>
            </a:ln>
            <a:effectLst/>
          </c:spPr>
          <c:marker>
            <c:symbol val="none"/>
          </c:marker>
          <c:dLbls>
            <c:dLbl>
              <c:idx val="1"/>
              <c:layout>
                <c:manualLayout>
                  <c:x val="-6.2615509280363912E-2"/>
                  <c:y val="2.49790903276454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9C-4B18-98D7-6FDE2773E289}"/>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j-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Deficit!$D$5:$I$5</c:f>
              <c:strCache>
                <c:ptCount val="6"/>
                <c:pt idx="0">
                  <c:v>2017/18</c:v>
                </c:pt>
                <c:pt idx="1">
                  <c:v>2018/19</c:v>
                </c:pt>
                <c:pt idx="2">
                  <c:v>2019/20f</c:v>
                </c:pt>
                <c:pt idx="3">
                  <c:v>2020/21f</c:v>
                </c:pt>
                <c:pt idx="4">
                  <c:v>2021/22f</c:v>
                </c:pt>
                <c:pt idx="5">
                  <c:v>2022/23f</c:v>
                </c:pt>
              </c:strCache>
            </c:strRef>
          </c:cat>
          <c:val>
            <c:numRef>
              <c:f>Deficit!$D$8:$I$8</c:f>
              <c:numCache>
                <c:formatCode>General</c:formatCode>
                <c:ptCount val="6"/>
                <c:pt idx="1">
                  <c:v>-4.2</c:v>
                </c:pt>
                <c:pt idx="2">
                  <c:v>-5.9</c:v>
                </c:pt>
                <c:pt idx="3">
                  <c:v>-6.5</c:v>
                </c:pt>
                <c:pt idx="4">
                  <c:v>-6.2</c:v>
                </c:pt>
                <c:pt idx="5">
                  <c:v>-5.9</c:v>
                </c:pt>
              </c:numCache>
            </c:numRef>
          </c:val>
          <c:smooth val="0"/>
          <c:extLst>
            <c:ext xmlns:c16="http://schemas.microsoft.com/office/drawing/2014/chart" uri="{C3380CC4-5D6E-409C-BE32-E72D297353CC}">
              <c16:uniqueId val="{00000004-2F9C-4B18-98D7-6FDE2773E289}"/>
            </c:ext>
          </c:extLst>
        </c:ser>
        <c:dLbls>
          <c:showLegendKey val="0"/>
          <c:showVal val="0"/>
          <c:showCatName val="0"/>
          <c:showSerName val="0"/>
          <c:showPercent val="0"/>
          <c:showBubbleSize val="0"/>
        </c:dLbls>
        <c:smooth val="0"/>
        <c:axId val="964060431"/>
        <c:axId val="832155967"/>
      </c:lineChart>
      <c:catAx>
        <c:axId val="964060431"/>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832155967"/>
        <c:crosses val="autoZero"/>
        <c:auto val="1"/>
        <c:lblAlgn val="ctr"/>
        <c:lblOffset val="100"/>
        <c:noMultiLvlLbl val="0"/>
      </c:catAx>
      <c:valAx>
        <c:axId val="832155967"/>
        <c:scaling>
          <c:orientation val="minMax"/>
          <c:max val="-3"/>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964060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j-lt"/>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Debt!$C$8</c:f>
              <c:strCache>
                <c:ptCount val="1"/>
                <c:pt idx="0">
                  <c:v>Budget 2019</c:v>
                </c:pt>
              </c:strCache>
            </c:strRef>
          </c:tx>
          <c:spPr>
            <a:ln w="28575" cap="rnd">
              <a:solidFill>
                <a:schemeClr val="accent1"/>
              </a:solidFill>
              <a:round/>
            </a:ln>
            <a:effectLst/>
          </c:spPr>
          <c:marker>
            <c:symbol val="none"/>
          </c:marker>
          <c:dLbls>
            <c:dLbl>
              <c:idx val="0"/>
              <c:layout>
                <c:manualLayout>
                  <c:x val="-3.6957876250049537E-2"/>
                  <c:y val="5.50609996483863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961-4618-92D6-35FA3CD6F771}"/>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j-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Debt!$D$7:$I$7</c:f>
              <c:strCache>
                <c:ptCount val="6"/>
                <c:pt idx="0">
                  <c:v>2017/18</c:v>
                </c:pt>
                <c:pt idx="1">
                  <c:v>2018/19</c:v>
                </c:pt>
                <c:pt idx="2">
                  <c:v>2019/20f</c:v>
                </c:pt>
                <c:pt idx="3">
                  <c:v>2020/21f</c:v>
                </c:pt>
                <c:pt idx="4">
                  <c:v>2021/22f</c:v>
                </c:pt>
                <c:pt idx="5">
                  <c:v>2022/23f</c:v>
                </c:pt>
              </c:strCache>
            </c:strRef>
          </c:cat>
          <c:val>
            <c:numRef>
              <c:f>Debt!$D$8:$I$8</c:f>
              <c:numCache>
                <c:formatCode>General</c:formatCode>
                <c:ptCount val="6"/>
                <c:pt idx="0">
                  <c:v>52.7</c:v>
                </c:pt>
                <c:pt idx="1">
                  <c:v>55.6</c:v>
                </c:pt>
                <c:pt idx="2">
                  <c:v>56.2</c:v>
                </c:pt>
                <c:pt idx="3">
                  <c:v>57.8</c:v>
                </c:pt>
                <c:pt idx="4">
                  <c:v>58.9</c:v>
                </c:pt>
              </c:numCache>
            </c:numRef>
          </c:val>
          <c:smooth val="0"/>
          <c:extLst>
            <c:ext xmlns:c16="http://schemas.microsoft.com/office/drawing/2014/chart" uri="{C3380CC4-5D6E-409C-BE32-E72D297353CC}">
              <c16:uniqueId val="{00000000-4961-4618-92D6-35FA3CD6F771}"/>
            </c:ext>
          </c:extLst>
        </c:ser>
        <c:ser>
          <c:idx val="1"/>
          <c:order val="1"/>
          <c:tx>
            <c:strRef>
              <c:f>Debt!$C$9</c:f>
              <c:strCache>
                <c:ptCount val="1"/>
                <c:pt idx="0">
                  <c:v>MTBPS 2019</c:v>
                </c:pt>
              </c:strCache>
            </c:strRef>
          </c:tx>
          <c:spPr>
            <a:ln w="28575" cap="rnd">
              <a:solidFill>
                <a:schemeClr val="accent2"/>
              </a:solidFill>
              <a:round/>
            </a:ln>
            <a:effectLst/>
          </c:spPr>
          <c:marker>
            <c:symbol val="none"/>
          </c:marker>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j-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Debt!$D$7:$I$7</c:f>
              <c:strCache>
                <c:ptCount val="6"/>
                <c:pt idx="0">
                  <c:v>2017/18</c:v>
                </c:pt>
                <c:pt idx="1">
                  <c:v>2018/19</c:v>
                </c:pt>
                <c:pt idx="2">
                  <c:v>2019/20f</c:v>
                </c:pt>
                <c:pt idx="3">
                  <c:v>2020/21f</c:v>
                </c:pt>
                <c:pt idx="4">
                  <c:v>2021/22f</c:v>
                </c:pt>
                <c:pt idx="5">
                  <c:v>2022/23f</c:v>
                </c:pt>
              </c:strCache>
            </c:strRef>
          </c:cat>
          <c:val>
            <c:numRef>
              <c:f>Debt!$D$9:$I$9</c:f>
              <c:numCache>
                <c:formatCode>0.00</c:formatCode>
                <c:ptCount val="6"/>
                <c:pt idx="0" formatCode="General">
                  <c:v>52.7</c:v>
                </c:pt>
                <c:pt idx="1">
                  <c:v>56.7</c:v>
                </c:pt>
                <c:pt idx="2">
                  <c:v>60.8</c:v>
                </c:pt>
                <c:pt idx="3">
                  <c:v>64.900000000000006</c:v>
                </c:pt>
                <c:pt idx="4">
                  <c:v>68.5</c:v>
                </c:pt>
                <c:pt idx="5">
                  <c:v>71.3</c:v>
                </c:pt>
              </c:numCache>
            </c:numRef>
          </c:val>
          <c:smooth val="0"/>
          <c:extLst>
            <c:ext xmlns:c16="http://schemas.microsoft.com/office/drawing/2014/chart" uri="{C3380CC4-5D6E-409C-BE32-E72D297353CC}">
              <c16:uniqueId val="{00000001-4961-4618-92D6-35FA3CD6F771}"/>
            </c:ext>
          </c:extLst>
        </c:ser>
        <c:dLbls>
          <c:showLegendKey val="0"/>
          <c:showVal val="0"/>
          <c:showCatName val="0"/>
          <c:showSerName val="0"/>
          <c:showPercent val="0"/>
          <c:showBubbleSize val="0"/>
        </c:dLbls>
        <c:smooth val="0"/>
        <c:axId val="388206719"/>
        <c:axId val="832143487"/>
      </c:lineChart>
      <c:catAx>
        <c:axId val="388206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832143487"/>
        <c:crosses val="autoZero"/>
        <c:auto val="1"/>
        <c:lblAlgn val="ctr"/>
        <c:lblOffset val="100"/>
        <c:noMultiLvlLbl val="0"/>
      </c:catAx>
      <c:valAx>
        <c:axId val="832143487"/>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3882067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j-l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EF93-5B83-46D7-A4FB-6EF3D632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2503</Words>
  <Characters>14271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Viljoen</dc:creator>
  <cp:keywords/>
  <dc:description/>
  <cp:lastModifiedBy>Alison Sharp</cp:lastModifiedBy>
  <cp:revision>3</cp:revision>
  <dcterms:created xsi:type="dcterms:W3CDTF">2019-10-30T12:52:00Z</dcterms:created>
  <dcterms:modified xsi:type="dcterms:W3CDTF">2019-10-30T12:59:00Z</dcterms:modified>
</cp:coreProperties>
</file>