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41762" w14:textId="08CF5B97" w:rsidR="00382ADA" w:rsidRDefault="00281835" w:rsidP="00A422C0">
      <w:pPr>
        <w:spacing w:after="360"/>
      </w:pPr>
      <w:r w:rsidRPr="00281835">
        <w:rPr>
          <w:noProof/>
        </w:rPr>
        <mc:AlternateContent>
          <mc:Choice Requires="wps">
            <w:drawing>
              <wp:anchor distT="0" distB="0" distL="114300" distR="114300" simplePos="0" relativeHeight="251683840" behindDoc="0" locked="0" layoutInCell="1" allowOverlap="1" wp14:anchorId="0D5126C6" wp14:editId="01EA22E0">
                <wp:simplePos x="0" y="0"/>
                <wp:positionH relativeFrom="column">
                  <wp:posOffset>37465</wp:posOffset>
                </wp:positionH>
                <wp:positionV relativeFrom="paragraph">
                  <wp:posOffset>24765</wp:posOffset>
                </wp:positionV>
                <wp:extent cx="4034790" cy="895350"/>
                <wp:effectExtent l="0" t="0" r="0" b="0"/>
                <wp:wrapNone/>
                <wp:docPr id="9" name="Tit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34790" cy="895350"/>
                        </a:xfrm>
                        <a:prstGeom prst="rect">
                          <a:avLst/>
                        </a:prstGeom>
                        <a:noFill/>
                        <a:ln>
                          <a:noFill/>
                        </a:ln>
                      </wps:spPr>
                      <wps:txbx>
                        <w:txbxContent>
                          <w:p w14:paraId="4A219302" w14:textId="396074C0" w:rsidR="00281835" w:rsidRPr="00281835" w:rsidRDefault="00281835" w:rsidP="00281835">
                            <w:pPr>
                              <w:ind w:left="115"/>
                              <w:rPr>
                                <w:rFonts w:ascii="Arial" w:eastAsia="Verdana" w:hAnsi="Arial" w:cs="Arial"/>
                                <w:b/>
                                <w:bCs/>
                                <w:color w:val="FFFFFF" w:themeColor="background1"/>
                                <w:kern w:val="24"/>
                                <w:sz w:val="72"/>
                                <w:szCs w:val="72"/>
                                <w:lang w:val="en-US"/>
                              </w:rPr>
                            </w:pPr>
                            <w:r w:rsidRPr="00281835">
                              <w:rPr>
                                <w:rFonts w:ascii="Arial" w:eastAsia="Verdana" w:hAnsi="Arial" w:cs="Arial"/>
                                <w:b/>
                                <w:bCs/>
                                <w:color w:val="FFFFFF" w:themeColor="background1"/>
                                <w:kern w:val="24"/>
                                <w:sz w:val="72"/>
                                <w:szCs w:val="72"/>
                                <w:lang w:val="en-US"/>
                              </w:rPr>
                              <w:t>etfSA.co.za</w:t>
                            </w:r>
                            <w:r w:rsidRPr="00281835">
                              <w:rPr>
                                <w:rFonts w:ascii="Arial" w:eastAsia="Verdana" w:hAnsi="Arial" w:cs="Arial"/>
                                <w:b/>
                                <w:bCs/>
                                <w:color w:val="FFFFFF" w:themeColor="background1"/>
                                <w:kern w:val="24"/>
                                <w:sz w:val="72"/>
                                <w:szCs w:val="72"/>
                                <w:lang w:val="en-US"/>
                              </w:rPr>
                              <w:tab/>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shapetype w14:anchorId="0D5126C6" id="_x0000_t202" coordsize="21600,21600" o:spt="202" path="m,l,21600r21600,l21600,xe">
                <v:stroke joinstyle="miter"/>
                <v:path gradientshapeok="t" o:connecttype="rect"/>
              </v:shapetype>
              <v:shape id="Title 1" o:spid="_x0000_s1026" type="#_x0000_t202" style="position:absolute;margin-left:2.95pt;margin-top:1.95pt;width:317.7pt;height:7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" filled="f" stroked="f">
                <v:textbox>
                  <w:txbxContent>
                    <w:p w14:paraId="4A219302" w14:textId="396074C0" w:rsidR="00281835" w:rsidRPr="00281835" w:rsidRDefault="00281835" w:rsidP="00281835">
                      <w:pPr>
                        <w:ind w:left="115"/>
                        <w:rPr>
                          <w:rFonts w:ascii="Arial" w:eastAsia="Verdana" w:hAnsi="Arial" w:cs="Arial"/>
                          <w:b/>
                          <w:bCs/>
                          <w:color w:val="FFFFFF" w:themeColor="background1"/>
                          <w:kern w:val="24"/>
                          <w:sz w:val="72"/>
                          <w:szCs w:val="72"/>
                          <w:lang w:val="en-US"/>
                        </w:rPr>
                      </w:pPr>
                      <w:r w:rsidRPr="00281835">
                        <w:rPr>
                          <w:rFonts w:ascii="Arial" w:eastAsia="Verdana" w:hAnsi="Arial" w:cs="Arial"/>
                          <w:b/>
                          <w:bCs/>
                          <w:color w:val="FFFFFF" w:themeColor="background1"/>
                          <w:kern w:val="24"/>
                          <w:sz w:val="72"/>
                          <w:szCs w:val="72"/>
                          <w:lang w:val="en-US"/>
                        </w:rPr>
                        <w:t>etfSA.co.za</w:t>
                      </w:r>
                      <w:r w:rsidRPr="00281835">
                        <w:rPr>
                          <w:rFonts w:ascii="Arial" w:eastAsia="Verdana" w:hAnsi="Arial" w:cs="Arial"/>
                          <w:b/>
                          <w:bCs/>
                          <w:color w:val="FFFFFF" w:themeColor="background1"/>
                          <w:kern w:val="24"/>
                          <w:sz w:val="72"/>
                          <w:szCs w:val="72"/>
                          <w:lang w:val="en-US"/>
                        </w:rPr>
                        <w:tab/>
                      </w:r>
                    </w:p>
                  </w:txbxContent>
                </v:textbox>
              </v:shape>
            </w:pict>
          </mc:Fallback>
        </mc:AlternateContent>
      </w:r>
      <w:r w:rsidRPr="00281835">
        <w:rPr>
          <w:noProof/>
        </w:rPr>
        <w:drawing>
          <wp:inline distT="0" distB="0" distL="0" distR="0" wp14:anchorId="2666B2A7" wp14:editId="453673B6">
            <wp:extent cx="6508750" cy="935355"/>
            <wp:effectExtent l="0" t="0" r="6350" b="0"/>
            <wp:docPr id="11" name="Picture 10" descr="Background pattern&#10;&#10;Description automatically generated">
              <a:extLst xmlns:a="http://schemas.openxmlformats.org/drawingml/2006/main">
                <a:ext uri="{FF2B5EF4-FFF2-40B4-BE49-F238E27FC236}">
                  <a16:creationId xmlns:a16="http://schemas.microsoft.com/office/drawing/2014/main" id="{9BB31A5B-233C-4D49-82FD-8217F3E497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Background pattern&#10;&#10;Description automatically generated">
                      <a:extLst>
                        <a:ext uri="{FF2B5EF4-FFF2-40B4-BE49-F238E27FC236}">
                          <a16:creationId xmlns:a16="http://schemas.microsoft.com/office/drawing/2014/main" id="{9BB31A5B-233C-4D49-82FD-8217F3E497E8}"/>
                        </a:ext>
                      </a:extLst>
                    </pic:cNvPr>
                    <pic:cNvPicPr>
                      <a:picLocks noChangeAspect="1"/>
                    </pic:cNvPicPr>
                  </pic:nvPicPr>
                  <pic:blipFill rotWithShape="1">
                    <a:blip r:embed="rId8"/>
                    <a:srcRect t="991" r="1495" b="57833"/>
                    <a:stretch/>
                  </pic:blipFill>
                  <pic:spPr>
                    <a:xfrm>
                      <a:off x="0" y="0"/>
                      <a:ext cx="6508750" cy="935355"/>
                    </a:xfrm>
                    <a:prstGeom prst="rect">
                      <a:avLst/>
                    </a:prstGeom>
                  </pic:spPr>
                </pic:pic>
              </a:graphicData>
            </a:graphic>
          </wp:inline>
        </w:drawing>
      </w:r>
    </w:p>
    <w:tbl>
      <w:tblPr>
        <w:tblStyle w:val="TableGrid"/>
        <w:tblW w:w="10201" w:type="dxa"/>
        <w:tblLook w:val="04A0" w:firstRow="1" w:lastRow="0" w:firstColumn="1" w:lastColumn="0" w:noHBand="0" w:noVBand="1"/>
      </w:tblPr>
      <w:tblGrid>
        <w:gridCol w:w="10201"/>
      </w:tblGrid>
      <w:tr w:rsidR="00281835" w14:paraId="5254EF6A" w14:textId="77777777" w:rsidTr="00EF5C86">
        <w:tc>
          <w:tcPr>
            <w:tcW w:w="10201" w:type="dxa"/>
            <w:tcBorders>
              <w:top w:val="nil"/>
              <w:left w:val="nil"/>
              <w:bottom w:val="nil"/>
              <w:right w:val="nil"/>
            </w:tcBorders>
            <w:shd w:val="clear" w:color="auto" w:fill="D9D9D9" w:themeFill="background1" w:themeFillShade="D9"/>
          </w:tcPr>
          <w:p w14:paraId="3BC82964" w14:textId="0DC8338B" w:rsidR="00281835" w:rsidRPr="004E60C8" w:rsidRDefault="00281835" w:rsidP="00281835">
            <w:pPr>
              <w:pStyle w:val="Heading1"/>
              <w:spacing w:before="0" w:after="0" w:line="360" w:lineRule="atLeast"/>
              <w:rPr>
                <w:rFonts w:ascii="Verdana" w:hAnsi="Verdana"/>
                <w:color w:val="000000" w:themeColor="text1"/>
                <w:sz w:val="24"/>
                <w:szCs w:val="24"/>
              </w:rPr>
            </w:pPr>
            <w:r w:rsidRPr="004E60C8">
              <w:rPr>
                <w:rFonts w:ascii="Verdana" w:hAnsi="Verdana"/>
                <w:color w:val="000000" w:themeColor="text1"/>
                <w:sz w:val="24"/>
                <w:szCs w:val="24"/>
              </w:rPr>
              <w:t xml:space="preserve">State of the South African Exchange Traded Product (ETP) Industry – as at </w:t>
            </w:r>
            <w:r w:rsidR="00C63F43">
              <w:rPr>
                <w:rFonts w:ascii="Verdana" w:hAnsi="Verdana"/>
                <w:color w:val="000000" w:themeColor="text1"/>
                <w:sz w:val="24"/>
                <w:szCs w:val="24"/>
              </w:rPr>
              <w:t>2</w:t>
            </w:r>
            <w:r w:rsidR="00BF24CF">
              <w:rPr>
                <w:rFonts w:ascii="Verdana" w:hAnsi="Verdana"/>
                <w:color w:val="000000" w:themeColor="text1"/>
                <w:sz w:val="24"/>
                <w:szCs w:val="24"/>
              </w:rPr>
              <w:t>8</w:t>
            </w:r>
            <w:r w:rsidRPr="004E60C8">
              <w:rPr>
                <w:rFonts w:ascii="Verdana" w:hAnsi="Verdana"/>
                <w:color w:val="000000" w:themeColor="text1"/>
                <w:sz w:val="24"/>
                <w:szCs w:val="24"/>
              </w:rPr>
              <w:t xml:space="preserve"> </w:t>
            </w:r>
            <w:r w:rsidR="00BF24CF">
              <w:rPr>
                <w:rFonts w:ascii="Verdana" w:hAnsi="Verdana"/>
                <w:color w:val="000000" w:themeColor="text1"/>
                <w:sz w:val="24"/>
                <w:szCs w:val="24"/>
              </w:rPr>
              <w:t>March</w:t>
            </w:r>
            <w:r w:rsidR="006B41B5">
              <w:rPr>
                <w:rFonts w:ascii="Verdana" w:hAnsi="Verdana"/>
                <w:color w:val="000000" w:themeColor="text1"/>
                <w:sz w:val="24"/>
                <w:szCs w:val="24"/>
              </w:rPr>
              <w:t xml:space="preserve"> </w:t>
            </w:r>
            <w:r w:rsidRPr="004E60C8">
              <w:rPr>
                <w:rFonts w:ascii="Verdana" w:hAnsi="Verdana"/>
                <w:color w:val="000000" w:themeColor="text1"/>
                <w:sz w:val="24"/>
                <w:szCs w:val="24"/>
              </w:rPr>
              <w:t>202</w:t>
            </w:r>
            <w:r w:rsidR="00BF24CF">
              <w:rPr>
                <w:rFonts w:ascii="Verdana" w:hAnsi="Verdana"/>
                <w:color w:val="000000" w:themeColor="text1"/>
                <w:sz w:val="24"/>
                <w:szCs w:val="24"/>
              </w:rPr>
              <w:t>4</w:t>
            </w:r>
          </w:p>
          <w:p w14:paraId="402E7BEC" w14:textId="2F6A4DD3" w:rsidR="00281835" w:rsidRDefault="00281835" w:rsidP="000A2715">
            <w:pPr>
              <w:pStyle w:val="Heading1"/>
              <w:spacing w:before="0" w:after="120" w:line="360" w:lineRule="atLeast"/>
              <w:rPr>
                <w:rFonts w:ascii="Verdana" w:hAnsi="Verdana"/>
                <w:sz w:val="22"/>
                <w:szCs w:val="22"/>
              </w:rPr>
            </w:pPr>
            <w:r w:rsidRPr="004E60C8">
              <w:rPr>
                <w:rFonts w:ascii="Verdana" w:hAnsi="Verdana"/>
                <w:color w:val="000000" w:themeColor="text1"/>
                <w:sz w:val="22"/>
                <w:szCs w:val="22"/>
              </w:rPr>
              <w:t>Mike Brown, Managing Director, etfSA.co.za</w:t>
            </w:r>
          </w:p>
        </w:tc>
      </w:tr>
    </w:tbl>
    <w:p w14:paraId="74CAE3E7" w14:textId="77777777" w:rsidR="00A422C0" w:rsidRDefault="00A422C0" w:rsidP="006666EF">
      <w:pPr>
        <w:spacing w:after="120" w:line="320" w:lineRule="atLeast"/>
        <w:jc w:val="center"/>
        <w:rPr>
          <w:rFonts w:ascii="Verdana" w:hAnsi="Verdana"/>
          <w:sz w:val="21"/>
          <w:szCs w:val="21"/>
        </w:rPr>
      </w:pPr>
    </w:p>
    <w:p w14:paraId="7CDBBA02" w14:textId="7CFC08F8" w:rsidR="00E159E7" w:rsidRPr="0012529E" w:rsidRDefault="00E159E7" w:rsidP="00960987">
      <w:pPr>
        <w:spacing w:after="120" w:line="320" w:lineRule="atLeast"/>
        <w:jc w:val="center"/>
        <w:rPr>
          <w:rFonts w:ascii="Verdana" w:hAnsi="Verdana"/>
          <w:b/>
          <w:bCs/>
          <w:color w:val="C00000"/>
        </w:rPr>
      </w:pPr>
      <w:r w:rsidRPr="0012529E">
        <w:rPr>
          <w:rFonts w:ascii="Verdana" w:hAnsi="Verdana"/>
          <w:b/>
          <w:bCs/>
          <w:color w:val="C00000"/>
        </w:rPr>
        <w:t>INDUSTRY OVERVIEW</w:t>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5"/>
        <w:gridCol w:w="245"/>
        <w:gridCol w:w="7306"/>
      </w:tblGrid>
      <w:tr w:rsidR="00E159E7" w14:paraId="3415E687" w14:textId="77777777" w:rsidTr="00BF24CF">
        <w:tc>
          <w:tcPr>
            <w:tcW w:w="3369" w:type="dxa"/>
          </w:tcPr>
          <w:p w14:paraId="2206A8CF" w14:textId="2AF4FE59" w:rsidR="00A73115" w:rsidRDefault="00415026" w:rsidP="00A73115">
            <w:pPr>
              <w:spacing w:line="320" w:lineRule="atLeast"/>
              <w:rPr>
                <w:rFonts w:ascii="Verdana" w:hAnsi="Verdana"/>
                <w:sz w:val="21"/>
                <w:szCs w:val="21"/>
              </w:rPr>
            </w:pPr>
            <w:r>
              <w:rPr>
                <w:rFonts w:ascii="Verdana" w:hAnsi="Verdana"/>
                <w:sz w:val="21"/>
                <w:szCs w:val="21"/>
              </w:rPr>
              <w:t xml:space="preserve">The total </w:t>
            </w:r>
            <w:r w:rsidR="00E72461">
              <w:rPr>
                <w:rFonts w:ascii="Verdana" w:hAnsi="Verdana"/>
                <w:sz w:val="21"/>
                <w:szCs w:val="21"/>
              </w:rPr>
              <w:t xml:space="preserve">market capitalisation of the </w:t>
            </w:r>
            <w:r w:rsidR="00733BB0">
              <w:rPr>
                <w:rFonts w:ascii="Verdana" w:hAnsi="Verdana"/>
                <w:sz w:val="21"/>
                <w:szCs w:val="21"/>
              </w:rPr>
              <w:t xml:space="preserve">entire </w:t>
            </w:r>
            <w:r w:rsidR="00C63F43">
              <w:rPr>
                <w:rFonts w:ascii="Verdana" w:hAnsi="Verdana"/>
                <w:sz w:val="21"/>
                <w:szCs w:val="21"/>
              </w:rPr>
              <w:t>South Africa</w:t>
            </w:r>
            <w:r w:rsidR="00733BB0">
              <w:rPr>
                <w:rFonts w:ascii="Verdana" w:hAnsi="Verdana"/>
                <w:sz w:val="21"/>
                <w:szCs w:val="21"/>
              </w:rPr>
              <w:t xml:space="preserve">n ETP industry </w:t>
            </w:r>
            <w:r w:rsidR="00B664A8">
              <w:rPr>
                <w:rFonts w:ascii="Verdana" w:hAnsi="Verdana"/>
                <w:sz w:val="21"/>
                <w:szCs w:val="21"/>
              </w:rPr>
              <w:t>increased</w:t>
            </w:r>
            <w:r w:rsidR="00733BB0">
              <w:rPr>
                <w:rFonts w:ascii="Verdana" w:hAnsi="Verdana"/>
                <w:sz w:val="21"/>
                <w:szCs w:val="21"/>
              </w:rPr>
              <w:t xml:space="preserve"> from </w:t>
            </w:r>
            <w:r w:rsidR="00E72461">
              <w:rPr>
                <w:rFonts w:ascii="Verdana" w:hAnsi="Verdana"/>
                <w:sz w:val="21"/>
                <w:szCs w:val="21"/>
              </w:rPr>
              <w:t>R165,4 billion</w:t>
            </w:r>
            <w:r w:rsidR="00733BB0">
              <w:rPr>
                <w:rFonts w:ascii="Verdana" w:hAnsi="Verdana"/>
                <w:sz w:val="21"/>
                <w:szCs w:val="21"/>
              </w:rPr>
              <w:t xml:space="preserve"> at the end of 2023, to 178,2 billion at the end of the first quarter of 2024</w:t>
            </w:r>
            <w:r w:rsidR="00CE3305">
              <w:rPr>
                <w:rFonts w:ascii="Verdana" w:hAnsi="Verdana"/>
                <w:sz w:val="21"/>
                <w:szCs w:val="21"/>
              </w:rPr>
              <w:t>, a rise of 7,7%</w:t>
            </w:r>
            <w:r w:rsidR="00733BB0">
              <w:rPr>
                <w:rFonts w:ascii="Verdana" w:hAnsi="Verdana"/>
                <w:sz w:val="21"/>
                <w:szCs w:val="21"/>
              </w:rPr>
              <w:t xml:space="preserve">.  </w:t>
            </w:r>
          </w:p>
          <w:p w14:paraId="74C20EAB" w14:textId="77777777" w:rsidR="00733BB0" w:rsidRDefault="00733BB0" w:rsidP="00A73115">
            <w:pPr>
              <w:spacing w:line="320" w:lineRule="atLeast"/>
              <w:rPr>
                <w:rFonts w:ascii="Verdana" w:hAnsi="Verdana"/>
                <w:sz w:val="21"/>
                <w:szCs w:val="21"/>
              </w:rPr>
            </w:pPr>
          </w:p>
          <w:p w14:paraId="45ED3D42" w14:textId="40567932" w:rsidR="00733BB0" w:rsidRPr="00E159E7" w:rsidRDefault="00733BB0" w:rsidP="00A73115">
            <w:pPr>
              <w:spacing w:line="320" w:lineRule="atLeast"/>
              <w:rPr>
                <w:rFonts w:ascii="Verdana" w:hAnsi="Verdana"/>
                <w:sz w:val="21"/>
                <w:szCs w:val="21"/>
              </w:rPr>
            </w:pPr>
            <w:r>
              <w:rPr>
                <w:rFonts w:ascii="Verdana" w:hAnsi="Verdana"/>
                <w:sz w:val="21"/>
                <w:szCs w:val="21"/>
              </w:rPr>
              <w:t xml:space="preserve">The listed index tracking business  therefore continued its consistent growth </w:t>
            </w:r>
            <w:r w:rsidR="00B664A8">
              <w:rPr>
                <w:rFonts w:ascii="Verdana" w:hAnsi="Verdana"/>
                <w:sz w:val="21"/>
                <w:szCs w:val="21"/>
              </w:rPr>
              <w:t>of</w:t>
            </w:r>
            <w:r>
              <w:rPr>
                <w:rFonts w:ascii="Verdana" w:hAnsi="Verdana"/>
                <w:sz w:val="21"/>
                <w:szCs w:val="21"/>
              </w:rPr>
              <w:t xml:space="preserve"> recent times, partly driven by the increase in the value of the foreign </w:t>
            </w:r>
            <w:r w:rsidR="00B664A8">
              <w:rPr>
                <w:rFonts w:ascii="Verdana" w:hAnsi="Verdana"/>
                <w:sz w:val="21"/>
                <w:szCs w:val="21"/>
              </w:rPr>
              <w:t>referenced</w:t>
            </w:r>
          </w:p>
        </w:tc>
        <w:tc>
          <w:tcPr>
            <w:tcW w:w="261" w:type="dxa"/>
          </w:tcPr>
          <w:p w14:paraId="3953F9A0" w14:textId="265BA484" w:rsidR="00E159E7" w:rsidRDefault="005269C6" w:rsidP="00A422C0">
            <w:pPr>
              <w:spacing w:line="360" w:lineRule="atLeast"/>
              <w:rPr>
                <w:rFonts w:ascii="Verdana" w:hAnsi="Verdana"/>
                <w:sz w:val="21"/>
                <w:szCs w:val="21"/>
              </w:rPr>
            </w:pPr>
            <w:r w:rsidRPr="00C72345">
              <w:rPr>
                <w:rFonts w:ascii="Verdana" w:hAnsi="Verdana"/>
                <w:noProof/>
                <w:sz w:val="21"/>
                <w:szCs w:val="21"/>
              </w:rPr>
              <mc:AlternateContent>
                <mc:Choice Requires="wps">
                  <w:drawing>
                    <wp:anchor distT="0" distB="0" distL="114300" distR="114300" simplePos="0" relativeHeight="251687936" behindDoc="0" locked="0" layoutInCell="1" allowOverlap="1" wp14:anchorId="24C32DED" wp14:editId="27C2A302">
                      <wp:simplePos x="0" y="0"/>
                      <wp:positionH relativeFrom="column">
                        <wp:posOffset>10160</wp:posOffset>
                      </wp:positionH>
                      <wp:positionV relativeFrom="paragraph">
                        <wp:posOffset>79375</wp:posOffset>
                      </wp:positionV>
                      <wp:extent cx="44450" cy="3683000"/>
                      <wp:effectExtent l="0" t="0" r="31750" b="31750"/>
                      <wp:wrapNone/>
                      <wp:docPr id="2" name="Straight Connector 2"/>
                      <wp:cNvGraphicFramePr/>
                      <a:graphic xmlns:a="http://schemas.openxmlformats.org/drawingml/2006/main">
                        <a:graphicData uri="http://schemas.microsoft.com/office/word/2010/wordprocessingShape">
                          <wps:wsp>
                            <wps:cNvCnPr/>
                            <wps:spPr>
                              <a:xfrm>
                                <a:off x="0" y="0"/>
                                <a:ext cx="44450" cy="3683000"/>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09A2F5" id="Straight Connector 2"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6.25pt" to="4.3pt,29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" strokecolor="#c00000" strokeweight=".5pt">
                      <v:stroke joinstyle="miter"/>
                    </v:line>
                  </w:pict>
                </mc:Fallback>
              </mc:AlternateContent>
            </w:r>
          </w:p>
        </w:tc>
        <w:tc>
          <w:tcPr>
            <w:tcW w:w="6576" w:type="dxa"/>
            <w:vAlign w:val="center"/>
          </w:tcPr>
          <w:p w14:paraId="659C3123" w14:textId="4C06B71E" w:rsidR="00A73115" w:rsidRDefault="00BF24CF" w:rsidP="00A73115">
            <w:pPr>
              <w:spacing w:after="120" w:line="360" w:lineRule="atLeast"/>
              <w:jc w:val="center"/>
              <w:rPr>
                <w:rFonts w:ascii="Verdana" w:hAnsi="Verdana"/>
                <w:sz w:val="21"/>
                <w:szCs w:val="21"/>
              </w:rPr>
            </w:pPr>
            <w:r>
              <w:rPr>
                <w:noProof/>
              </w:rPr>
              <w:drawing>
                <wp:inline distT="0" distB="0" distL="0" distR="0" wp14:anchorId="38ABCCFF" wp14:editId="65B16615">
                  <wp:extent cx="4498975" cy="2768600"/>
                  <wp:effectExtent l="0" t="0" r="3175" b="12700"/>
                  <wp:docPr id="509261191" name="Chart 1">
                    <a:extLst xmlns:a="http://schemas.openxmlformats.org/drawingml/2006/main">
                      <a:ext uri="{FF2B5EF4-FFF2-40B4-BE49-F238E27FC236}">
                        <a16:creationId xmlns:a16="http://schemas.microsoft.com/office/drawing/2014/main" id="{A6D53289-DBFE-40C9-AB8D-05167AAB53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14:paraId="333BAA01" w14:textId="61A618EE" w:rsidR="003A5D8C" w:rsidRDefault="00733BB0" w:rsidP="003A5D8C">
      <w:pPr>
        <w:spacing w:after="0" w:line="320" w:lineRule="atLeast"/>
        <w:rPr>
          <w:rFonts w:ascii="Verdana" w:hAnsi="Verdana"/>
          <w:bCs/>
          <w:color w:val="000000" w:themeColor="text1"/>
          <w:sz w:val="21"/>
          <w:szCs w:val="21"/>
        </w:rPr>
      </w:pPr>
      <w:r>
        <w:rPr>
          <w:rFonts w:ascii="Verdana" w:hAnsi="Verdana"/>
          <w:bCs/>
          <w:color w:val="000000" w:themeColor="text1"/>
          <w:sz w:val="21"/>
          <w:szCs w:val="21"/>
        </w:rPr>
        <w:t xml:space="preserve"> </w:t>
      </w:r>
      <w:r w:rsidR="00CE3305">
        <w:rPr>
          <w:rFonts w:ascii="Verdana" w:hAnsi="Verdana"/>
          <w:sz w:val="21"/>
          <w:szCs w:val="21"/>
        </w:rPr>
        <w:t>ETPs that</w:t>
      </w:r>
      <w:r w:rsidR="00CE3305">
        <w:rPr>
          <w:rFonts w:ascii="Verdana" w:hAnsi="Verdana"/>
          <w:bCs/>
          <w:color w:val="000000" w:themeColor="text1"/>
          <w:sz w:val="21"/>
          <w:szCs w:val="21"/>
        </w:rPr>
        <w:t xml:space="preserve"> </w:t>
      </w:r>
      <w:r>
        <w:rPr>
          <w:rFonts w:ascii="Verdana" w:hAnsi="Verdana"/>
          <w:bCs/>
          <w:color w:val="000000" w:themeColor="text1"/>
          <w:sz w:val="21"/>
          <w:szCs w:val="21"/>
        </w:rPr>
        <w:t>reflected the growth in global equities in the first quarter of this year, plus the raising of over R4,6 billion from the issue of new ETP securities on the JSE, during the first 3 months of this year.</w:t>
      </w:r>
      <w:r w:rsidR="003A5D8C">
        <w:rPr>
          <w:rFonts w:ascii="Verdana" w:hAnsi="Verdana"/>
          <w:bCs/>
          <w:color w:val="000000" w:themeColor="text1"/>
          <w:sz w:val="21"/>
          <w:szCs w:val="21"/>
        </w:rPr>
        <w:t xml:space="preserve"> </w:t>
      </w:r>
    </w:p>
    <w:p w14:paraId="4BE663D0" w14:textId="77777777" w:rsidR="00E8716B" w:rsidRDefault="00E8716B" w:rsidP="003A5D8C">
      <w:pPr>
        <w:spacing w:after="0" w:line="320" w:lineRule="atLeast"/>
        <w:rPr>
          <w:rFonts w:ascii="Verdana" w:hAnsi="Verdana"/>
          <w:bCs/>
          <w:color w:val="000000" w:themeColor="text1"/>
          <w:sz w:val="21"/>
          <w:szCs w:val="21"/>
        </w:rPr>
      </w:pPr>
    </w:p>
    <w:p w14:paraId="7E506960" w14:textId="07F361D9" w:rsidR="00BC654E" w:rsidRPr="001B3A67" w:rsidRDefault="001B3A67" w:rsidP="00375ADA">
      <w:pPr>
        <w:spacing w:after="120" w:line="320" w:lineRule="atLeast"/>
        <w:ind w:left="357"/>
        <w:jc w:val="center"/>
        <w:rPr>
          <w:rFonts w:ascii="Verdana" w:hAnsi="Verdana"/>
          <w:b/>
          <w:bCs/>
          <w:color w:val="C00000"/>
        </w:rPr>
      </w:pPr>
      <w:r>
        <w:rPr>
          <w:rFonts w:ascii="Verdana" w:hAnsi="Verdana"/>
          <w:b/>
          <w:bCs/>
          <w:color w:val="C00000"/>
        </w:rPr>
        <w:t>N</w:t>
      </w:r>
      <w:r w:rsidR="004544E3" w:rsidRPr="001B3A67">
        <w:rPr>
          <w:rFonts w:ascii="Verdana" w:hAnsi="Verdana"/>
          <w:b/>
          <w:bCs/>
          <w:color w:val="C00000"/>
        </w:rPr>
        <w:t xml:space="preserve">UMBER OF ETPs IN </w:t>
      </w:r>
      <w:r w:rsidR="00BC654E" w:rsidRPr="001B3A67">
        <w:rPr>
          <w:rFonts w:ascii="Verdana" w:hAnsi="Verdana"/>
          <w:b/>
          <w:bCs/>
          <w:color w:val="C00000"/>
        </w:rPr>
        <w:t>ISSUE</w:t>
      </w:r>
    </w:p>
    <w:p w14:paraId="051051D5" w14:textId="65C4015D" w:rsidR="00733BB0" w:rsidRDefault="00733BB0" w:rsidP="00CE3305">
      <w:pPr>
        <w:spacing w:after="0" w:line="320" w:lineRule="atLeast"/>
        <w:jc w:val="both"/>
        <w:rPr>
          <w:rFonts w:ascii="Verdana" w:hAnsi="Verdana"/>
          <w:sz w:val="21"/>
          <w:szCs w:val="21"/>
        </w:rPr>
      </w:pPr>
      <w:r>
        <w:rPr>
          <w:rFonts w:ascii="Verdana" w:hAnsi="Verdana"/>
          <w:sz w:val="21"/>
          <w:szCs w:val="21"/>
        </w:rPr>
        <w:t>The number of ETPs in issue on the JSE rose slightly from 211 in December 2023 to 21</w:t>
      </w:r>
      <w:r w:rsidR="000822C5">
        <w:rPr>
          <w:rFonts w:ascii="Verdana" w:hAnsi="Verdana"/>
          <w:sz w:val="21"/>
          <w:szCs w:val="21"/>
        </w:rPr>
        <w:t>4</w:t>
      </w:r>
      <w:r>
        <w:rPr>
          <w:rFonts w:ascii="Verdana" w:hAnsi="Verdana"/>
          <w:sz w:val="21"/>
          <w:szCs w:val="21"/>
        </w:rPr>
        <w:t xml:space="preserve"> in March 2024.  Satrix delisted three of the former Absa Capital ETFs that it took over in 2022, due to their incorporation into existing Satrix ETFs.  Two new ETFs were listed by Satrix, the Satrix JSE Global Equity ETF and the Satrix MSCI ACW</w:t>
      </w:r>
      <w:r w:rsidR="00E8716B">
        <w:rPr>
          <w:rFonts w:ascii="Verdana" w:hAnsi="Verdana"/>
          <w:sz w:val="21"/>
          <w:szCs w:val="21"/>
        </w:rPr>
        <w:t xml:space="preserve">I Feeder ETF.  </w:t>
      </w:r>
    </w:p>
    <w:p w14:paraId="536894DA" w14:textId="77777777" w:rsidR="00E8716B" w:rsidRDefault="00E8716B" w:rsidP="00CE3305">
      <w:pPr>
        <w:spacing w:after="0" w:line="320" w:lineRule="atLeast"/>
        <w:jc w:val="both"/>
        <w:rPr>
          <w:rFonts w:ascii="Verdana" w:hAnsi="Verdana"/>
          <w:sz w:val="21"/>
          <w:szCs w:val="21"/>
        </w:rPr>
      </w:pPr>
    </w:p>
    <w:p w14:paraId="0F28BA16" w14:textId="693A7E06" w:rsidR="00733BB0" w:rsidRDefault="00E8716B" w:rsidP="00CE3305">
      <w:pPr>
        <w:spacing w:after="0" w:line="320" w:lineRule="atLeast"/>
        <w:jc w:val="both"/>
        <w:rPr>
          <w:rFonts w:ascii="Verdana" w:hAnsi="Verdana"/>
          <w:sz w:val="21"/>
          <w:szCs w:val="21"/>
        </w:rPr>
      </w:pPr>
      <w:r>
        <w:rPr>
          <w:rFonts w:ascii="Verdana" w:hAnsi="Verdana"/>
          <w:sz w:val="21"/>
          <w:szCs w:val="21"/>
        </w:rPr>
        <w:t xml:space="preserve">One new Actively Managed ETF was listed by Prescient during the first quarter, the Portfoliometrix Income AMETF.  </w:t>
      </w:r>
    </w:p>
    <w:p w14:paraId="0ED2CD18" w14:textId="77777777" w:rsidR="00E8716B" w:rsidRDefault="00E8716B" w:rsidP="00CE3305">
      <w:pPr>
        <w:spacing w:after="0" w:line="320" w:lineRule="atLeast"/>
        <w:jc w:val="both"/>
        <w:rPr>
          <w:rFonts w:ascii="Verdana" w:hAnsi="Verdana"/>
          <w:sz w:val="21"/>
          <w:szCs w:val="21"/>
        </w:rPr>
      </w:pPr>
    </w:p>
    <w:p w14:paraId="1312A19D" w14:textId="56534E9E" w:rsidR="00E8716B" w:rsidRDefault="00E8716B" w:rsidP="00CE3305">
      <w:pPr>
        <w:spacing w:after="0" w:line="320" w:lineRule="atLeast"/>
        <w:jc w:val="both"/>
        <w:rPr>
          <w:rFonts w:ascii="Verdana" w:hAnsi="Verdana"/>
          <w:sz w:val="21"/>
          <w:szCs w:val="21"/>
        </w:rPr>
      </w:pPr>
      <w:r>
        <w:rPr>
          <w:rFonts w:ascii="Verdana" w:hAnsi="Verdana"/>
          <w:sz w:val="21"/>
          <w:szCs w:val="21"/>
        </w:rPr>
        <w:t xml:space="preserve">Finally, two new AMCs were issued in the first quarter, namely the Standard Bank Kudala Wealth Honey Badger (AMC013) and the UBS Activ8 Growth Portfolio (UA8GRO). </w:t>
      </w:r>
    </w:p>
    <w:p w14:paraId="0F594BA8" w14:textId="77777777" w:rsidR="00733BB0" w:rsidRDefault="00733BB0">
      <w:pPr>
        <w:rPr>
          <w:rFonts w:ascii="Verdana" w:hAnsi="Verdana"/>
          <w:sz w:val="21"/>
          <w:szCs w:val="21"/>
        </w:rPr>
      </w:pPr>
      <w:r>
        <w:rPr>
          <w:rFonts w:ascii="Verdana" w:hAnsi="Verdana"/>
          <w:sz w:val="21"/>
          <w:szCs w:val="21"/>
        </w:rPr>
        <w:br w:type="page"/>
      </w:r>
    </w:p>
    <w:p w14:paraId="0F56E2DB" w14:textId="77777777" w:rsidR="00BD766B" w:rsidRDefault="00BD766B" w:rsidP="00580F19">
      <w:pPr>
        <w:spacing w:after="120" w:line="320" w:lineRule="atLeast"/>
        <w:rPr>
          <w:rFonts w:ascii="Verdana" w:hAnsi="Verdana"/>
          <w:b/>
          <w:bCs/>
          <w:sz w:val="21"/>
          <w:szCs w:val="21"/>
        </w:rPr>
      </w:pPr>
    </w:p>
    <w:p w14:paraId="7C527D37" w14:textId="78B9EA1A" w:rsidR="002C05CF" w:rsidRPr="002C05CF" w:rsidRDefault="002C05CF" w:rsidP="00580F19">
      <w:pPr>
        <w:spacing w:after="120" w:line="320" w:lineRule="atLeast"/>
        <w:rPr>
          <w:rFonts w:ascii="Verdana" w:hAnsi="Verdana"/>
          <w:b/>
          <w:bCs/>
          <w:sz w:val="21"/>
          <w:szCs w:val="21"/>
        </w:rPr>
      </w:pPr>
      <w:r>
        <w:rPr>
          <w:rFonts w:ascii="Verdana" w:hAnsi="Verdana"/>
          <w:b/>
          <w:bCs/>
          <w:sz w:val="21"/>
          <w:szCs w:val="21"/>
        </w:rPr>
        <w:t>Table A</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992"/>
        <w:gridCol w:w="992"/>
        <w:gridCol w:w="993"/>
        <w:gridCol w:w="992"/>
        <w:gridCol w:w="1134"/>
        <w:gridCol w:w="1134"/>
      </w:tblGrid>
      <w:tr w:rsidR="00E8716B" w:rsidRPr="003B4F95" w14:paraId="66DD5DCA" w14:textId="15DD375D" w:rsidTr="008D3E5B">
        <w:trPr>
          <w:trHeight w:val="360"/>
        </w:trPr>
        <w:tc>
          <w:tcPr>
            <w:tcW w:w="9923" w:type="dxa"/>
            <w:gridSpan w:val="7"/>
            <w:shd w:val="clear" w:color="auto" w:fill="C00000"/>
            <w:vAlign w:val="center"/>
          </w:tcPr>
          <w:p w14:paraId="76496D3F" w14:textId="77777777" w:rsidR="00E8716B" w:rsidRDefault="00E8716B" w:rsidP="00BD766B">
            <w:pPr>
              <w:spacing w:before="40" w:after="40" w:line="320" w:lineRule="atLeast"/>
              <w:jc w:val="center"/>
              <w:rPr>
                <w:rFonts w:ascii="Verdana" w:hAnsi="Verdana"/>
                <w:b/>
                <w:color w:val="FFFFFF"/>
                <w:sz w:val="18"/>
                <w:szCs w:val="18"/>
              </w:rPr>
            </w:pPr>
            <w:r>
              <w:rPr>
                <w:rFonts w:ascii="Verdana" w:hAnsi="Verdana"/>
                <w:b/>
                <w:color w:val="FFFFFF"/>
                <w:sz w:val="18"/>
                <w:szCs w:val="18"/>
              </w:rPr>
              <w:t>Number of Exchange Traded Products in Issue</w:t>
            </w:r>
          </w:p>
          <w:p w14:paraId="62A1B569" w14:textId="79F10836" w:rsidR="00E8716B" w:rsidRDefault="00E8716B" w:rsidP="00BD766B">
            <w:pPr>
              <w:spacing w:before="40" w:after="40" w:line="320" w:lineRule="atLeast"/>
              <w:jc w:val="center"/>
              <w:rPr>
                <w:rFonts w:ascii="Verdana" w:hAnsi="Verdana"/>
                <w:b/>
                <w:color w:val="FFFFFF"/>
                <w:sz w:val="18"/>
                <w:szCs w:val="18"/>
              </w:rPr>
            </w:pPr>
            <w:r>
              <w:rPr>
                <w:rFonts w:ascii="Verdana" w:hAnsi="Verdana"/>
                <w:b/>
                <w:color w:val="FFFFFF"/>
                <w:sz w:val="18"/>
                <w:szCs w:val="18"/>
              </w:rPr>
              <w:t>(end of period)</w:t>
            </w:r>
          </w:p>
        </w:tc>
      </w:tr>
      <w:tr w:rsidR="00E8716B" w:rsidRPr="003B4F95" w14:paraId="1E959807" w14:textId="70B97A0C" w:rsidTr="00E8716B">
        <w:trPr>
          <w:trHeight w:val="360"/>
        </w:trPr>
        <w:tc>
          <w:tcPr>
            <w:tcW w:w="3686" w:type="dxa"/>
            <w:shd w:val="clear" w:color="auto" w:fill="4C4C4C"/>
          </w:tcPr>
          <w:p w14:paraId="2D3569C9" w14:textId="33720006" w:rsidR="00E8716B" w:rsidRPr="003B4F95" w:rsidRDefault="00E8716B" w:rsidP="00BD766B">
            <w:pPr>
              <w:spacing w:before="40" w:after="40" w:line="320" w:lineRule="atLeast"/>
              <w:rPr>
                <w:rFonts w:ascii="Verdana" w:hAnsi="Verdana"/>
                <w:b/>
                <w:color w:val="FFFFFF"/>
                <w:sz w:val="18"/>
                <w:szCs w:val="18"/>
              </w:rPr>
            </w:pPr>
          </w:p>
        </w:tc>
        <w:tc>
          <w:tcPr>
            <w:tcW w:w="992" w:type="dxa"/>
            <w:shd w:val="clear" w:color="auto" w:fill="4C4C4C"/>
            <w:vAlign w:val="center"/>
          </w:tcPr>
          <w:p w14:paraId="75281AB5" w14:textId="3AA1F13D" w:rsidR="00E8716B" w:rsidRPr="003B4F95" w:rsidRDefault="00E8716B" w:rsidP="00BD766B">
            <w:pPr>
              <w:spacing w:before="40" w:after="40" w:line="320" w:lineRule="atLeast"/>
              <w:jc w:val="center"/>
              <w:rPr>
                <w:rFonts w:ascii="Verdana" w:hAnsi="Verdana"/>
                <w:b/>
                <w:color w:val="FFFFFF"/>
                <w:sz w:val="18"/>
                <w:szCs w:val="18"/>
              </w:rPr>
            </w:pPr>
            <w:r>
              <w:rPr>
                <w:rFonts w:ascii="Verdana" w:hAnsi="Verdana"/>
                <w:b/>
                <w:color w:val="FFFFFF"/>
                <w:sz w:val="18"/>
                <w:szCs w:val="18"/>
              </w:rPr>
              <w:t>2019</w:t>
            </w:r>
          </w:p>
        </w:tc>
        <w:tc>
          <w:tcPr>
            <w:tcW w:w="992" w:type="dxa"/>
            <w:shd w:val="clear" w:color="auto" w:fill="4C4C4C"/>
            <w:vAlign w:val="center"/>
          </w:tcPr>
          <w:p w14:paraId="198B912A" w14:textId="5A12873B" w:rsidR="00E8716B" w:rsidRPr="003B4F95" w:rsidRDefault="00E8716B" w:rsidP="00BD766B">
            <w:pPr>
              <w:spacing w:before="40" w:after="40" w:line="320" w:lineRule="atLeast"/>
              <w:jc w:val="center"/>
              <w:rPr>
                <w:rFonts w:ascii="Verdana" w:hAnsi="Verdana"/>
                <w:b/>
                <w:color w:val="FFFFFF"/>
                <w:sz w:val="18"/>
                <w:szCs w:val="18"/>
              </w:rPr>
            </w:pPr>
            <w:r>
              <w:rPr>
                <w:rFonts w:ascii="Verdana" w:hAnsi="Verdana"/>
                <w:b/>
                <w:color w:val="FFFFFF"/>
                <w:sz w:val="18"/>
                <w:szCs w:val="18"/>
              </w:rPr>
              <w:t>2020</w:t>
            </w:r>
          </w:p>
        </w:tc>
        <w:tc>
          <w:tcPr>
            <w:tcW w:w="993" w:type="dxa"/>
            <w:shd w:val="clear" w:color="auto" w:fill="4C4C4C"/>
            <w:vAlign w:val="center"/>
          </w:tcPr>
          <w:p w14:paraId="56E61AE9" w14:textId="2A923A34" w:rsidR="00E8716B" w:rsidRPr="003B4F95" w:rsidRDefault="00E8716B" w:rsidP="00BD766B">
            <w:pPr>
              <w:spacing w:before="40" w:after="40" w:line="320" w:lineRule="atLeast"/>
              <w:jc w:val="center"/>
              <w:rPr>
                <w:rFonts w:ascii="Verdana" w:hAnsi="Verdana"/>
                <w:b/>
                <w:color w:val="FFFFFF"/>
                <w:sz w:val="18"/>
                <w:szCs w:val="18"/>
              </w:rPr>
            </w:pPr>
            <w:r>
              <w:rPr>
                <w:rFonts w:ascii="Verdana" w:hAnsi="Verdana"/>
                <w:b/>
                <w:color w:val="FFFFFF"/>
                <w:sz w:val="18"/>
                <w:szCs w:val="18"/>
              </w:rPr>
              <w:t>2021</w:t>
            </w:r>
          </w:p>
        </w:tc>
        <w:tc>
          <w:tcPr>
            <w:tcW w:w="992" w:type="dxa"/>
            <w:shd w:val="clear" w:color="auto" w:fill="4C4C4C"/>
            <w:vAlign w:val="center"/>
          </w:tcPr>
          <w:p w14:paraId="22E3257A" w14:textId="2E86FB34" w:rsidR="00E8716B" w:rsidRPr="003B4F95" w:rsidRDefault="00E8716B" w:rsidP="00BD766B">
            <w:pPr>
              <w:spacing w:before="40" w:after="40" w:line="320" w:lineRule="atLeast"/>
              <w:jc w:val="center"/>
              <w:rPr>
                <w:rFonts w:ascii="Verdana" w:hAnsi="Verdana"/>
                <w:b/>
                <w:color w:val="FFFFFF"/>
                <w:sz w:val="18"/>
                <w:szCs w:val="18"/>
              </w:rPr>
            </w:pPr>
            <w:r>
              <w:rPr>
                <w:rFonts w:ascii="Verdana" w:hAnsi="Verdana"/>
                <w:b/>
                <w:color w:val="FFFFFF"/>
                <w:sz w:val="18"/>
                <w:szCs w:val="18"/>
              </w:rPr>
              <w:t>2022</w:t>
            </w:r>
          </w:p>
        </w:tc>
        <w:tc>
          <w:tcPr>
            <w:tcW w:w="1134" w:type="dxa"/>
            <w:shd w:val="clear" w:color="auto" w:fill="4C4C4C"/>
            <w:vAlign w:val="center"/>
          </w:tcPr>
          <w:p w14:paraId="45CA3423" w14:textId="74AB3055" w:rsidR="00E8716B" w:rsidRDefault="00E8716B" w:rsidP="00BD766B">
            <w:pPr>
              <w:spacing w:before="40" w:after="40" w:line="320" w:lineRule="atLeast"/>
              <w:jc w:val="center"/>
              <w:rPr>
                <w:rFonts w:ascii="Verdana" w:hAnsi="Verdana"/>
                <w:b/>
                <w:color w:val="FFFFFF"/>
                <w:sz w:val="18"/>
                <w:szCs w:val="18"/>
              </w:rPr>
            </w:pPr>
            <w:r>
              <w:rPr>
                <w:rFonts w:ascii="Verdana" w:hAnsi="Verdana"/>
                <w:b/>
                <w:color w:val="FFFFFF"/>
                <w:sz w:val="18"/>
                <w:szCs w:val="18"/>
              </w:rPr>
              <w:t>2023</w:t>
            </w:r>
          </w:p>
        </w:tc>
        <w:tc>
          <w:tcPr>
            <w:tcW w:w="1134" w:type="dxa"/>
            <w:shd w:val="clear" w:color="auto" w:fill="4C4C4C"/>
          </w:tcPr>
          <w:p w14:paraId="168C16B2" w14:textId="7A207B6A" w:rsidR="00E8716B" w:rsidRDefault="00E8716B" w:rsidP="00BD766B">
            <w:pPr>
              <w:spacing w:before="40" w:after="40" w:line="320" w:lineRule="atLeast"/>
              <w:jc w:val="center"/>
              <w:rPr>
                <w:rFonts w:ascii="Verdana" w:hAnsi="Verdana"/>
                <w:b/>
                <w:color w:val="FFFFFF"/>
                <w:sz w:val="18"/>
                <w:szCs w:val="18"/>
              </w:rPr>
            </w:pPr>
            <w:r>
              <w:rPr>
                <w:rFonts w:ascii="Verdana" w:hAnsi="Verdana"/>
                <w:b/>
                <w:color w:val="FFFFFF"/>
                <w:sz w:val="18"/>
                <w:szCs w:val="18"/>
              </w:rPr>
              <w:t>March 2024</w:t>
            </w:r>
          </w:p>
        </w:tc>
      </w:tr>
      <w:tr w:rsidR="00E8716B" w14:paraId="1D34DDF6" w14:textId="174F79B7" w:rsidTr="00E8716B">
        <w:tc>
          <w:tcPr>
            <w:tcW w:w="3686" w:type="dxa"/>
            <w:shd w:val="clear" w:color="auto" w:fill="auto"/>
          </w:tcPr>
          <w:p w14:paraId="6BF60B33" w14:textId="7EA8772B" w:rsidR="00E8716B" w:rsidRDefault="00E8716B" w:rsidP="00BD766B">
            <w:pPr>
              <w:spacing w:before="40" w:after="40" w:line="320" w:lineRule="atLeast"/>
              <w:rPr>
                <w:rFonts w:ascii="Verdana" w:hAnsi="Verdana"/>
                <w:color w:val="000000"/>
                <w:sz w:val="18"/>
                <w:szCs w:val="18"/>
              </w:rPr>
            </w:pPr>
            <w:r>
              <w:rPr>
                <w:rFonts w:ascii="Verdana" w:hAnsi="Verdana"/>
                <w:color w:val="000000"/>
                <w:sz w:val="18"/>
                <w:szCs w:val="18"/>
              </w:rPr>
              <w:t>Exchange Traded Funds (ETFs)</w:t>
            </w:r>
          </w:p>
        </w:tc>
        <w:tc>
          <w:tcPr>
            <w:tcW w:w="992" w:type="dxa"/>
            <w:vAlign w:val="center"/>
          </w:tcPr>
          <w:p w14:paraId="59188861" w14:textId="66A563AD" w:rsidR="00E8716B" w:rsidRDefault="00E8716B" w:rsidP="00BD766B">
            <w:pPr>
              <w:spacing w:before="40" w:after="40" w:line="320" w:lineRule="atLeast"/>
              <w:jc w:val="center"/>
              <w:rPr>
                <w:rFonts w:ascii="Verdana" w:hAnsi="Verdana"/>
                <w:color w:val="000000"/>
                <w:sz w:val="18"/>
                <w:szCs w:val="18"/>
              </w:rPr>
            </w:pPr>
            <w:r>
              <w:rPr>
                <w:rFonts w:ascii="Verdana" w:hAnsi="Verdana"/>
                <w:color w:val="000000"/>
                <w:sz w:val="18"/>
                <w:szCs w:val="18"/>
              </w:rPr>
              <w:t>73</w:t>
            </w:r>
          </w:p>
        </w:tc>
        <w:tc>
          <w:tcPr>
            <w:tcW w:w="992" w:type="dxa"/>
            <w:vAlign w:val="center"/>
          </w:tcPr>
          <w:p w14:paraId="0CB82234" w14:textId="2739B6F3" w:rsidR="00E8716B" w:rsidRDefault="00E8716B" w:rsidP="00BD766B">
            <w:pPr>
              <w:spacing w:before="40" w:after="40" w:line="320" w:lineRule="atLeast"/>
              <w:jc w:val="center"/>
              <w:rPr>
                <w:rFonts w:ascii="Verdana" w:hAnsi="Verdana"/>
                <w:color w:val="000000"/>
                <w:sz w:val="18"/>
                <w:szCs w:val="18"/>
              </w:rPr>
            </w:pPr>
            <w:r>
              <w:rPr>
                <w:rFonts w:ascii="Verdana" w:hAnsi="Verdana"/>
                <w:color w:val="000000"/>
                <w:sz w:val="18"/>
                <w:szCs w:val="18"/>
              </w:rPr>
              <w:t>78</w:t>
            </w:r>
          </w:p>
        </w:tc>
        <w:tc>
          <w:tcPr>
            <w:tcW w:w="993" w:type="dxa"/>
            <w:vAlign w:val="center"/>
          </w:tcPr>
          <w:p w14:paraId="145425E3" w14:textId="4CFC9C43" w:rsidR="00E8716B" w:rsidRDefault="00E8716B" w:rsidP="00BD766B">
            <w:pPr>
              <w:spacing w:before="40" w:after="40" w:line="320" w:lineRule="atLeast"/>
              <w:jc w:val="center"/>
              <w:rPr>
                <w:rFonts w:ascii="Verdana" w:hAnsi="Verdana"/>
                <w:color w:val="000000"/>
                <w:sz w:val="18"/>
                <w:szCs w:val="18"/>
              </w:rPr>
            </w:pPr>
            <w:r>
              <w:rPr>
                <w:rFonts w:ascii="Verdana" w:hAnsi="Verdana"/>
                <w:color w:val="000000"/>
                <w:sz w:val="18"/>
                <w:szCs w:val="18"/>
              </w:rPr>
              <w:t>86</w:t>
            </w:r>
          </w:p>
        </w:tc>
        <w:tc>
          <w:tcPr>
            <w:tcW w:w="992" w:type="dxa"/>
            <w:vAlign w:val="center"/>
          </w:tcPr>
          <w:p w14:paraId="4029A1DA" w14:textId="1D3E510F" w:rsidR="00E8716B" w:rsidRDefault="00E8716B" w:rsidP="00BD766B">
            <w:pPr>
              <w:spacing w:before="40" w:after="40" w:line="320" w:lineRule="atLeast"/>
              <w:jc w:val="center"/>
              <w:rPr>
                <w:rFonts w:ascii="Verdana" w:hAnsi="Verdana"/>
                <w:color w:val="000000"/>
                <w:sz w:val="18"/>
                <w:szCs w:val="18"/>
              </w:rPr>
            </w:pPr>
            <w:r>
              <w:rPr>
                <w:rFonts w:ascii="Verdana" w:hAnsi="Verdana"/>
                <w:color w:val="000000"/>
                <w:sz w:val="18"/>
                <w:szCs w:val="18"/>
              </w:rPr>
              <w:t>95</w:t>
            </w:r>
          </w:p>
        </w:tc>
        <w:tc>
          <w:tcPr>
            <w:tcW w:w="1134" w:type="dxa"/>
          </w:tcPr>
          <w:p w14:paraId="7FE48B55" w14:textId="0F92EFEF" w:rsidR="00E8716B" w:rsidRDefault="00E8716B" w:rsidP="00BD766B">
            <w:pPr>
              <w:spacing w:before="40" w:after="40" w:line="320" w:lineRule="atLeast"/>
              <w:jc w:val="center"/>
              <w:rPr>
                <w:rFonts w:ascii="Verdana" w:hAnsi="Verdana"/>
                <w:color w:val="000000"/>
                <w:sz w:val="18"/>
                <w:szCs w:val="18"/>
              </w:rPr>
            </w:pPr>
            <w:r>
              <w:rPr>
                <w:rFonts w:ascii="Verdana" w:hAnsi="Verdana"/>
                <w:color w:val="000000"/>
                <w:sz w:val="18"/>
                <w:szCs w:val="18"/>
              </w:rPr>
              <w:t>92</w:t>
            </w:r>
          </w:p>
        </w:tc>
        <w:tc>
          <w:tcPr>
            <w:tcW w:w="1134" w:type="dxa"/>
          </w:tcPr>
          <w:p w14:paraId="5EFD2D28" w14:textId="71642E4E" w:rsidR="00E8716B" w:rsidRDefault="00E8716B" w:rsidP="00BD766B">
            <w:pPr>
              <w:spacing w:before="40" w:after="40" w:line="320" w:lineRule="atLeast"/>
              <w:jc w:val="center"/>
              <w:rPr>
                <w:rFonts w:ascii="Verdana" w:hAnsi="Verdana"/>
                <w:color w:val="000000"/>
                <w:sz w:val="18"/>
                <w:szCs w:val="18"/>
              </w:rPr>
            </w:pPr>
            <w:r>
              <w:rPr>
                <w:rFonts w:ascii="Verdana" w:hAnsi="Verdana"/>
                <w:color w:val="000000"/>
                <w:sz w:val="18"/>
                <w:szCs w:val="18"/>
              </w:rPr>
              <w:t>9</w:t>
            </w:r>
            <w:r w:rsidR="00BB1828">
              <w:rPr>
                <w:rFonts w:ascii="Verdana" w:hAnsi="Verdana"/>
                <w:color w:val="000000"/>
                <w:sz w:val="18"/>
                <w:szCs w:val="18"/>
              </w:rPr>
              <w:t>1</w:t>
            </w:r>
          </w:p>
        </w:tc>
      </w:tr>
      <w:tr w:rsidR="00E8716B" w14:paraId="2B4CE8AA" w14:textId="31BA42E8" w:rsidTr="00E8716B">
        <w:tc>
          <w:tcPr>
            <w:tcW w:w="3686" w:type="dxa"/>
            <w:shd w:val="clear" w:color="auto" w:fill="auto"/>
          </w:tcPr>
          <w:p w14:paraId="747A4394" w14:textId="10903854" w:rsidR="00E8716B" w:rsidRDefault="00E8716B" w:rsidP="00BD766B">
            <w:pPr>
              <w:spacing w:before="40" w:after="40" w:line="320" w:lineRule="atLeast"/>
              <w:rPr>
                <w:rFonts w:ascii="Verdana" w:hAnsi="Verdana"/>
                <w:color w:val="000000"/>
                <w:sz w:val="18"/>
                <w:szCs w:val="18"/>
              </w:rPr>
            </w:pPr>
            <w:r>
              <w:rPr>
                <w:rFonts w:ascii="Verdana" w:hAnsi="Verdana"/>
                <w:color w:val="000000"/>
                <w:sz w:val="18"/>
                <w:szCs w:val="18"/>
              </w:rPr>
              <w:t>Exchange Traded Notes (ETNs)</w:t>
            </w:r>
          </w:p>
        </w:tc>
        <w:tc>
          <w:tcPr>
            <w:tcW w:w="992" w:type="dxa"/>
            <w:vAlign w:val="center"/>
          </w:tcPr>
          <w:p w14:paraId="117F7B15" w14:textId="49D1EC41" w:rsidR="00E8716B" w:rsidRDefault="00E8716B" w:rsidP="00BD766B">
            <w:pPr>
              <w:spacing w:before="40" w:after="40" w:line="320" w:lineRule="atLeast"/>
              <w:jc w:val="center"/>
              <w:rPr>
                <w:rFonts w:ascii="Verdana" w:hAnsi="Verdana"/>
                <w:color w:val="000000"/>
                <w:sz w:val="18"/>
                <w:szCs w:val="18"/>
              </w:rPr>
            </w:pPr>
            <w:r>
              <w:rPr>
                <w:rFonts w:ascii="Verdana" w:hAnsi="Verdana"/>
                <w:color w:val="000000"/>
                <w:sz w:val="18"/>
                <w:szCs w:val="18"/>
              </w:rPr>
              <w:t>29</w:t>
            </w:r>
          </w:p>
        </w:tc>
        <w:tc>
          <w:tcPr>
            <w:tcW w:w="992" w:type="dxa"/>
            <w:vAlign w:val="center"/>
          </w:tcPr>
          <w:p w14:paraId="62A180E9" w14:textId="7A2AD3B1" w:rsidR="00E8716B" w:rsidRDefault="00E8716B" w:rsidP="00BD766B">
            <w:pPr>
              <w:spacing w:before="40" w:after="40" w:line="320" w:lineRule="atLeast"/>
              <w:jc w:val="center"/>
              <w:rPr>
                <w:rFonts w:ascii="Verdana" w:hAnsi="Verdana"/>
                <w:color w:val="000000"/>
                <w:sz w:val="18"/>
                <w:szCs w:val="18"/>
              </w:rPr>
            </w:pPr>
            <w:r>
              <w:rPr>
                <w:rFonts w:ascii="Verdana" w:hAnsi="Verdana"/>
                <w:color w:val="000000"/>
                <w:sz w:val="18"/>
                <w:szCs w:val="18"/>
              </w:rPr>
              <w:t>59</w:t>
            </w:r>
          </w:p>
        </w:tc>
        <w:tc>
          <w:tcPr>
            <w:tcW w:w="993" w:type="dxa"/>
            <w:vAlign w:val="center"/>
          </w:tcPr>
          <w:p w14:paraId="68DB51E5" w14:textId="2C2C987D" w:rsidR="00E8716B" w:rsidRDefault="00E8716B" w:rsidP="00BD766B">
            <w:pPr>
              <w:spacing w:before="40" w:after="40" w:line="320" w:lineRule="atLeast"/>
              <w:jc w:val="center"/>
              <w:rPr>
                <w:rFonts w:ascii="Verdana" w:hAnsi="Verdana"/>
                <w:color w:val="000000"/>
                <w:sz w:val="18"/>
                <w:szCs w:val="18"/>
              </w:rPr>
            </w:pPr>
            <w:r>
              <w:rPr>
                <w:rFonts w:ascii="Verdana" w:hAnsi="Verdana"/>
                <w:color w:val="000000"/>
                <w:sz w:val="18"/>
                <w:szCs w:val="18"/>
              </w:rPr>
              <w:t>82</w:t>
            </w:r>
          </w:p>
        </w:tc>
        <w:tc>
          <w:tcPr>
            <w:tcW w:w="992" w:type="dxa"/>
            <w:vAlign w:val="center"/>
          </w:tcPr>
          <w:p w14:paraId="40E1A392" w14:textId="21B3852F" w:rsidR="00E8716B" w:rsidRDefault="00E8716B" w:rsidP="00BD766B">
            <w:pPr>
              <w:spacing w:before="40" w:after="40" w:line="320" w:lineRule="atLeast"/>
              <w:jc w:val="center"/>
              <w:rPr>
                <w:rFonts w:ascii="Verdana" w:hAnsi="Verdana"/>
                <w:color w:val="000000"/>
                <w:sz w:val="18"/>
                <w:szCs w:val="18"/>
              </w:rPr>
            </w:pPr>
            <w:r>
              <w:rPr>
                <w:rFonts w:ascii="Verdana" w:hAnsi="Verdana"/>
                <w:color w:val="000000"/>
                <w:sz w:val="18"/>
                <w:szCs w:val="18"/>
              </w:rPr>
              <w:t>66</w:t>
            </w:r>
          </w:p>
        </w:tc>
        <w:tc>
          <w:tcPr>
            <w:tcW w:w="1134" w:type="dxa"/>
          </w:tcPr>
          <w:p w14:paraId="1FC140CB" w14:textId="25322FA5" w:rsidR="00E8716B" w:rsidRDefault="00E8716B" w:rsidP="00BD766B">
            <w:pPr>
              <w:spacing w:before="40" w:after="40" w:line="320" w:lineRule="atLeast"/>
              <w:jc w:val="center"/>
              <w:rPr>
                <w:rFonts w:ascii="Verdana" w:hAnsi="Verdana"/>
                <w:color w:val="000000"/>
                <w:sz w:val="18"/>
                <w:szCs w:val="18"/>
              </w:rPr>
            </w:pPr>
            <w:r>
              <w:rPr>
                <w:rFonts w:ascii="Verdana" w:hAnsi="Verdana"/>
                <w:color w:val="000000"/>
                <w:sz w:val="18"/>
                <w:szCs w:val="18"/>
              </w:rPr>
              <w:t>69</w:t>
            </w:r>
          </w:p>
        </w:tc>
        <w:tc>
          <w:tcPr>
            <w:tcW w:w="1134" w:type="dxa"/>
          </w:tcPr>
          <w:p w14:paraId="51A57CEC" w14:textId="7DA01246" w:rsidR="00E8716B" w:rsidRDefault="00E8716B" w:rsidP="00BD766B">
            <w:pPr>
              <w:spacing w:before="40" w:after="40" w:line="320" w:lineRule="atLeast"/>
              <w:jc w:val="center"/>
              <w:rPr>
                <w:rFonts w:ascii="Verdana" w:hAnsi="Verdana"/>
                <w:color w:val="000000"/>
                <w:sz w:val="18"/>
                <w:szCs w:val="18"/>
              </w:rPr>
            </w:pPr>
            <w:r>
              <w:rPr>
                <w:rFonts w:ascii="Verdana" w:hAnsi="Verdana"/>
                <w:color w:val="000000"/>
                <w:sz w:val="18"/>
                <w:szCs w:val="18"/>
              </w:rPr>
              <w:t>69</w:t>
            </w:r>
          </w:p>
        </w:tc>
      </w:tr>
      <w:tr w:rsidR="00E8716B" w14:paraId="4A92A83B" w14:textId="54B63DE1" w:rsidTr="00E8716B">
        <w:tc>
          <w:tcPr>
            <w:tcW w:w="3686" w:type="dxa"/>
            <w:shd w:val="clear" w:color="auto" w:fill="auto"/>
          </w:tcPr>
          <w:p w14:paraId="53C939F8" w14:textId="4F494D8E" w:rsidR="00E8716B" w:rsidRDefault="00E8716B" w:rsidP="00BD766B">
            <w:pPr>
              <w:spacing w:before="40" w:after="40" w:line="320" w:lineRule="atLeast"/>
              <w:rPr>
                <w:rFonts w:ascii="Verdana" w:hAnsi="Verdana"/>
                <w:color w:val="000000"/>
                <w:sz w:val="18"/>
                <w:szCs w:val="18"/>
              </w:rPr>
            </w:pPr>
            <w:r>
              <w:rPr>
                <w:rFonts w:ascii="Verdana" w:hAnsi="Verdana"/>
                <w:color w:val="000000"/>
                <w:sz w:val="18"/>
                <w:szCs w:val="18"/>
              </w:rPr>
              <w:t>Actively Managed Certificates (AMCs)</w:t>
            </w:r>
          </w:p>
        </w:tc>
        <w:tc>
          <w:tcPr>
            <w:tcW w:w="992" w:type="dxa"/>
            <w:vAlign w:val="center"/>
          </w:tcPr>
          <w:p w14:paraId="69C1C2BF" w14:textId="7BC89627" w:rsidR="00E8716B" w:rsidRDefault="00E8716B" w:rsidP="00BD766B">
            <w:pPr>
              <w:spacing w:before="40" w:after="40" w:line="320" w:lineRule="atLeast"/>
              <w:jc w:val="center"/>
              <w:rPr>
                <w:rFonts w:ascii="Verdana" w:hAnsi="Verdana"/>
                <w:color w:val="000000"/>
                <w:sz w:val="18"/>
                <w:szCs w:val="18"/>
              </w:rPr>
            </w:pPr>
            <w:r>
              <w:rPr>
                <w:rFonts w:ascii="Verdana" w:hAnsi="Verdana"/>
                <w:color w:val="000000"/>
                <w:sz w:val="18"/>
                <w:szCs w:val="18"/>
              </w:rPr>
              <w:t>-</w:t>
            </w:r>
          </w:p>
        </w:tc>
        <w:tc>
          <w:tcPr>
            <w:tcW w:w="992" w:type="dxa"/>
            <w:vAlign w:val="center"/>
          </w:tcPr>
          <w:p w14:paraId="4959098E" w14:textId="593545F6" w:rsidR="00E8716B" w:rsidRDefault="00E8716B" w:rsidP="00BD766B">
            <w:pPr>
              <w:spacing w:before="40" w:after="40" w:line="320" w:lineRule="atLeast"/>
              <w:jc w:val="center"/>
              <w:rPr>
                <w:rFonts w:ascii="Verdana" w:hAnsi="Verdana"/>
                <w:color w:val="000000"/>
                <w:sz w:val="18"/>
                <w:szCs w:val="18"/>
              </w:rPr>
            </w:pPr>
            <w:r>
              <w:rPr>
                <w:rFonts w:ascii="Verdana" w:hAnsi="Verdana"/>
                <w:color w:val="000000"/>
                <w:sz w:val="18"/>
                <w:szCs w:val="18"/>
              </w:rPr>
              <w:t>-</w:t>
            </w:r>
          </w:p>
        </w:tc>
        <w:tc>
          <w:tcPr>
            <w:tcW w:w="993" w:type="dxa"/>
            <w:vAlign w:val="center"/>
          </w:tcPr>
          <w:p w14:paraId="77D06333" w14:textId="6BC9C881" w:rsidR="00E8716B" w:rsidRDefault="00E8716B" w:rsidP="00BD766B">
            <w:pPr>
              <w:spacing w:before="40" w:after="40" w:line="320" w:lineRule="atLeast"/>
              <w:jc w:val="center"/>
              <w:rPr>
                <w:rFonts w:ascii="Verdana" w:hAnsi="Verdana"/>
                <w:color w:val="000000"/>
                <w:sz w:val="18"/>
                <w:szCs w:val="18"/>
              </w:rPr>
            </w:pPr>
            <w:r>
              <w:rPr>
                <w:rFonts w:ascii="Verdana" w:hAnsi="Verdana"/>
                <w:color w:val="000000"/>
                <w:sz w:val="18"/>
                <w:szCs w:val="18"/>
              </w:rPr>
              <w:t>-</w:t>
            </w:r>
          </w:p>
        </w:tc>
        <w:tc>
          <w:tcPr>
            <w:tcW w:w="992" w:type="dxa"/>
            <w:vAlign w:val="center"/>
          </w:tcPr>
          <w:p w14:paraId="107A9AD5" w14:textId="11B68734" w:rsidR="00E8716B" w:rsidRDefault="00E8716B" w:rsidP="00BD766B">
            <w:pPr>
              <w:spacing w:before="40" w:after="40" w:line="320" w:lineRule="atLeast"/>
              <w:jc w:val="center"/>
              <w:rPr>
                <w:rFonts w:ascii="Verdana" w:hAnsi="Verdana"/>
                <w:color w:val="000000"/>
                <w:sz w:val="18"/>
                <w:szCs w:val="18"/>
              </w:rPr>
            </w:pPr>
            <w:r>
              <w:rPr>
                <w:rFonts w:ascii="Verdana" w:hAnsi="Verdana"/>
                <w:color w:val="000000"/>
                <w:sz w:val="18"/>
                <w:szCs w:val="18"/>
              </w:rPr>
              <w:t>22</w:t>
            </w:r>
          </w:p>
        </w:tc>
        <w:tc>
          <w:tcPr>
            <w:tcW w:w="1134" w:type="dxa"/>
          </w:tcPr>
          <w:p w14:paraId="3B775DD4" w14:textId="5C334A0B" w:rsidR="00E8716B" w:rsidRDefault="00E8716B" w:rsidP="00BD766B">
            <w:pPr>
              <w:spacing w:before="40" w:after="40" w:line="320" w:lineRule="atLeast"/>
              <w:jc w:val="center"/>
              <w:rPr>
                <w:rFonts w:ascii="Verdana" w:hAnsi="Verdana"/>
                <w:color w:val="000000"/>
                <w:sz w:val="18"/>
                <w:szCs w:val="18"/>
              </w:rPr>
            </w:pPr>
            <w:r>
              <w:rPr>
                <w:rFonts w:ascii="Verdana" w:hAnsi="Verdana"/>
                <w:color w:val="000000"/>
                <w:sz w:val="18"/>
                <w:szCs w:val="18"/>
              </w:rPr>
              <w:t>44</w:t>
            </w:r>
          </w:p>
        </w:tc>
        <w:tc>
          <w:tcPr>
            <w:tcW w:w="1134" w:type="dxa"/>
          </w:tcPr>
          <w:p w14:paraId="6E70B9E7" w14:textId="2D088577" w:rsidR="00E8716B" w:rsidRDefault="00E8716B" w:rsidP="00BD766B">
            <w:pPr>
              <w:spacing w:before="40" w:after="40" w:line="320" w:lineRule="atLeast"/>
              <w:jc w:val="center"/>
              <w:rPr>
                <w:rFonts w:ascii="Verdana" w:hAnsi="Verdana"/>
                <w:color w:val="000000"/>
                <w:sz w:val="18"/>
                <w:szCs w:val="18"/>
              </w:rPr>
            </w:pPr>
            <w:r>
              <w:rPr>
                <w:rFonts w:ascii="Verdana" w:hAnsi="Verdana"/>
                <w:color w:val="000000"/>
                <w:sz w:val="18"/>
                <w:szCs w:val="18"/>
              </w:rPr>
              <w:t>47</w:t>
            </w:r>
          </w:p>
        </w:tc>
      </w:tr>
      <w:tr w:rsidR="00E8716B" w14:paraId="2AFF8A4F" w14:textId="7598B299" w:rsidTr="00E8716B">
        <w:tc>
          <w:tcPr>
            <w:tcW w:w="3686" w:type="dxa"/>
            <w:shd w:val="clear" w:color="auto" w:fill="auto"/>
          </w:tcPr>
          <w:p w14:paraId="183175D2" w14:textId="1C0A5EBF" w:rsidR="00E8716B" w:rsidRDefault="00E8716B" w:rsidP="00BD766B">
            <w:pPr>
              <w:spacing w:before="40" w:after="40" w:line="320" w:lineRule="atLeast"/>
              <w:rPr>
                <w:rFonts w:ascii="Verdana" w:hAnsi="Verdana"/>
                <w:color w:val="000000"/>
                <w:sz w:val="18"/>
                <w:szCs w:val="18"/>
              </w:rPr>
            </w:pPr>
            <w:r>
              <w:rPr>
                <w:rFonts w:ascii="Verdana" w:hAnsi="Verdana"/>
                <w:color w:val="000000"/>
                <w:sz w:val="18"/>
                <w:szCs w:val="18"/>
              </w:rPr>
              <w:t>Actively Managed ETFs (AMETFs)</w:t>
            </w:r>
          </w:p>
        </w:tc>
        <w:tc>
          <w:tcPr>
            <w:tcW w:w="992" w:type="dxa"/>
            <w:vAlign w:val="center"/>
          </w:tcPr>
          <w:p w14:paraId="3C81BB4D" w14:textId="54E19110" w:rsidR="00E8716B" w:rsidRDefault="00E8716B" w:rsidP="00BD766B">
            <w:pPr>
              <w:spacing w:before="40" w:after="40" w:line="320" w:lineRule="atLeast"/>
              <w:jc w:val="center"/>
              <w:rPr>
                <w:rFonts w:ascii="Verdana" w:hAnsi="Verdana"/>
                <w:color w:val="000000"/>
                <w:sz w:val="18"/>
                <w:szCs w:val="18"/>
              </w:rPr>
            </w:pPr>
            <w:r>
              <w:rPr>
                <w:rFonts w:ascii="Verdana" w:hAnsi="Verdana"/>
                <w:color w:val="000000"/>
                <w:sz w:val="18"/>
                <w:szCs w:val="18"/>
              </w:rPr>
              <w:t>-</w:t>
            </w:r>
          </w:p>
        </w:tc>
        <w:tc>
          <w:tcPr>
            <w:tcW w:w="992" w:type="dxa"/>
            <w:vAlign w:val="center"/>
          </w:tcPr>
          <w:p w14:paraId="57FB53C9" w14:textId="6C86FE2F" w:rsidR="00E8716B" w:rsidRDefault="00E8716B" w:rsidP="00BD766B">
            <w:pPr>
              <w:spacing w:before="40" w:after="40" w:line="320" w:lineRule="atLeast"/>
              <w:jc w:val="center"/>
              <w:rPr>
                <w:rFonts w:ascii="Verdana" w:hAnsi="Verdana"/>
                <w:color w:val="000000"/>
                <w:sz w:val="18"/>
                <w:szCs w:val="18"/>
              </w:rPr>
            </w:pPr>
            <w:r>
              <w:rPr>
                <w:rFonts w:ascii="Verdana" w:hAnsi="Verdana"/>
                <w:color w:val="000000"/>
                <w:sz w:val="18"/>
                <w:szCs w:val="18"/>
              </w:rPr>
              <w:t>-</w:t>
            </w:r>
          </w:p>
        </w:tc>
        <w:tc>
          <w:tcPr>
            <w:tcW w:w="993" w:type="dxa"/>
            <w:vAlign w:val="center"/>
          </w:tcPr>
          <w:p w14:paraId="5FCA258D" w14:textId="4318A24F" w:rsidR="00E8716B" w:rsidRDefault="00E8716B" w:rsidP="00BD766B">
            <w:pPr>
              <w:spacing w:before="40" w:after="40" w:line="320" w:lineRule="atLeast"/>
              <w:jc w:val="center"/>
              <w:rPr>
                <w:rFonts w:ascii="Verdana" w:hAnsi="Verdana"/>
                <w:color w:val="000000"/>
                <w:sz w:val="18"/>
                <w:szCs w:val="18"/>
              </w:rPr>
            </w:pPr>
            <w:r>
              <w:rPr>
                <w:rFonts w:ascii="Verdana" w:hAnsi="Verdana"/>
                <w:color w:val="000000"/>
                <w:sz w:val="18"/>
                <w:szCs w:val="18"/>
              </w:rPr>
              <w:t>-</w:t>
            </w:r>
          </w:p>
        </w:tc>
        <w:tc>
          <w:tcPr>
            <w:tcW w:w="992" w:type="dxa"/>
            <w:vAlign w:val="center"/>
          </w:tcPr>
          <w:p w14:paraId="690F82C3" w14:textId="23179062" w:rsidR="00E8716B" w:rsidRDefault="00E8716B" w:rsidP="00BD766B">
            <w:pPr>
              <w:spacing w:before="40" w:after="40" w:line="320" w:lineRule="atLeast"/>
              <w:jc w:val="center"/>
              <w:rPr>
                <w:rFonts w:ascii="Verdana" w:hAnsi="Verdana"/>
                <w:color w:val="000000"/>
                <w:sz w:val="18"/>
                <w:szCs w:val="18"/>
              </w:rPr>
            </w:pPr>
            <w:r>
              <w:rPr>
                <w:rFonts w:ascii="Verdana" w:hAnsi="Verdana"/>
                <w:color w:val="000000"/>
                <w:sz w:val="18"/>
                <w:szCs w:val="18"/>
              </w:rPr>
              <w:t>-</w:t>
            </w:r>
          </w:p>
        </w:tc>
        <w:tc>
          <w:tcPr>
            <w:tcW w:w="1134" w:type="dxa"/>
          </w:tcPr>
          <w:p w14:paraId="13186C4D" w14:textId="123FD1BB" w:rsidR="00E8716B" w:rsidRDefault="00E8716B" w:rsidP="00BD766B">
            <w:pPr>
              <w:spacing w:before="40" w:after="40" w:line="320" w:lineRule="atLeast"/>
              <w:jc w:val="center"/>
              <w:rPr>
                <w:rFonts w:ascii="Verdana" w:hAnsi="Verdana"/>
                <w:color w:val="000000"/>
                <w:sz w:val="18"/>
                <w:szCs w:val="18"/>
              </w:rPr>
            </w:pPr>
            <w:r>
              <w:rPr>
                <w:rFonts w:ascii="Verdana" w:hAnsi="Verdana"/>
                <w:color w:val="000000"/>
                <w:sz w:val="18"/>
                <w:szCs w:val="18"/>
              </w:rPr>
              <w:t>6</w:t>
            </w:r>
          </w:p>
        </w:tc>
        <w:tc>
          <w:tcPr>
            <w:tcW w:w="1134" w:type="dxa"/>
          </w:tcPr>
          <w:p w14:paraId="7E089622" w14:textId="3AF4F0B6" w:rsidR="00E8716B" w:rsidRDefault="00E8716B" w:rsidP="00BD766B">
            <w:pPr>
              <w:spacing w:before="40" w:after="40" w:line="320" w:lineRule="atLeast"/>
              <w:jc w:val="center"/>
              <w:rPr>
                <w:rFonts w:ascii="Verdana" w:hAnsi="Verdana"/>
                <w:color w:val="000000"/>
                <w:sz w:val="18"/>
                <w:szCs w:val="18"/>
              </w:rPr>
            </w:pPr>
            <w:r>
              <w:rPr>
                <w:rFonts w:ascii="Verdana" w:hAnsi="Verdana"/>
                <w:color w:val="000000"/>
                <w:sz w:val="18"/>
                <w:szCs w:val="18"/>
              </w:rPr>
              <w:t>7</w:t>
            </w:r>
          </w:p>
        </w:tc>
      </w:tr>
      <w:tr w:rsidR="00E8716B" w14:paraId="5E6C99D8" w14:textId="2A748E9D" w:rsidTr="00E8716B">
        <w:tc>
          <w:tcPr>
            <w:tcW w:w="3686" w:type="dxa"/>
            <w:shd w:val="clear" w:color="auto" w:fill="auto"/>
          </w:tcPr>
          <w:p w14:paraId="3DCA2438" w14:textId="7BFD7FBF" w:rsidR="00E8716B" w:rsidRPr="00ED30AE" w:rsidRDefault="00E8716B" w:rsidP="00BD766B">
            <w:pPr>
              <w:spacing w:before="40" w:after="40" w:line="320" w:lineRule="atLeast"/>
              <w:rPr>
                <w:rFonts w:ascii="Verdana" w:hAnsi="Verdana"/>
                <w:b/>
                <w:bCs/>
                <w:color w:val="000000"/>
                <w:sz w:val="18"/>
                <w:szCs w:val="18"/>
              </w:rPr>
            </w:pPr>
            <w:r w:rsidRPr="00ED30AE">
              <w:rPr>
                <w:rFonts w:ascii="Verdana" w:hAnsi="Verdana"/>
                <w:b/>
                <w:bCs/>
                <w:color w:val="000000"/>
                <w:sz w:val="18"/>
                <w:szCs w:val="18"/>
              </w:rPr>
              <w:t>Totals</w:t>
            </w:r>
          </w:p>
        </w:tc>
        <w:tc>
          <w:tcPr>
            <w:tcW w:w="992" w:type="dxa"/>
            <w:vAlign w:val="center"/>
          </w:tcPr>
          <w:p w14:paraId="0EDC5E53" w14:textId="26C1C73D" w:rsidR="00E8716B" w:rsidRPr="00ED30AE" w:rsidRDefault="00E8716B" w:rsidP="00BD766B">
            <w:pPr>
              <w:spacing w:before="40" w:after="40" w:line="320" w:lineRule="atLeast"/>
              <w:jc w:val="center"/>
              <w:rPr>
                <w:rFonts w:ascii="Verdana" w:hAnsi="Verdana"/>
                <w:b/>
                <w:bCs/>
                <w:color w:val="000000"/>
                <w:sz w:val="18"/>
                <w:szCs w:val="18"/>
              </w:rPr>
            </w:pPr>
            <w:r>
              <w:rPr>
                <w:rFonts w:ascii="Verdana" w:hAnsi="Verdana"/>
                <w:b/>
                <w:bCs/>
                <w:color w:val="000000"/>
                <w:sz w:val="18"/>
                <w:szCs w:val="18"/>
              </w:rPr>
              <w:t>102</w:t>
            </w:r>
          </w:p>
        </w:tc>
        <w:tc>
          <w:tcPr>
            <w:tcW w:w="992" w:type="dxa"/>
            <w:vAlign w:val="center"/>
          </w:tcPr>
          <w:p w14:paraId="371B51CC" w14:textId="3301D3B9" w:rsidR="00E8716B" w:rsidRPr="00ED30AE" w:rsidRDefault="00E8716B" w:rsidP="00BD766B">
            <w:pPr>
              <w:spacing w:before="40" w:after="40" w:line="320" w:lineRule="atLeast"/>
              <w:jc w:val="center"/>
              <w:rPr>
                <w:rFonts w:ascii="Verdana" w:hAnsi="Verdana"/>
                <w:b/>
                <w:bCs/>
                <w:color w:val="000000"/>
                <w:sz w:val="18"/>
                <w:szCs w:val="18"/>
              </w:rPr>
            </w:pPr>
            <w:r>
              <w:rPr>
                <w:rFonts w:ascii="Verdana" w:hAnsi="Verdana"/>
                <w:b/>
                <w:bCs/>
                <w:color w:val="000000"/>
                <w:sz w:val="18"/>
                <w:szCs w:val="18"/>
              </w:rPr>
              <w:t>137</w:t>
            </w:r>
          </w:p>
        </w:tc>
        <w:tc>
          <w:tcPr>
            <w:tcW w:w="993" w:type="dxa"/>
            <w:vAlign w:val="center"/>
          </w:tcPr>
          <w:p w14:paraId="2E1DC911" w14:textId="1109BE99" w:rsidR="00E8716B" w:rsidRPr="00ED30AE" w:rsidRDefault="00E8716B" w:rsidP="00BD766B">
            <w:pPr>
              <w:spacing w:before="40" w:after="40" w:line="320" w:lineRule="atLeast"/>
              <w:jc w:val="center"/>
              <w:rPr>
                <w:rFonts w:ascii="Verdana" w:hAnsi="Verdana"/>
                <w:b/>
                <w:bCs/>
                <w:color w:val="000000"/>
                <w:sz w:val="18"/>
                <w:szCs w:val="18"/>
              </w:rPr>
            </w:pPr>
            <w:r>
              <w:rPr>
                <w:rFonts w:ascii="Verdana" w:hAnsi="Verdana"/>
                <w:b/>
                <w:bCs/>
                <w:color w:val="000000"/>
                <w:sz w:val="18"/>
                <w:szCs w:val="18"/>
              </w:rPr>
              <w:t>168</w:t>
            </w:r>
          </w:p>
        </w:tc>
        <w:tc>
          <w:tcPr>
            <w:tcW w:w="992" w:type="dxa"/>
            <w:vAlign w:val="center"/>
          </w:tcPr>
          <w:p w14:paraId="47B74F5E" w14:textId="5E5054C7" w:rsidR="00E8716B" w:rsidRPr="00ED30AE" w:rsidRDefault="00E8716B" w:rsidP="00BD766B">
            <w:pPr>
              <w:spacing w:before="40" w:after="40" w:line="320" w:lineRule="atLeast"/>
              <w:jc w:val="center"/>
              <w:rPr>
                <w:rFonts w:ascii="Verdana" w:hAnsi="Verdana"/>
                <w:b/>
                <w:bCs/>
                <w:color w:val="000000"/>
                <w:sz w:val="18"/>
                <w:szCs w:val="18"/>
              </w:rPr>
            </w:pPr>
            <w:r>
              <w:rPr>
                <w:rFonts w:ascii="Verdana" w:hAnsi="Verdana"/>
                <w:b/>
                <w:bCs/>
                <w:color w:val="000000"/>
                <w:sz w:val="18"/>
                <w:szCs w:val="18"/>
              </w:rPr>
              <w:t>183</w:t>
            </w:r>
          </w:p>
        </w:tc>
        <w:tc>
          <w:tcPr>
            <w:tcW w:w="1134" w:type="dxa"/>
          </w:tcPr>
          <w:p w14:paraId="4B7D6225" w14:textId="0074095A" w:rsidR="00E8716B" w:rsidRDefault="00E8716B" w:rsidP="00BD766B">
            <w:pPr>
              <w:spacing w:before="40" w:after="40" w:line="320" w:lineRule="atLeast"/>
              <w:jc w:val="center"/>
              <w:rPr>
                <w:rFonts w:ascii="Verdana" w:hAnsi="Verdana"/>
                <w:b/>
                <w:bCs/>
                <w:color w:val="000000"/>
                <w:sz w:val="18"/>
                <w:szCs w:val="18"/>
              </w:rPr>
            </w:pPr>
            <w:r>
              <w:rPr>
                <w:rFonts w:ascii="Verdana" w:hAnsi="Verdana"/>
                <w:b/>
                <w:bCs/>
                <w:color w:val="000000"/>
                <w:sz w:val="18"/>
                <w:szCs w:val="18"/>
              </w:rPr>
              <w:t>211</w:t>
            </w:r>
          </w:p>
        </w:tc>
        <w:tc>
          <w:tcPr>
            <w:tcW w:w="1134" w:type="dxa"/>
          </w:tcPr>
          <w:p w14:paraId="548FE50A" w14:textId="68654117" w:rsidR="00E8716B" w:rsidRDefault="00E8716B" w:rsidP="00BD766B">
            <w:pPr>
              <w:spacing w:before="40" w:after="40" w:line="320" w:lineRule="atLeast"/>
              <w:jc w:val="center"/>
              <w:rPr>
                <w:rFonts w:ascii="Verdana" w:hAnsi="Verdana"/>
                <w:b/>
                <w:bCs/>
                <w:color w:val="000000"/>
                <w:sz w:val="18"/>
                <w:szCs w:val="18"/>
              </w:rPr>
            </w:pPr>
            <w:r>
              <w:rPr>
                <w:rFonts w:ascii="Verdana" w:hAnsi="Verdana"/>
                <w:b/>
                <w:bCs/>
                <w:color w:val="000000"/>
                <w:sz w:val="18"/>
                <w:szCs w:val="18"/>
              </w:rPr>
              <w:t>21</w:t>
            </w:r>
            <w:r w:rsidR="00BB1828">
              <w:rPr>
                <w:rFonts w:ascii="Verdana" w:hAnsi="Verdana"/>
                <w:b/>
                <w:bCs/>
                <w:color w:val="000000"/>
                <w:sz w:val="18"/>
                <w:szCs w:val="18"/>
              </w:rPr>
              <w:t>4</w:t>
            </w:r>
          </w:p>
        </w:tc>
      </w:tr>
      <w:tr w:rsidR="00E8716B" w:rsidRPr="00D60E6B" w14:paraId="5BD5C88F" w14:textId="2F529FD4" w:rsidTr="00E8716B">
        <w:tc>
          <w:tcPr>
            <w:tcW w:w="8789" w:type="dxa"/>
            <w:gridSpan w:val="6"/>
            <w:shd w:val="clear" w:color="auto" w:fill="auto"/>
          </w:tcPr>
          <w:p w14:paraId="239E1BA7" w14:textId="5863128F" w:rsidR="00E8716B" w:rsidRPr="001B0316" w:rsidRDefault="00E8716B" w:rsidP="00BC654E">
            <w:pPr>
              <w:spacing w:before="40" w:after="40" w:line="240" w:lineRule="auto"/>
              <w:rPr>
                <w:rFonts w:ascii="Verdana" w:hAnsi="Verdana"/>
                <w:i/>
                <w:iCs/>
                <w:color w:val="000000"/>
                <w:sz w:val="16"/>
                <w:szCs w:val="16"/>
                <w:lang w:val="fr-FR"/>
              </w:rPr>
            </w:pPr>
            <w:r w:rsidRPr="001B0316">
              <w:rPr>
                <w:rFonts w:ascii="Verdana" w:hAnsi="Verdana"/>
                <w:i/>
                <w:iCs/>
                <w:color w:val="000000"/>
                <w:sz w:val="16"/>
                <w:szCs w:val="16"/>
                <w:lang w:val="fr-FR"/>
              </w:rPr>
              <w:t>Source: etfSA.co.za (</w:t>
            </w:r>
            <w:r>
              <w:rPr>
                <w:rFonts w:ascii="Verdana" w:hAnsi="Verdana"/>
                <w:i/>
                <w:iCs/>
                <w:color w:val="000000"/>
                <w:sz w:val="16"/>
                <w:szCs w:val="16"/>
                <w:lang w:val="fr-FR"/>
              </w:rPr>
              <w:t>Mar</w:t>
            </w:r>
            <w:r w:rsidRPr="001B0316">
              <w:rPr>
                <w:rFonts w:ascii="Verdana" w:hAnsi="Verdana"/>
                <w:i/>
                <w:iCs/>
                <w:color w:val="000000"/>
                <w:sz w:val="16"/>
                <w:szCs w:val="16"/>
                <w:lang w:val="fr-FR"/>
              </w:rPr>
              <w:t xml:space="preserve"> 202</w:t>
            </w:r>
            <w:r>
              <w:rPr>
                <w:rFonts w:ascii="Verdana" w:hAnsi="Verdana"/>
                <w:i/>
                <w:iCs/>
                <w:color w:val="000000"/>
                <w:sz w:val="16"/>
                <w:szCs w:val="16"/>
                <w:lang w:val="fr-FR"/>
              </w:rPr>
              <w:t>4</w:t>
            </w:r>
            <w:r w:rsidRPr="001B0316">
              <w:rPr>
                <w:rFonts w:ascii="Verdana" w:hAnsi="Verdana"/>
                <w:i/>
                <w:iCs/>
                <w:color w:val="000000"/>
                <w:sz w:val="16"/>
                <w:szCs w:val="16"/>
                <w:lang w:val="fr-FR"/>
              </w:rPr>
              <w:t>)</w:t>
            </w:r>
            <w:r>
              <w:rPr>
                <w:rFonts w:ascii="Verdana" w:hAnsi="Verdana"/>
                <w:i/>
                <w:iCs/>
                <w:color w:val="000000"/>
                <w:sz w:val="16"/>
                <w:szCs w:val="16"/>
                <w:lang w:val="fr-FR"/>
              </w:rPr>
              <w:t xml:space="preserve">. </w:t>
            </w:r>
          </w:p>
        </w:tc>
        <w:tc>
          <w:tcPr>
            <w:tcW w:w="1134" w:type="dxa"/>
          </w:tcPr>
          <w:p w14:paraId="0FCA50C6" w14:textId="77777777" w:rsidR="00E8716B" w:rsidRPr="001B0316" w:rsidRDefault="00E8716B" w:rsidP="00BC654E">
            <w:pPr>
              <w:spacing w:before="40" w:after="40" w:line="240" w:lineRule="auto"/>
              <w:rPr>
                <w:rFonts w:ascii="Verdana" w:hAnsi="Verdana"/>
                <w:i/>
                <w:iCs/>
                <w:color w:val="000000"/>
                <w:sz w:val="16"/>
                <w:szCs w:val="16"/>
                <w:lang w:val="fr-FR"/>
              </w:rPr>
            </w:pPr>
          </w:p>
        </w:tc>
      </w:tr>
    </w:tbl>
    <w:p w14:paraId="79A07EBE" w14:textId="4091970A" w:rsidR="000A6521" w:rsidRDefault="000A6521" w:rsidP="00DC256C">
      <w:pPr>
        <w:spacing w:after="0" w:line="240" w:lineRule="auto"/>
        <w:jc w:val="both"/>
        <w:rPr>
          <w:rFonts w:ascii="Verdana" w:hAnsi="Verdana"/>
          <w:bCs/>
          <w:color w:val="000000" w:themeColor="text1"/>
          <w:sz w:val="21"/>
          <w:szCs w:val="21"/>
          <w:lang w:val="fr-FR"/>
        </w:rPr>
      </w:pPr>
    </w:p>
    <w:p w14:paraId="41ED610B" w14:textId="77777777" w:rsidR="00E8716B" w:rsidRDefault="00E8716B" w:rsidP="00DC256C">
      <w:pPr>
        <w:spacing w:after="0" w:line="240" w:lineRule="auto"/>
        <w:jc w:val="both"/>
        <w:rPr>
          <w:rFonts w:ascii="Verdana" w:hAnsi="Verdana"/>
          <w:bCs/>
          <w:color w:val="000000" w:themeColor="text1"/>
          <w:sz w:val="21"/>
          <w:szCs w:val="21"/>
          <w:lang w:val="fr-FR"/>
        </w:rPr>
      </w:pPr>
    </w:p>
    <w:p w14:paraId="13A3ADF9" w14:textId="78EB6CB4" w:rsidR="00E8716B" w:rsidRDefault="00E8716B" w:rsidP="00E8716B">
      <w:pPr>
        <w:spacing w:after="0" w:line="240" w:lineRule="auto"/>
        <w:rPr>
          <w:rFonts w:ascii="Verdana" w:hAnsi="Verdana"/>
          <w:b/>
          <w:bCs/>
          <w:color w:val="C00000"/>
        </w:rPr>
      </w:pPr>
      <w:r w:rsidRPr="007A7050">
        <w:rPr>
          <w:rFonts w:ascii="Verdana" w:hAnsi="Verdana"/>
          <w:b/>
          <w:bCs/>
          <w:color w:val="C00000"/>
        </w:rPr>
        <w:t xml:space="preserve">Snapshot of the SA ETP Industry as at </w:t>
      </w:r>
      <w:r>
        <w:rPr>
          <w:rFonts w:ascii="Verdana" w:hAnsi="Verdana"/>
          <w:b/>
          <w:bCs/>
          <w:color w:val="C00000"/>
        </w:rPr>
        <w:t>28</w:t>
      </w:r>
      <w:r w:rsidRPr="007A7050">
        <w:rPr>
          <w:rFonts w:ascii="Verdana" w:hAnsi="Verdana"/>
          <w:b/>
          <w:bCs/>
          <w:color w:val="C00000"/>
        </w:rPr>
        <w:t xml:space="preserve"> </w:t>
      </w:r>
      <w:r>
        <w:rPr>
          <w:rFonts w:ascii="Verdana" w:hAnsi="Verdana"/>
          <w:b/>
          <w:bCs/>
          <w:color w:val="C00000"/>
        </w:rPr>
        <w:t>March</w:t>
      </w:r>
      <w:r w:rsidRPr="007A7050">
        <w:rPr>
          <w:rFonts w:ascii="Verdana" w:hAnsi="Verdana"/>
          <w:b/>
          <w:bCs/>
          <w:color w:val="C00000"/>
        </w:rPr>
        <w:t xml:space="preserve"> 20</w:t>
      </w:r>
      <w:r>
        <w:rPr>
          <w:rFonts w:ascii="Verdana" w:hAnsi="Verdana"/>
          <w:b/>
          <w:bCs/>
          <w:color w:val="C00000"/>
        </w:rPr>
        <w:t>24</w:t>
      </w:r>
    </w:p>
    <w:p w14:paraId="0955EF4B" w14:textId="3C46CD8D" w:rsidR="00E8716B" w:rsidRPr="00833166" w:rsidRDefault="00E8716B" w:rsidP="00E8716B">
      <w:pPr>
        <w:spacing w:before="120" w:after="120" w:line="320" w:lineRule="atLeast"/>
        <w:rPr>
          <w:rFonts w:ascii="Verdana" w:hAnsi="Verdana"/>
          <w:b/>
          <w:bCs/>
          <w:color w:val="000000" w:themeColor="text1"/>
          <w:sz w:val="21"/>
          <w:szCs w:val="21"/>
        </w:rPr>
      </w:pPr>
      <w:r>
        <w:rPr>
          <w:rFonts w:ascii="Verdana" w:hAnsi="Verdana"/>
          <w:b/>
          <w:bCs/>
          <w:color w:val="000000" w:themeColor="text1"/>
          <w:sz w:val="21"/>
          <w:szCs w:val="21"/>
        </w:rPr>
        <w:t>Table B</w:t>
      </w: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67"/>
        <w:gridCol w:w="851"/>
        <w:gridCol w:w="709"/>
        <w:gridCol w:w="708"/>
        <w:gridCol w:w="709"/>
        <w:gridCol w:w="709"/>
        <w:gridCol w:w="1134"/>
        <w:gridCol w:w="992"/>
        <w:gridCol w:w="1134"/>
        <w:gridCol w:w="992"/>
        <w:gridCol w:w="1276"/>
      </w:tblGrid>
      <w:tr w:rsidR="00E8716B" w:rsidRPr="00AB6CBE" w14:paraId="0E7B05F3" w14:textId="77777777" w:rsidTr="00CA057B">
        <w:tc>
          <w:tcPr>
            <w:tcW w:w="10490" w:type="dxa"/>
            <w:gridSpan w:val="12"/>
            <w:shd w:val="clear" w:color="auto" w:fill="C00000"/>
            <w:vAlign w:val="center"/>
          </w:tcPr>
          <w:p w14:paraId="40C9CED0" w14:textId="77777777" w:rsidR="00E8716B" w:rsidRPr="003B4F95" w:rsidRDefault="00E8716B" w:rsidP="00BD766B">
            <w:pPr>
              <w:spacing w:before="40" w:after="40" w:line="320" w:lineRule="atLeast"/>
              <w:jc w:val="center"/>
              <w:rPr>
                <w:rFonts w:ascii="Verdana" w:hAnsi="Verdana"/>
                <w:b/>
                <w:color w:val="FFFFFF"/>
                <w:sz w:val="18"/>
                <w:szCs w:val="18"/>
              </w:rPr>
            </w:pPr>
            <w:r w:rsidRPr="003B4F95">
              <w:rPr>
                <w:rFonts w:ascii="Verdana" w:hAnsi="Verdana"/>
                <w:b/>
                <w:color w:val="FFFFFF"/>
                <w:sz w:val="18"/>
                <w:szCs w:val="18"/>
              </w:rPr>
              <w:t>The South African Exchange Traded Product Industry</w:t>
            </w:r>
          </w:p>
          <w:p w14:paraId="190FCEBE" w14:textId="0091AC35" w:rsidR="00E8716B" w:rsidRPr="003B4F95" w:rsidRDefault="00E8716B" w:rsidP="00BD766B">
            <w:pPr>
              <w:spacing w:before="40" w:after="40" w:line="320" w:lineRule="atLeast"/>
              <w:jc w:val="center"/>
              <w:rPr>
                <w:rFonts w:ascii="Verdana" w:hAnsi="Verdana"/>
                <w:b/>
                <w:color w:val="FFFFFF"/>
                <w:sz w:val="18"/>
                <w:szCs w:val="18"/>
              </w:rPr>
            </w:pPr>
            <w:r w:rsidRPr="003B4F95">
              <w:rPr>
                <w:rFonts w:ascii="Verdana" w:hAnsi="Verdana"/>
                <w:b/>
                <w:color w:val="FFFFFF"/>
                <w:sz w:val="18"/>
                <w:szCs w:val="18"/>
              </w:rPr>
              <w:t xml:space="preserve">(as at </w:t>
            </w:r>
            <w:r>
              <w:rPr>
                <w:rFonts w:ascii="Verdana" w:hAnsi="Verdana"/>
                <w:b/>
                <w:color w:val="FFFFFF"/>
                <w:sz w:val="18"/>
                <w:szCs w:val="18"/>
              </w:rPr>
              <w:t>28 March</w:t>
            </w:r>
            <w:r w:rsidRPr="003B4F95">
              <w:rPr>
                <w:rFonts w:ascii="Verdana" w:hAnsi="Verdana"/>
                <w:b/>
                <w:color w:val="FFFFFF"/>
                <w:sz w:val="18"/>
                <w:szCs w:val="18"/>
              </w:rPr>
              <w:t xml:space="preserve"> 20</w:t>
            </w:r>
            <w:r>
              <w:rPr>
                <w:rFonts w:ascii="Verdana" w:hAnsi="Verdana"/>
                <w:b/>
                <w:color w:val="FFFFFF"/>
                <w:sz w:val="18"/>
                <w:szCs w:val="18"/>
              </w:rPr>
              <w:t>24</w:t>
            </w:r>
            <w:r w:rsidRPr="003B4F95">
              <w:rPr>
                <w:rFonts w:ascii="Verdana" w:hAnsi="Verdana"/>
                <w:b/>
                <w:color w:val="FFFFFF"/>
                <w:sz w:val="18"/>
                <w:szCs w:val="18"/>
              </w:rPr>
              <w:t>)</w:t>
            </w:r>
          </w:p>
        </w:tc>
      </w:tr>
      <w:tr w:rsidR="00E8716B" w:rsidRPr="00AB6CBE" w14:paraId="7218CDD9" w14:textId="77777777" w:rsidTr="00CA057B">
        <w:trPr>
          <w:trHeight w:val="311"/>
        </w:trPr>
        <w:tc>
          <w:tcPr>
            <w:tcW w:w="709" w:type="dxa"/>
            <w:vMerge w:val="restart"/>
            <w:shd w:val="clear" w:color="auto" w:fill="4C4C4C"/>
            <w:vAlign w:val="center"/>
          </w:tcPr>
          <w:p w14:paraId="209FF43A" w14:textId="77777777" w:rsidR="00E8716B" w:rsidRPr="00893171" w:rsidRDefault="00E8716B" w:rsidP="00BD766B">
            <w:pPr>
              <w:spacing w:before="40" w:after="40" w:line="320" w:lineRule="atLeast"/>
              <w:rPr>
                <w:rFonts w:ascii="Verdana" w:hAnsi="Verdana"/>
                <w:b/>
                <w:color w:val="FFFFFF"/>
                <w:sz w:val="16"/>
                <w:szCs w:val="16"/>
              </w:rPr>
            </w:pPr>
          </w:p>
        </w:tc>
        <w:tc>
          <w:tcPr>
            <w:tcW w:w="1418" w:type="dxa"/>
            <w:gridSpan w:val="2"/>
            <w:vMerge w:val="restart"/>
            <w:shd w:val="clear" w:color="auto" w:fill="4C4C4C"/>
            <w:vAlign w:val="center"/>
          </w:tcPr>
          <w:p w14:paraId="33690A58" w14:textId="77777777" w:rsidR="00E8716B" w:rsidRPr="008870CE" w:rsidRDefault="00E8716B" w:rsidP="00BD766B">
            <w:pPr>
              <w:spacing w:before="40" w:after="40" w:line="320" w:lineRule="atLeast"/>
              <w:rPr>
                <w:rFonts w:ascii="Verdana" w:hAnsi="Verdana"/>
                <w:b/>
                <w:color w:val="FFFFFF"/>
                <w:sz w:val="14"/>
                <w:szCs w:val="14"/>
              </w:rPr>
            </w:pPr>
            <w:r w:rsidRPr="008870CE">
              <w:rPr>
                <w:rFonts w:ascii="Verdana" w:hAnsi="Verdana"/>
                <w:b/>
                <w:color w:val="FFFFFF"/>
                <w:sz w:val="14"/>
                <w:szCs w:val="14"/>
              </w:rPr>
              <w:t>Issuer</w:t>
            </w:r>
          </w:p>
        </w:tc>
        <w:tc>
          <w:tcPr>
            <w:tcW w:w="2835" w:type="dxa"/>
            <w:gridSpan w:val="4"/>
            <w:shd w:val="clear" w:color="auto" w:fill="4C4C4C"/>
            <w:vAlign w:val="center"/>
          </w:tcPr>
          <w:p w14:paraId="5FBEB16D" w14:textId="77777777" w:rsidR="00E8716B" w:rsidRPr="008870CE" w:rsidRDefault="00E8716B" w:rsidP="00BD766B">
            <w:pPr>
              <w:spacing w:before="40" w:after="40" w:line="320" w:lineRule="atLeast"/>
              <w:jc w:val="center"/>
              <w:rPr>
                <w:rFonts w:ascii="Verdana" w:hAnsi="Verdana"/>
                <w:b/>
                <w:color w:val="FFFFFF"/>
                <w:sz w:val="14"/>
                <w:szCs w:val="14"/>
              </w:rPr>
            </w:pPr>
            <w:r w:rsidRPr="008870CE">
              <w:rPr>
                <w:rFonts w:ascii="Verdana" w:hAnsi="Verdana"/>
                <w:b/>
                <w:color w:val="FFFFFF"/>
                <w:sz w:val="14"/>
                <w:szCs w:val="14"/>
              </w:rPr>
              <w:t>Number of Products</w:t>
            </w:r>
          </w:p>
        </w:tc>
        <w:tc>
          <w:tcPr>
            <w:tcW w:w="4252" w:type="dxa"/>
            <w:gridSpan w:val="4"/>
            <w:shd w:val="clear" w:color="auto" w:fill="4C4C4C"/>
            <w:vAlign w:val="center"/>
          </w:tcPr>
          <w:p w14:paraId="31A98C2C" w14:textId="77777777" w:rsidR="00E8716B" w:rsidRPr="008870CE" w:rsidRDefault="00E8716B" w:rsidP="00BD766B">
            <w:pPr>
              <w:spacing w:before="40" w:after="40" w:line="320" w:lineRule="atLeast"/>
              <w:jc w:val="center"/>
              <w:rPr>
                <w:rFonts w:ascii="Verdana" w:hAnsi="Verdana"/>
                <w:b/>
                <w:color w:val="FFFFFF"/>
                <w:sz w:val="14"/>
                <w:szCs w:val="14"/>
              </w:rPr>
            </w:pPr>
            <w:r w:rsidRPr="008870CE">
              <w:rPr>
                <w:rFonts w:ascii="Verdana" w:hAnsi="Verdana"/>
                <w:b/>
                <w:color w:val="FFFFFF"/>
                <w:sz w:val="14"/>
                <w:szCs w:val="14"/>
              </w:rPr>
              <w:t>Value (Market Cap) of Shares in Issue (Rm)</w:t>
            </w:r>
          </w:p>
        </w:tc>
        <w:tc>
          <w:tcPr>
            <w:tcW w:w="1276" w:type="dxa"/>
            <w:vMerge w:val="restart"/>
            <w:shd w:val="clear" w:color="auto" w:fill="4C4C4C"/>
            <w:vAlign w:val="center"/>
          </w:tcPr>
          <w:p w14:paraId="50734B33" w14:textId="77777777" w:rsidR="00E8716B" w:rsidRPr="008870CE" w:rsidRDefault="00E8716B" w:rsidP="00BD766B">
            <w:pPr>
              <w:spacing w:before="40" w:after="40" w:line="320" w:lineRule="atLeast"/>
              <w:jc w:val="right"/>
              <w:rPr>
                <w:rFonts w:ascii="Verdana" w:hAnsi="Verdana"/>
                <w:b/>
                <w:color w:val="FFFFFF"/>
                <w:sz w:val="14"/>
                <w:szCs w:val="14"/>
              </w:rPr>
            </w:pPr>
            <w:r w:rsidRPr="008870CE">
              <w:rPr>
                <w:rFonts w:ascii="Verdana" w:hAnsi="Verdana"/>
                <w:b/>
                <w:color w:val="FFFFFF"/>
                <w:sz w:val="13"/>
                <w:szCs w:val="13"/>
              </w:rPr>
              <w:t>Total Market Capitalisation</w:t>
            </w:r>
            <w:r w:rsidRPr="008870CE">
              <w:rPr>
                <w:rFonts w:ascii="Verdana" w:hAnsi="Verdana"/>
                <w:b/>
                <w:color w:val="FFFFFF"/>
                <w:sz w:val="14"/>
                <w:szCs w:val="14"/>
              </w:rPr>
              <w:t xml:space="preserve"> </w:t>
            </w:r>
            <w:r w:rsidRPr="008870CE">
              <w:rPr>
                <w:rFonts w:ascii="Verdana" w:hAnsi="Verdana"/>
                <w:b/>
                <w:color w:val="FFFFFF"/>
                <w:sz w:val="13"/>
                <w:szCs w:val="13"/>
              </w:rPr>
              <w:t>(Rm)</w:t>
            </w:r>
          </w:p>
        </w:tc>
      </w:tr>
      <w:tr w:rsidR="00E8716B" w:rsidRPr="00AB6CBE" w14:paraId="1FB36C25" w14:textId="77777777" w:rsidTr="00CA057B">
        <w:trPr>
          <w:trHeight w:val="311"/>
        </w:trPr>
        <w:tc>
          <w:tcPr>
            <w:tcW w:w="709" w:type="dxa"/>
            <w:vMerge/>
            <w:shd w:val="clear" w:color="auto" w:fill="4C4C4C"/>
            <w:vAlign w:val="center"/>
          </w:tcPr>
          <w:p w14:paraId="3C9DF45E" w14:textId="77777777" w:rsidR="00E8716B" w:rsidRPr="003B4F95" w:rsidRDefault="00E8716B" w:rsidP="00BD766B">
            <w:pPr>
              <w:spacing w:before="40" w:after="40" w:line="320" w:lineRule="atLeast"/>
              <w:rPr>
                <w:rFonts w:ascii="Verdana" w:hAnsi="Verdana"/>
                <w:b/>
                <w:color w:val="FFFFFF"/>
                <w:sz w:val="18"/>
                <w:szCs w:val="18"/>
              </w:rPr>
            </w:pPr>
          </w:p>
        </w:tc>
        <w:tc>
          <w:tcPr>
            <w:tcW w:w="1418" w:type="dxa"/>
            <w:gridSpan w:val="2"/>
            <w:vMerge/>
            <w:shd w:val="clear" w:color="auto" w:fill="4C4C4C"/>
          </w:tcPr>
          <w:p w14:paraId="12B4A1C7" w14:textId="77777777" w:rsidR="00E8716B" w:rsidRPr="008870CE" w:rsidRDefault="00E8716B" w:rsidP="00BD766B">
            <w:pPr>
              <w:spacing w:before="40" w:after="40" w:line="320" w:lineRule="atLeast"/>
              <w:rPr>
                <w:rFonts w:ascii="Verdana" w:hAnsi="Verdana"/>
                <w:b/>
                <w:color w:val="FFFFFF"/>
                <w:sz w:val="14"/>
                <w:szCs w:val="14"/>
              </w:rPr>
            </w:pPr>
          </w:p>
        </w:tc>
        <w:tc>
          <w:tcPr>
            <w:tcW w:w="709" w:type="dxa"/>
            <w:shd w:val="clear" w:color="auto" w:fill="4C4C4C"/>
            <w:vAlign w:val="center"/>
          </w:tcPr>
          <w:p w14:paraId="36AF0AC9" w14:textId="77777777" w:rsidR="00E8716B" w:rsidRPr="008870CE" w:rsidRDefault="00E8716B" w:rsidP="00BD766B">
            <w:pPr>
              <w:spacing w:before="40" w:after="40" w:line="320" w:lineRule="atLeast"/>
              <w:jc w:val="center"/>
              <w:rPr>
                <w:rFonts w:ascii="Verdana" w:hAnsi="Verdana"/>
                <w:b/>
                <w:color w:val="FFFFFF"/>
                <w:sz w:val="14"/>
                <w:szCs w:val="14"/>
              </w:rPr>
            </w:pPr>
            <w:r w:rsidRPr="008870CE">
              <w:rPr>
                <w:rFonts w:ascii="Verdana" w:hAnsi="Verdana"/>
                <w:b/>
                <w:color w:val="FFFFFF"/>
                <w:sz w:val="14"/>
                <w:szCs w:val="14"/>
              </w:rPr>
              <w:t>ETFs</w:t>
            </w:r>
          </w:p>
        </w:tc>
        <w:tc>
          <w:tcPr>
            <w:tcW w:w="708" w:type="dxa"/>
            <w:shd w:val="clear" w:color="auto" w:fill="4C4C4C"/>
            <w:vAlign w:val="center"/>
          </w:tcPr>
          <w:p w14:paraId="743DA366" w14:textId="77777777" w:rsidR="00E8716B" w:rsidRPr="008870CE" w:rsidRDefault="00E8716B" w:rsidP="00BD766B">
            <w:pPr>
              <w:spacing w:before="40" w:after="40" w:line="320" w:lineRule="atLeast"/>
              <w:jc w:val="center"/>
              <w:rPr>
                <w:rFonts w:ascii="Verdana" w:hAnsi="Verdana"/>
                <w:b/>
                <w:color w:val="FFFFFF"/>
                <w:sz w:val="14"/>
                <w:szCs w:val="14"/>
              </w:rPr>
            </w:pPr>
            <w:r w:rsidRPr="008870CE">
              <w:rPr>
                <w:rFonts w:ascii="Verdana" w:hAnsi="Verdana"/>
                <w:b/>
                <w:color w:val="FFFFFF"/>
                <w:sz w:val="14"/>
                <w:szCs w:val="14"/>
              </w:rPr>
              <w:t>ETNs</w:t>
            </w:r>
          </w:p>
        </w:tc>
        <w:tc>
          <w:tcPr>
            <w:tcW w:w="709" w:type="dxa"/>
            <w:shd w:val="clear" w:color="auto" w:fill="4C4C4C"/>
            <w:vAlign w:val="center"/>
          </w:tcPr>
          <w:p w14:paraId="7BB26CD9" w14:textId="77777777" w:rsidR="00E8716B" w:rsidRPr="008870CE" w:rsidRDefault="00E8716B" w:rsidP="00BD766B">
            <w:pPr>
              <w:spacing w:before="40" w:after="40" w:line="320" w:lineRule="atLeast"/>
              <w:jc w:val="center"/>
              <w:rPr>
                <w:rFonts w:ascii="Verdana" w:hAnsi="Verdana"/>
                <w:b/>
                <w:color w:val="FFFFFF"/>
                <w:sz w:val="14"/>
                <w:szCs w:val="14"/>
              </w:rPr>
            </w:pPr>
            <w:r w:rsidRPr="008870CE">
              <w:rPr>
                <w:rFonts w:ascii="Verdana" w:hAnsi="Verdana"/>
                <w:b/>
                <w:color w:val="FFFFFF"/>
                <w:sz w:val="14"/>
                <w:szCs w:val="14"/>
              </w:rPr>
              <w:t>AMCs</w:t>
            </w:r>
          </w:p>
        </w:tc>
        <w:tc>
          <w:tcPr>
            <w:tcW w:w="709" w:type="dxa"/>
            <w:shd w:val="clear" w:color="auto" w:fill="4C4C4C"/>
            <w:vAlign w:val="center"/>
          </w:tcPr>
          <w:p w14:paraId="0706B726" w14:textId="77777777" w:rsidR="00E8716B" w:rsidRPr="008870CE" w:rsidRDefault="00E8716B" w:rsidP="00BD766B">
            <w:pPr>
              <w:spacing w:before="40" w:after="40" w:line="320" w:lineRule="atLeast"/>
              <w:jc w:val="center"/>
              <w:rPr>
                <w:rFonts w:ascii="Verdana" w:hAnsi="Verdana"/>
                <w:b/>
                <w:color w:val="FFFFFF"/>
                <w:sz w:val="14"/>
                <w:szCs w:val="14"/>
              </w:rPr>
            </w:pPr>
            <w:r w:rsidRPr="008870CE">
              <w:rPr>
                <w:rFonts w:ascii="Verdana" w:hAnsi="Verdana"/>
                <w:b/>
                <w:color w:val="FFFFFF"/>
                <w:sz w:val="14"/>
                <w:szCs w:val="14"/>
              </w:rPr>
              <w:t>AM ETFs</w:t>
            </w:r>
          </w:p>
        </w:tc>
        <w:tc>
          <w:tcPr>
            <w:tcW w:w="1134" w:type="dxa"/>
            <w:shd w:val="clear" w:color="auto" w:fill="4C4C4C"/>
            <w:vAlign w:val="center"/>
          </w:tcPr>
          <w:p w14:paraId="27ACD917" w14:textId="77777777" w:rsidR="00E8716B" w:rsidRPr="008870CE" w:rsidRDefault="00E8716B" w:rsidP="00BD766B">
            <w:pPr>
              <w:spacing w:before="40" w:after="40" w:line="320" w:lineRule="atLeast"/>
              <w:jc w:val="right"/>
              <w:rPr>
                <w:rFonts w:ascii="Verdana" w:hAnsi="Verdana"/>
                <w:b/>
                <w:color w:val="FFFFFF"/>
                <w:sz w:val="14"/>
                <w:szCs w:val="14"/>
              </w:rPr>
            </w:pPr>
            <w:r w:rsidRPr="008870CE">
              <w:rPr>
                <w:rFonts w:ascii="Verdana" w:hAnsi="Verdana"/>
                <w:b/>
                <w:color w:val="FFFFFF"/>
                <w:sz w:val="14"/>
                <w:szCs w:val="14"/>
              </w:rPr>
              <w:t>ETFs</w:t>
            </w:r>
          </w:p>
        </w:tc>
        <w:tc>
          <w:tcPr>
            <w:tcW w:w="992" w:type="dxa"/>
            <w:shd w:val="clear" w:color="auto" w:fill="4C4C4C"/>
            <w:vAlign w:val="center"/>
          </w:tcPr>
          <w:p w14:paraId="2D11083F" w14:textId="77777777" w:rsidR="00E8716B" w:rsidRPr="008870CE" w:rsidRDefault="00E8716B" w:rsidP="00BD766B">
            <w:pPr>
              <w:spacing w:before="40" w:after="40" w:line="320" w:lineRule="atLeast"/>
              <w:jc w:val="right"/>
              <w:rPr>
                <w:rFonts w:ascii="Verdana" w:hAnsi="Verdana"/>
                <w:b/>
                <w:color w:val="FFFFFF"/>
                <w:sz w:val="14"/>
                <w:szCs w:val="14"/>
              </w:rPr>
            </w:pPr>
            <w:r w:rsidRPr="008870CE">
              <w:rPr>
                <w:rFonts w:ascii="Verdana" w:hAnsi="Verdana"/>
                <w:b/>
                <w:color w:val="FFFFFF"/>
                <w:sz w:val="14"/>
                <w:szCs w:val="14"/>
              </w:rPr>
              <w:t>ETNs</w:t>
            </w:r>
          </w:p>
        </w:tc>
        <w:tc>
          <w:tcPr>
            <w:tcW w:w="1134" w:type="dxa"/>
            <w:shd w:val="clear" w:color="auto" w:fill="4C4C4C"/>
            <w:vAlign w:val="center"/>
          </w:tcPr>
          <w:p w14:paraId="017617E8" w14:textId="77777777" w:rsidR="00E8716B" w:rsidRPr="008870CE" w:rsidRDefault="00E8716B" w:rsidP="00BD766B">
            <w:pPr>
              <w:spacing w:before="40" w:after="40" w:line="320" w:lineRule="atLeast"/>
              <w:jc w:val="right"/>
              <w:rPr>
                <w:rFonts w:ascii="Verdana" w:hAnsi="Verdana"/>
                <w:b/>
                <w:color w:val="FFFFFF"/>
                <w:sz w:val="14"/>
                <w:szCs w:val="14"/>
              </w:rPr>
            </w:pPr>
            <w:r w:rsidRPr="008870CE">
              <w:rPr>
                <w:rFonts w:ascii="Verdana" w:hAnsi="Verdana"/>
                <w:b/>
                <w:color w:val="FFFFFF"/>
                <w:sz w:val="14"/>
                <w:szCs w:val="14"/>
              </w:rPr>
              <w:t>AMCs</w:t>
            </w:r>
          </w:p>
        </w:tc>
        <w:tc>
          <w:tcPr>
            <w:tcW w:w="992" w:type="dxa"/>
            <w:shd w:val="clear" w:color="auto" w:fill="4C4C4C"/>
            <w:vAlign w:val="center"/>
          </w:tcPr>
          <w:p w14:paraId="2A7FC98B" w14:textId="77777777" w:rsidR="00E8716B" w:rsidRPr="008870CE" w:rsidRDefault="00E8716B" w:rsidP="00BD766B">
            <w:pPr>
              <w:spacing w:before="40" w:after="40" w:line="320" w:lineRule="atLeast"/>
              <w:jc w:val="right"/>
              <w:rPr>
                <w:rFonts w:ascii="Verdana" w:hAnsi="Verdana"/>
                <w:b/>
                <w:color w:val="FFFFFF"/>
                <w:sz w:val="14"/>
                <w:szCs w:val="14"/>
              </w:rPr>
            </w:pPr>
            <w:r w:rsidRPr="008870CE">
              <w:rPr>
                <w:rFonts w:ascii="Verdana" w:hAnsi="Verdana"/>
                <w:b/>
                <w:color w:val="FFFFFF"/>
                <w:sz w:val="14"/>
                <w:szCs w:val="14"/>
              </w:rPr>
              <w:t>AM ETFs</w:t>
            </w:r>
          </w:p>
        </w:tc>
        <w:tc>
          <w:tcPr>
            <w:tcW w:w="1276" w:type="dxa"/>
            <w:vMerge/>
            <w:shd w:val="clear" w:color="auto" w:fill="4C4C4C"/>
            <w:vAlign w:val="center"/>
          </w:tcPr>
          <w:p w14:paraId="03639E10" w14:textId="77777777" w:rsidR="00E8716B" w:rsidRPr="003B4F95" w:rsidRDefault="00E8716B" w:rsidP="00BD766B">
            <w:pPr>
              <w:spacing w:before="40" w:after="40" w:line="320" w:lineRule="atLeast"/>
              <w:jc w:val="right"/>
              <w:rPr>
                <w:rFonts w:ascii="Verdana" w:hAnsi="Verdana"/>
                <w:b/>
                <w:color w:val="FFFFFF"/>
                <w:sz w:val="18"/>
                <w:szCs w:val="18"/>
              </w:rPr>
            </w:pPr>
          </w:p>
        </w:tc>
      </w:tr>
      <w:tr w:rsidR="00E8716B" w:rsidRPr="00AB6CBE" w14:paraId="5EE81A30" w14:textId="77777777" w:rsidTr="00CA057B">
        <w:tc>
          <w:tcPr>
            <w:tcW w:w="709" w:type="dxa"/>
            <w:shd w:val="clear" w:color="auto" w:fill="auto"/>
          </w:tcPr>
          <w:p w14:paraId="41489C99" w14:textId="77777777" w:rsidR="00E8716B" w:rsidRPr="00893171" w:rsidRDefault="00E8716B" w:rsidP="00BD766B">
            <w:pPr>
              <w:pStyle w:val="ListParagraph"/>
              <w:numPr>
                <w:ilvl w:val="0"/>
                <w:numId w:val="20"/>
              </w:numPr>
              <w:spacing w:before="40" w:after="40" w:line="320" w:lineRule="atLeast"/>
              <w:ind w:left="357" w:hanging="357"/>
              <w:rPr>
                <w:rFonts w:ascii="Verdana" w:hAnsi="Verdana"/>
                <w:color w:val="000000"/>
                <w:sz w:val="16"/>
                <w:szCs w:val="16"/>
              </w:rPr>
            </w:pPr>
          </w:p>
        </w:tc>
        <w:tc>
          <w:tcPr>
            <w:tcW w:w="1418" w:type="dxa"/>
            <w:gridSpan w:val="2"/>
            <w:shd w:val="clear" w:color="auto" w:fill="auto"/>
          </w:tcPr>
          <w:p w14:paraId="19AC70EA" w14:textId="77777777" w:rsidR="00E8716B" w:rsidRPr="00893171" w:rsidRDefault="00E8716B" w:rsidP="00BD766B">
            <w:pPr>
              <w:spacing w:before="40" w:after="40" w:line="320" w:lineRule="atLeast"/>
              <w:rPr>
                <w:rFonts w:ascii="Verdana" w:hAnsi="Verdana"/>
                <w:color w:val="000000" w:themeColor="text1"/>
                <w:sz w:val="16"/>
                <w:szCs w:val="16"/>
              </w:rPr>
            </w:pPr>
            <w:r w:rsidRPr="00893171">
              <w:rPr>
                <w:rFonts w:ascii="Verdana" w:hAnsi="Verdana"/>
                <w:color w:val="000000" w:themeColor="text1"/>
                <w:sz w:val="16"/>
                <w:szCs w:val="16"/>
              </w:rPr>
              <w:t>Satrix Managers</w:t>
            </w:r>
          </w:p>
        </w:tc>
        <w:tc>
          <w:tcPr>
            <w:tcW w:w="709" w:type="dxa"/>
            <w:shd w:val="clear" w:color="auto" w:fill="auto"/>
            <w:vAlign w:val="center"/>
          </w:tcPr>
          <w:p w14:paraId="07747C34" w14:textId="53D83D8E" w:rsidR="00E8716B" w:rsidRPr="00893171" w:rsidRDefault="00E8716B" w:rsidP="00BD766B">
            <w:pPr>
              <w:spacing w:before="40" w:after="40" w:line="320" w:lineRule="atLeast"/>
              <w:jc w:val="center"/>
              <w:rPr>
                <w:rFonts w:ascii="Verdana" w:hAnsi="Verdana"/>
                <w:color w:val="000000"/>
                <w:sz w:val="16"/>
                <w:szCs w:val="16"/>
              </w:rPr>
            </w:pPr>
            <w:r>
              <w:rPr>
                <w:rFonts w:ascii="Verdana" w:hAnsi="Verdana"/>
                <w:color w:val="000000"/>
                <w:sz w:val="16"/>
                <w:szCs w:val="16"/>
              </w:rPr>
              <w:t>36</w:t>
            </w:r>
          </w:p>
        </w:tc>
        <w:tc>
          <w:tcPr>
            <w:tcW w:w="708" w:type="dxa"/>
            <w:shd w:val="clear" w:color="auto" w:fill="auto"/>
            <w:vAlign w:val="center"/>
          </w:tcPr>
          <w:p w14:paraId="1ACD9D67" w14:textId="77777777" w:rsidR="00E8716B" w:rsidRPr="00893171" w:rsidRDefault="00E8716B" w:rsidP="00BD766B">
            <w:pPr>
              <w:spacing w:before="40" w:after="40" w:line="320" w:lineRule="atLeast"/>
              <w:jc w:val="center"/>
              <w:rPr>
                <w:rFonts w:ascii="Verdana" w:hAnsi="Verdana"/>
                <w:color w:val="000000"/>
                <w:sz w:val="16"/>
                <w:szCs w:val="16"/>
              </w:rPr>
            </w:pPr>
            <w:r w:rsidRPr="00893171">
              <w:rPr>
                <w:rFonts w:ascii="Verdana" w:hAnsi="Verdana"/>
                <w:color w:val="000000"/>
                <w:sz w:val="16"/>
                <w:szCs w:val="16"/>
              </w:rPr>
              <w:t>-</w:t>
            </w:r>
          </w:p>
        </w:tc>
        <w:tc>
          <w:tcPr>
            <w:tcW w:w="709" w:type="dxa"/>
            <w:shd w:val="clear" w:color="auto" w:fill="auto"/>
            <w:vAlign w:val="center"/>
          </w:tcPr>
          <w:p w14:paraId="5D1C28F8" w14:textId="77777777" w:rsidR="00E8716B" w:rsidRPr="00893171" w:rsidRDefault="00E8716B" w:rsidP="00BD766B">
            <w:pPr>
              <w:spacing w:before="40" w:after="40" w:line="320" w:lineRule="atLeast"/>
              <w:jc w:val="center"/>
              <w:rPr>
                <w:rFonts w:ascii="Verdana" w:hAnsi="Verdana"/>
                <w:color w:val="000000"/>
                <w:sz w:val="16"/>
                <w:szCs w:val="16"/>
              </w:rPr>
            </w:pPr>
            <w:r w:rsidRPr="00893171">
              <w:rPr>
                <w:rFonts w:ascii="Verdana" w:hAnsi="Verdana"/>
                <w:color w:val="000000"/>
                <w:sz w:val="16"/>
                <w:szCs w:val="16"/>
              </w:rPr>
              <w:t>-</w:t>
            </w:r>
          </w:p>
        </w:tc>
        <w:tc>
          <w:tcPr>
            <w:tcW w:w="709" w:type="dxa"/>
            <w:shd w:val="clear" w:color="auto" w:fill="auto"/>
            <w:vAlign w:val="center"/>
          </w:tcPr>
          <w:p w14:paraId="1C5CA6E9" w14:textId="77777777" w:rsidR="00E8716B" w:rsidRPr="00893171" w:rsidRDefault="00E8716B" w:rsidP="00BD766B">
            <w:pPr>
              <w:spacing w:before="40" w:after="40" w:line="320" w:lineRule="atLeast"/>
              <w:jc w:val="center"/>
              <w:rPr>
                <w:rFonts w:ascii="Verdana" w:hAnsi="Verdana"/>
                <w:color w:val="000000"/>
                <w:sz w:val="16"/>
                <w:szCs w:val="16"/>
              </w:rPr>
            </w:pPr>
            <w:r>
              <w:rPr>
                <w:rFonts w:ascii="Verdana" w:hAnsi="Verdana"/>
                <w:color w:val="000000"/>
                <w:sz w:val="16"/>
                <w:szCs w:val="16"/>
              </w:rPr>
              <w:t>-</w:t>
            </w:r>
          </w:p>
        </w:tc>
        <w:tc>
          <w:tcPr>
            <w:tcW w:w="1134" w:type="dxa"/>
            <w:vAlign w:val="center"/>
          </w:tcPr>
          <w:p w14:paraId="297BF2F1" w14:textId="05DF390F" w:rsidR="00E8716B" w:rsidRPr="00893171" w:rsidRDefault="00BD766B" w:rsidP="00BD766B">
            <w:pPr>
              <w:spacing w:before="40" w:after="40" w:line="320" w:lineRule="atLeast"/>
              <w:jc w:val="right"/>
              <w:rPr>
                <w:rFonts w:ascii="Verdana" w:hAnsi="Verdana"/>
                <w:color w:val="000000"/>
                <w:sz w:val="16"/>
                <w:szCs w:val="16"/>
              </w:rPr>
            </w:pPr>
            <w:r>
              <w:rPr>
                <w:rFonts w:ascii="Verdana" w:hAnsi="Verdana"/>
                <w:color w:val="000000"/>
                <w:sz w:val="16"/>
                <w:szCs w:val="16"/>
              </w:rPr>
              <w:t>55 620,1</w:t>
            </w:r>
          </w:p>
        </w:tc>
        <w:tc>
          <w:tcPr>
            <w:tcW w:w="992" w:type="dxa"/>
            <w:vAlign w:val="center"/>
          </w:tcPr>
          <w:p w14:paraId="1323C72B" w14:textId="77777777" w:rsidR="00E8716B" w:rsidRPr="00893171" w:rsidRDefault="00E8716B" w:rsidP="00BD766B">
            <w:pPr>
              <w:spacing w:before="40" w:after="40" w:line="320" w:lineRule="atLeast"/>
              <w:jc w:val="right"/>
              <w:rPr>
                <w:rFonts w:ascii="Verdana" w:hAnsi="Verdana"/>
                <w:color w:val="000000"/>
                <w:sz w:val="16"/>
                <w:szCs w:val="16"/>
              </w:rPr>
            </w:pPr>
          </w:p>
        </w:tc>
        <w:tc>
          <w:tcPr>
            <w:tcW w:w="1134" w:type="dxa"/>
            <w:vAlign w:val="center"/>
          </w:tcPr>
          <w:p w14:paraId="5E9C7843" w14:textId="77777777" w:rsidR="00E8716B" w:rsidRPr="00893171" w:rsidRDefault="00E8716B" w:rsidP="00BD766B">
            <w:pPr>
              <w:spacing w:before="40" w:after="40" w:line="320" w:lineRule="atLeast"/>
              <w:jc w:val="right"/>
              <w:rPr>
                <w:rFonts w:ascii="Verdana" w:hAnsi="Verdana"/>
                <w:color w:val="000000"/>
                <w:sz w:val="16"/>
                <w:szCs w:val="16"/>
              </w:rPr>
            </w:pPr>
            <w:r>
              <w:rPr>
                <w:rFonts w:ascii="Verdana" w:hAnsi="Verdana"/>
                <w:color w:val="000000"/>
                <w:sz w:val="16"/>
                <w:szCs w:val="16"/>
              </w:rPr>
              <w:t>-</w:t>
            </w:r>
          </w:p>
        </w:tc>
        <w:tc>
          <w:tcPr>
            <w:tcW w:w="992" w:type="dxa"/>
            <w:vAlign w:val="center"/>
          </w:tcPr>
          <w:p w14:paraId="33BE92A9" w14:textId="77777777" w:rsidR="00E8716B" w:rsidRPr="00893171" w:rsidRDefault="00E8716B" w:rsidP="00BD766B">
            <w:pPr>
              <w:spacing w:before="40" w:after="40" w:line="320" w:lineRule="atLeast"/>
              <w:jc w:val="right"/>
              <w:rPr>
                <w:rFonts w:ascii="Verdana" w:hAnsi="Verdana"/>
                <w:color w:val="000000"/>
                <w:sz w:val="16"/>
                <w:szCs w:val="16"/>
              </w:rPr>
            </w:pPr>
            <w:r>
              <w:rPr>
                <w:rFonts w:ascii="Verdana" w:hAnsi="Verdana"/>
                <w:color w:val="000000"/>
                <w:sz w:val="16"/>
                <w:szCs w:val="16"/>
              </w:rPr>
              <w:t>-</w:t>
            </w:r>
          </w:p>
        </w:tc>
        <w:tc>
          <w:tcPr>
            <w:tcW w:w="1276" w:type="dxa"/>
            <w:vAlign w:val="center"/>
          </w:tcPr>
          <w:p w14:paraId="310D1B96" w14:textId="6C341D9A" w:rsidR="00E8716B" w:rsidRPr="00893171" w:rsidRDefault="00E8716B" w:rsidP="00BD766B">
            <w:pPr>
              <w:spacing w:before="40" w:after="40" w:line="320" w:lineRule="atLeast"/>
              <w:jc w:val="right"/>
              <w:rPr>
                <w:rFonts w:ascii="Verdana" w:hAnsi="Verdana"/>
                <w:color w:val="000000"/>
                <w:sz w:val="16"/>
                <w:szCs w:val="16"/>
              </w:rPr>
            </w:pPr>
            <w:r>
              <w:rPr>
                <w:rFonts w:ascii="Verdana" w:hAnsi="Verdana"/>
                <w:color w:val="000000"/>
                <w:sz w:val="16"/>
                <w:szCs w:val="16"/>
              </w:rPr>
              <w:t>5</w:t>
            </w:r>
            <w:r w:rsidR="00BD766B">
              <w:rPr>
                <w:rFonts w:ascii="Verdana" w:hAnsi="Verdana"/>
                <w:color w:val="000000"/>
                <w:sz w:val="16"/>
                <w:szCs w:val="16"/>
              </w:rPr>
              <w:t>5</w:t>
            </w:r>
            <w:r>
              <w:rPr>
                <w:rFonts w:ascii="Verdana" w:hAnsi="Verdana"/>
                <w:color w:val="000000"/>
                <w:sz w:val="16"/>
                <w:szCs w:val="16"/>
              </w:rPr>
              <w:t> </w:t>
            </w:r>
            <w:r w:rsidR="00BD766B">
              <w:rPr>
                <w:rFonts w:ascii="Verdana" w:hAnsi="Verdana"/>
                <w:color w:val="000000"/>
                <w:sz w:val="16"/>
                <w:szCs w:val="16"/>
              </w:rPr>
              <w:t>620</w:t>
            </w:r>
            <w:r>
              <w:rPr>
                <w:rFonts w:ascii="Verdana" w:hAnsi="Verdana"/>
                <w:color w:val="000000"/>
                <w:sz w:val="16"/>
                <w:szCs w:val="16"/>
              </w:rPr>
              <w:t>,</w:t>
            </w:r>
            <w:r w:rsidR="00BD766B">
              <w:rPr>
                <w:rFonts w:ascii="Verdana" w:hAnsi="Verdana"/>
                <w:color w:val="000000"/>
                <w:sz w:val="16"/>
                <w:szCs w:val="16"/>
              </w:rPr>
              <w:t>1</w:t>
            </w:r>
          </w:p>
        </w:tc>
      </w:tr>
      <w:tr w:rsidR="00E8716B" w:rsidRPr="00AB6CBE" w14:paraId="5B697CF9" w14:textId="77777777" w:rsidTr="00CA057B">
        <w:tc>
          <w:tcPr>
            <w:tcW w:w="709" w:type="dxa"/>
            <w:shd w:val="clear" w:color="auto" w:fill="auto"/>
          </w:tcPr>
          <w:p w14:paraId="09419555" w14:textId="77777777" w:rsidR="00E8716B" w:rsidRPr="00893171" w:rsidRDefault="00E8716B" w:rsidP="00BD766B">
            <w:pPr>
              <w:pStyle w:val="ListParagraph"/>
              <w:numPr>
                <w:ilvl w:val="0"/>
                <w:numId w:val="20"/>
              </w:numPr>
              <w:spacing w:before="40" w:after="40" w:line="320" w:lineRule="atLeast"/>
              <w:ind w:left="357" w:hanging="357"/>
              <w:rPr>
                <w:rFonts w:ascii="Verdana" w:hAnsi="Verdana"/>
                <w:color w:val="000000"/>
                <w:sz w:val="16"/>
                <w:szCs w:val="16"/>
              </w:rPr>
            </w:pPr>
          </w:p>
        </w:tc>
        <w:tc>
          <w:tcPr>
            <w:tcW w:w="1418" w:type="dxa"/>
            <w:gridSpan w:val="2"/>
            <w:shd w:val="clear" w:color="auto" w:fill="auto"/>
          </w:tcPr>
          <w:p w14:paraId="340A94F4" w14:textId="77777777" w:rsidR="00E8716B" w:rsidRPr="00893171" w:rsidRDefault="00E8716B" w:rsidP="00BD766B">
            <w:pPr>
              <w:spacing w:before="40" w:after="40" w:line="320" w:lineRule="atLeast"/>
              <w:rPr>
                <w:rFonts w:ascii="Verdana" w:hAnsi="Verdana"/>
                <w:color w:val="000000" w:themeColor="text1"/>
                <w:sz w:val="16"/>
                <w:szCs w:val="16"/>
              </w:rPr>
            </w:pPr>
            <w:r w:rsidRPr="00893171">
              <w:rPr>
                <w:rFonts w:ascii="Verdana" w:hAnsi="Verdana"/>
                <w:color w:val="000000" w:themeColor="text1"/>
                <w:sz w:val="16"/>
                <w:szCs w:val="16"/>
              </w:rPr>
              <w:t>Sygnia Itrix</w:t>
            </w:r>
          </w:p>
        </w:tc>
        <w:tc>
          <w:tcPr>
            <w:tcW w:w="709" w:type="dxa"/>
            <w:shd w:val="clear" w:color="auto" w:fill="auto"/>
            <w:vAlign w:val="center"/>
          </w:tcPr>
          <w:p w14:paraId="15011B87" w14:textId="77777777" w:rsidR="00E8716B" w:rsidRPr="00893171" w:rsidRDefault="00E8716B" w:rsidP="00BD766B">
            <w:pPr>
              <w:spacing w:before="40" w:after="40" w:line="320" w:lineRule="atLeast"/>
              <w:jc w:val="center"/>
              <w:rPr>
                <w:rFonts w:ascii="Verdana" w:hAnsi="Verdana"/>
                <w:color w:val="000000"/>
                <w:sz w:val="16"/>
                <w:szCs w:val="16"/>
              </w:rPr>
            </w:pPr>
            <w:r w:rsidRPr="00893171">
              <w:rPr>
                <w:rFonts w:ascii="Verdana" w:hAnsi="Verdana"/>
                <w:color w:val="000000"/>
                <w:sz w:val="16"/>
                <w:szCs w:val="16"/>
              </w:rPr>
              <w:t>1</w:t>
            </w:r>
            <w:r>
              <w:rPr>
                <w:rFonts w:ascii="Verdana" w:hAnsi="Verdana"/>
                <w:color w:val="000000"/>
                <w:sz w:val="16"/>
                <w:szCs w:val="16"/>
              </w:rPr>
              <w:t>3</w:t>
            </w:r>
          </w:p>
        </w:tc>
        <w:tc>
          <w:tcPr>
            <w:tcW w:w="708" w:type="dxa"/>
            <w:shd w:val="clear" w:color="auto" w:fill="auto"/>
            <w:vAlign w:val="center"/>
          </w:tcPr>
          <w:p w14:paraId="6689B713" w14:textId="77777777" w:rsidR="00E8716B" w:rsidRPr="00893171" w:rsidRDefault="00E8716B" w:rsidP="00BD766B">
            <w:pPr>
              <w:spacing w:before="40" w:after="40" w:line="320" w:lineRule="atLeast"/>
              <w:jc w:val="center"/>
              <w:rPr>
                <w:rFonts w:ascii="Verdana" w:hAnsi="Verdana"/>
                <w:color w:val="000000"/>
                <w:sz w:val="16"/>
                <w:szCs w:val="16"/>
              </w:rPr>
            </w:pPr>
            <w:r w:rsidRPr="00893171">
              <w:rPr>
                <w:rFonts w:ascii="Verdana" w:hAnsi="Verdana"/>
                <w:color w:val="000000"/>
                <w:sz w:val="16"/>
                <w:szCs w:val="16"/>
              </w:rPr>
              <w:t>-</w:t>
            </w:r>
          </w:p>
        </w:tc>
        <w:tc>
          <w:tcPr>
            <w:tcW w:w="709" w:type="dxa"/>
            <w:shd w:val="clear" w:color="auto" w:fill="auto"/>
            <w:vAlign w:val="center"/>
          </w:tcPr>
          <w:p w14:paraId="4C41341C" w14:textId="77777777" w:rsidR="00E8716B" w:rsidRPr="00893171" w:rsidRDefault="00E8716B" w:rsidP="00BD766B">
            <w:pPr>
              <w:spacing w:before="40" w:after="40" w:line="320" w:lineRule="atLeast"/>
              <w:jc w:val="center"/>
              <w:rPr>
                <w:rFonts w:ascii="Verdana" w:hAnsi="Verdana"/>
                <w:color w:val="000000"/>
                <w:sz w:val="16"/>
                <w:szCs w:val="16"/>
              </w:rPr>
            </w:pPr>
            <w:r>
              <w:rPr>
                <w:rFonts w:ascii="Verdana" w:hAnsi="Verdana"/>
                <w:color w:val="000000"/>
                <w:sz w:val="16"/>
                <w:szCs w:val="16"/>
              </w:rPr>
              <w:t>-</w:t>
            </w:r>
          </w:p>
        </w:tc>
        <w:tc>
          <w:tcPr>
            <w:tcW w:w="709" w:type="dxa"/>
            <w:shd w:val="clear" w:color="auto" w:fill="auto"/>
            <w:vAlign w:val="center"/>
          </w:tcPr>
          <w:p w14:paraId="7C78F8B3" w14:textId="77777777" w:rsidR="00E8716B" w:rsidRPr="00893171" w:rsidRDefault="00E8716B" w:rsidP="00BD766B">
            <w:pPr>
              <w:spacing w:before="40" w:after="40" w:line="320" w:lineRule="atLeast"/>
              <w:jc w:val="center"/>
              <w:rPr>
                <w:rFonts w:ascii="Verdana" w:hAnsi="Verdana"/>
                <w:color w:val="000000"/>
                <w:sz w:val="16"/>
                <w:szCs w:val="16"/>
              </w:rPr>
            </w:pPr>
            <w:r>
              <w:rPr>
                <w:rFonts w:ascii="Verdana" w:hAnsi="Verdana"/>
                <w:color w:val="000000"/>
                <w:sz w:val="16"/>
                <w:szCs w:val="16"/>
              </w:rPr>
              <w:t>1</w:t>
            </w:r>
          </w:p>
        </w:tc>
        <w:tc>
          <w:tcPr>
            <w:tcW w:w="1134" w:type="dxa"/>
            <w:vAlign w:val="center"/>
          </w:tcPr>
          <w:p w14:paraId="47E9E5C2" w14:textId="49CBAAD7" w:rsidR="00E8716B" w:rsidRPr="00893171" w:rsidRDefault="00BD766B" w:rsidP="00BD766B">
            <w:pPr>
              <w:spacing w:before="40" w:after="40" w:line="320" w:lineRule="atLeast"/>
              <w:jc w:val="right"/>
              <w:rPr>
                <w:rFonts w:ascii="Verdana" w:hAnsi="Verdana"/>
                <w:color w:val="000000"/>
                <w:sz w:val="16"/>
                <w:szCs w:val="16"/>
              </w:rPr>
            </w:pPr>
            <w:r>
              <w:rPr>
                <w:rFonts w:ascii="Verdana" w:hAnsi="Verdana"/>
                <w:color w:val="000000"/>
                <w:sz w:val="16"/>
                <w:szCs w:val="16"/>
              </w:rPr>
              <w:t>44 683,6</w:t>
            </w:r>
          </w:p>
        </w:tc>
        <w:tc>
          <w:tcPr>
            <w:tcW w:w="992" w:type="dxa"/>
            <w:vAlign w:val="center"/>
          </w:tcPr>
          <w:p w14:paraId="732031B1" w14:textId="77777777" w:rsidR="00E8716B" w:rsidRPr="00893171" w:rsidRDefault="00E8716B" w:rsidP="00BD766B">
            <w:pPr>
              <w:spacing w:before="40" w:after="40" w:line="320" w:lineRule="atLeast"/>
              <w:jc w:val="right"/>
              <w:rPr>
                <w:rFonts w:ascii="Verdana" w:hAnsi="Verdana"/>
                <w:color w:val="000000"/>
                <w:sz w:val="16"/>
                <w:szCs w:val="16"/>
              </w:rPr>
            </w:pPr>
          </w:p>
        </w:tc>
        <w:tc>
          <w:tcPr>
            <w:tcW w:w="1134" w:type="dxa"/>
            <w:vAlign w:val="center"/>
          </w:tcPr>
          <w:p w14:paraId="351F5AEC" w14:textId="77777777" w:rsidR="00E8716B" w:rsidRPr="00893171" w:rsidRDefault="00E8716B" w:rsidP="00BD766B">
            <w:pPr>
              <w:spacing w:before="40" w:after="40" w:line="320" w:lineRule="atLeast"/>
              <w:jc w:val="right"/>
              <w:rPr>
                <w:rFonts w:ascii="Verdana" w:hAnsi="Verdana"/>
                <w:color w:val="000000"/>
                <w:sz w:val="16"/>
                <w:szCs w:val="16"/>
              </w:rPr>
            </w:pPr>
            <w:r>
              <w:rPr>
                <w:rFonts w:ascii="Verdana" w:hAnsi="Verdana"/>
                <w:color w:val="000000"/>
                <w:sz w:val="16"/>
                <w:szCs w:val="16"/>
              </w:rPr>
              <w:t>-</w:t>
            </w:r>
          </w:p>
        </w:tc>
        <w:tc>
          <w:tcPr>
            <w:tcW w:w="992" w:type="dxa"/>
            <w:vAlign w:val="center"/>
          </w:tcPr>
          <w:p w14:paraId="0EEFE0E3" w14:textId="21915AD2" w:rsidR="00E8716B" w:rsidRPr="00893171" w:rsidRDefault="00BD766B" w:rsidP="00BD766B">
            <w:pPr>
              <w:spacing w:before="40" w:after="40" w:line="320" w:lineRule="atLeast"/>
              <w:jc w:val="right"/>
              <w:rPr>
                <w:rFonts w:ascii="Verdana" w:hAnsi="Verdana"/>
                <w:color w:val="000000"/>
                <w:sz w:val="16"/>
                <w:szCs w:val="16"/>
              </w:rPr>
            </w:pPr>
            <w:r>
              <w:rPr>
                <w:rFonts w:ascii="Verdana" w:hAnsi="Verdana"/>
                <w:color w:val="000000"/>
                <w:sz w:val="16"/>
                <w:szCs w:val="16"/>
              </w:rPr>
              <w:t>883</w:t>
            </w:r>
            <w:r w:rsidR="00E8716B">
              <w:rPr>
                <w:rFonts w:ascii="Verdana" w:hAnsi="Verdana"/>
                <w:color w:val="000000"/>
                <w:sz w:val="16"/>
                <w:szCs w:val="16"/>
              </w:rPr>
              <w:t>,</w:t>
            </w:r>
            <w:r>
              <w:rPr>
                <w:rFonts w:ascii="Verdana" w:hAnsi="Verdana"/>
                <w:color w:val="000000"/>
                <w:sz w:val="16"/>
                <w:szCs w:val="16"/>
              </w:rPr>
              <w:t>0</w:t>
            </w:r>
          </w:p>
        </w:tc>
        <w:tc>
          <w:tcPr>
            <w:tcW w:w="1276" w:type="dxa"/>
            <w:vAlign w:val="center"/>
          </w:tcPr>
          <w:p w14:paraId="23930D14" w14:textId="2E4E5440" w:rsidR="00E8716B" w:rsidRPr="00893171" w:rsidRDefault="00E8716B" w:rsidP="00BD766B">
            <w:pPr>
              <w:spacing w:before="40" w:after="40" w:line="320" w:lineRule="atLeast"/>
              <w:jc w:val="right"/>
              <w:rPr>
                <w:rFonts w:ascii="Verdana" w:hAnsi="Verdana"/>
                <w:color w:val="000000"/>
                <w:sz w:val="16"/>
                <w:szCs w:val="16"/>
              </w:rPr>
            </w:pPr>
            <w:r>
              <w:rPr>
                <w:rFonts w:ascii="Verdana" w:hAnsi="Verdana"/>
                <w:color w:val="000000"/>
                <w:sz w:val="16"/>
                <w:szCs w:val="16"/>
              </w:rPr>
              <w:t>4</w:t>
            </w:r>
            <w:r w:rsidR="00BD766B">
              <w:rPr>
                <w:rFonts w:ascii="Verdana" w:hAnsi="Verdana"/>
                <w:color w:val="000000"/>
                <w:sz w:val="16"/>
                <w:szCs w:val="16"/>
              </w:rPr>
              <w:t>5</w:t>
            </w:r>
            <w:r>
              <w:rPr>
                <w:rFonts w:ascii="Verdana" w:hAnsi="Verdana"/>
                <w:color w:val="000000"/>
                <w:sz w:val="16"/>
                <w:szCs w:val="16"/>
              </w:rPr>
              <w:t> </w:t>
            </w:r>
            <w:r w:rsidR="00BD766B">
              <w:rPr>
                <w:rFonts w:ascii="Verdana" w:hAnsi="Verdana"/>
                <w:color w:val="000000"/>
                <w:sz w:val="16"/>
                <w:szCs w:val="16"/>
              </w:rPr>
              <w:t>566</w:t>
            </w:r>
            <w:r>
              <w:rPr>
                <w:rFonts w:ascii="Verdana" w:hAnsi="Verdana"/>
                <w:color w:val="000000"/>
                <w:sz w:val="16"/>
                <w:szCs w:val="16"/>
              </w:rPr>
              <w:t>,6</w:t>
            </w:r>
          </w:p>
        </w:tc>
      </w:tr>
      <w:tr w:rsidR="00E8716B" w:rsidRPr="00AB6CBE" w14:paraId="42CE35B7" w14:textId="77777777" w:rsidTr="00CA057B">
        <w:tc>
          <w:tcPr>
            <w:tcW w:w="709" w:type="dxa"/>
            <w:shd w:val="clear" w:color="auto" w:fill="auto"/>
          </w:tcPr>
          <w:p w14:paraId="78EC4BF2" w14:textId="77777777" w:rsidR="00E8716B" w:rsidRPr="00893171" w:rsidRDefault="00E8716B" w:rsidP="00BD766B">
            <w:pPr>
              <w:pStyle w:val="ListParagraph"/>
              <w:numPr>
                <w:ilvl w:val="0"/>
                <w:numId w:val="20"/>
              </w:numPr>
              <w:spacing w:before="40" w:after="40" w:line="320" w:lineRule="atLeast"/>
              <w:ind w:left="357" w:hanging="357"/>
              <w:rPr>
                <w:rFonts w:ascii="Verdana" w:hAnsi="Verdana"/>
                <w:color w:val="000000"/>
                <w:sz w:val="16"/>
                <w:szCs w:val="16"/>
              </w:rPr>
            </w:pPr>
          </w:p>
        </w:tc>
        <w:tc>
          <w:tcPr>
            <w:tcW w:w="1418" w:type="dxa"/>
            <w:gridSpan w:val="2"/>
            <w:shd w:val="clear" w:color="auto" w:fill="auto"/>
          </w:tcPr>
          <w:p w14:paraId="1C2A8DE9" w14:textId="77777777" w:rsidR="00E8716B" w:rsidRPr="00893171" w:rsidRDefault="00E8716B" w:rsidP="00BD766B">
            <w:pPr>
              <w:spacing w:before="40" w:after="40" w:line="320" w:lineRule="atLeast"/>
              <w:rPr>
                <w:rFonts w:ascii="Verdana" w:hAnsi="Verdana"/>
                <w:color w:val="000000" w:themeColor="text1"/>
                <w:sz w:val="16"/>
                <w:szCs w:val="16"/>
              </w:rPr>
            </w:pPr>
            <w:r w:rsidRPr="00893171">
              <w:rPr>
                <w:rFonts w:ascii="Verdana" w:hAnsi="Verdana"/>
                <w:color w:val="000000" w:themeColor="text1"/>
                <w:sz w:val="16"/>
                <w:szCs w:val="16"/>
              </w:rPr>
              <w:t>Absa Capital</w:t>
            </w:r>
          </w:p>
        </w:tc>
        <w:tc>
          <w:tcPr>
            <w:tcW w:w="709" w:type="dxa"/>
            <w:shd w:val="clear" w:color="auto" w:fill="auto"/>
            <w:vAlign w:val="center"/>
          </w:tcPr>
          <w:p w14:paraId="2792D506" w14:textId="77777777" w:rsidR="00E8716B" w:rsidRPr="00893171" w:rsidRDefault="00E8716B" w:rsidP="00BD766B">
            <w:pPr>
              <w:spacing w:before="40" w:after="40" w:line="320" w:lineRule="atLeast"/>
              <w:jc w:val="center"/>
              <w:rPr>
                <w:rFonts w:ascii="Verdana" w:hAnsi="Verdana"/>
                <w:color w:val="000000"/>
                <w:sz w:val="16"/>
                <w:szCs w:val="16"/>
              </w:rPr>
            </w:pPr>
            <w:r w:rsidRPr="00893171">
              <w:rPr>
                <w:rFonts w:ascii="Verdana" w:hAnsi="Verdana"/>
                <w:color w:val="000000"/>
                <w:sz w:val="16"/>
                <w:szCs w:val="16"/>
              </w:rPr>
              <w:t>3</w:t>
            </w:r>
          </w:p>
        </w:tc>
        <w:tc>
          <w:tcPr>
            <w:tcW w:w="708" w:type="dxa"/>
            <w:shd w:val="clear" w:color="auto" w:fill="auto"/>
            <w:vAlign w:val="center"/>
          </w:tcPr>
          <w:p w14:paraId="4703158E" w14:textId="77777777" w:rsidR="00E8716B" w:rsidRPr="00893171" w:rsidRDefault="00E8716B" w:rsidP="00BD766B">
            <w:pPr>
              <w:spacing w:before="40" w:after="40" w:line="320" w:lineRule="atLeast"/>
              <w:jc w:val="center"/>
              <w:rPr>
                <w:rFonts w:ascii="Verdana" w:hAnsi="Verdana"/>
                <w:color w:val="000000"/>
                <w:sz w:val="16"/>
                <w:szCs w:val="16"/>
              </w:rPr>
            </w:pPr>
            <w:r w:rsidRPr="00893171">
              <w:rPr>
                <w:rFonts w:ascii="Verdana" w:hAnsi="Verdana"/>
                <w:color w:val="000000"/>
                <w:sz w:val="16"/>
                <w:szCs w:val="16"/>
              </w:rPr>
              <w:t>5</w:t>
            </w:r>
          </w:p>
        </w:tc>
        <w:tc>
          <w:tcPr>
            <w:tcW w:w="709" w:type="dxa"/>
            <w:shd w:val="clear" w:color="auto" w:fill="auto"/>
            <w:vAlign w:val="center"/>
          </w:tcPr>
          <w:p w14:paraId="5C5EC246" w14:textId="77777777" w:rsidR="00E8716B" w:rsidRPr="00893171" w:rsidRDefault="00E8716B" w:rsidP="00BD766B">
            <w:pPr>
              <w:spacing w:before="40" w:after="40" w:line="320" w:lineRule="atLeast"/>
              <w:jc w:val="center"/>
              <w:rPr>
                <w:rFonts w:ascii="Verdana" w:hAnsi="Verdana"/>
                <w:color w:val="000000"/>
                <w:sz w:val="16"/>
                <w:szCs w:val="16"/>
              </w:rPr>
            </w:pPr>
            <w:r>
              <w:rPr>
                <w:rFonts w:ascii="Verdana" w:hAnsi="Verdana"/>
                <w:color w:val="000000"/>
                <w:sz w:val="16"/>
                <w:szCs w:val="16"/>
              </w:rPr>
              <w:t>-</w:t>
            </w:r>
          </w:p>
        </w:tc>
        <w:tc>
          <w:tcPr>
            <w:tcW w:w="709" w:type="dxa"/>
            <w:shd w:val="clear" w:color="auto" w:fill="auto"/>
            <w:vAlign w:val="center"/>
          </w:tcPr>
          <w:p w14:paraId="3A4FE187" w14:textId="77777777" w:rsidR="00E8716B" w:rsidRPr="00893171" w:rsidRDefault="00E8716B" w:rsidP="00BD766B">
            <w:pPr>
              <w:spacing w:before="40" w:after="40" w:line="320" w:lineRule="atLeast"/>
              <w:jc w:val="center"/>
              <w:rPr>
                <w:rFonts w:ascii="Verdana" w:hAnsi="Verdana"/>
                <w:color w:val="000000"/>
                <w:sz w:val="16"/>
                <w:szCs w:val="16"/>
              </w:rPr>
            </w:pPr>
            <w:r>
              <w:rPr>
                <w:rFonts w:ascii="Verdana" w:hAnsi="Verdana"/>
                <w:color w:val="000000"/>
                <w:sz w:val="16"/>
                <w:szCs w:val="16"/>
              </w:rPr>
              <w:t>-</w:t>
            </w:r>
          </w:p>
        </w:tc>
        <w:tc>
          <w:tcPr>
            <w:tcW w:w="1134" w:type="dxa"/>
            <w:vAlign w:val="center"/>
          </w:tcPr>
          <w:p w14:paraId="258BD9AD" w14:textId="4992AE21" w:rsidR="00E8716B" w:rsidRPr="00893171" w:rsidRDefault="00BD766B" w:rsidP="00BD766B">
            <w:pPr>
              <w:spacing w:before="40" w:after="40" w:line="320" w:lineRule="atLeast"/>
              <w:jc w:val="right"/>
              <w:rPr>
                <w:rFonts w:ascii="Verdana" w:hAnsi="Verdana"/>
                <w:color w:val="000000"/>
                <w:sz w:val="16"/>
                <w:szCs w:val="16"/>
              </w:rPr>
            </w:pPr>
            <w:r>
              <w:rPr>
                <w:rFonts w:ascii="Verdana" w:hAnsi="Verdana"/>
                <w:color w:val="000000"/>
                <w:sz w:val="16"/>
                <w:szCs w:val="16"/>
              </w:rPr>
              <w:t>26 201,2</w:t>
            </w:r>
          </w:p>
        </w:tc>
        <w:tc>
          <w:tcPr>
            <w:tcW w:w="992" w:type="dxa"/>
            <w:vAlign w:val="center"/>
          </w:tcPr>
          <w:p w14:paraId="012A8F54" w14:textId="63F71B8E" w:rsidR="00E8716B" w:rsidRPr="00893171" w:rsidRDefault="00E8716B" w:rsidP="00BD766B">
            <w:pPr>
              <w:spacing w:before="40" w:after="40" w:line="320" w:lineRule="atLeast"/>
              <w:jc w:val="right"/>
              <w:rPr>
                <w:rFonts w:ascii="Verdana" w:hAnsi="Verdana"/>
                <w:color w:val="000000"/>
                <w:sz w:val="16"/>
                <w:szCs w:val="16"/>
              </w:rPr>
            </w:pPr>
            <w:r>
              <w:rPr>
                <w:rFonts w:ascii="Verdana" w:hAnsi="Verdana"/>
                <w:color w:val="000000"/>
                <w:sz w:val="16"/>
                <w:szCs w:val="16"/>
              </w:rPr>
              <w:t>1 4</w:t>
            </w:r>
            <w:r w:rsidR="00BD766B">
              <w:rPr>
                <w:rFonts w:ascii="Verdana" w:hAnsi="Verdana"/>
                <w:color w:val="000000"/>
                <w:sz w:val="16"/>
                <w:szCs w:val="16"/>
              </w:rPr>
              <w:t>77</w:t>
            </w:r>
            <w:r>
              <w:rPr>
                <w:rFonts w:ascii="Verdana" w:hAnsi="Verdana"/>
                <w:color w:val="000000"/>
                <w:sz w:val="16"/>
                <w:szCs w:val="16"/>
              </w:rPr>
              <w:t>,</w:t>
            </w:r>
            <w:r w:rsidR="00BD766B">
              <w:rPr>
                <w:rFonts w:ascii="Verdana" w:hAnsi="Verdana"/>
                <w:color w:val="000000"/>
                <w:sz w:val="16"/>
                <w:szCs w:val="16"/>
              </w:rPr>
              <w:t>6</w:t>
            </w:r>
          </w:p>
        </w:tc>
        <w:tc>
          <w:tcPr>
            <w:tcW w:w="1134" w:type="dxa"/>
            <w:vAlign w:val="center"/>
          </w:tcPr>
          <w:p w14:paraId="58C935F2" w14:textId="77777777" w:rsidR="00E8716B" w:rsidRPr="00893171" w:rsidRDefault="00E8716B" w:rsidP="00BD766B">
            <w:pPr>
              <w:spacing w:before="40" w:after="40" w:line="320" w:lineRule="atLeast"/>
              <w:jc w:val="right"/>
              <w:rPr>
                <w:rFonts w:ascii="Verdana" w:hAnsi="Verdana"/>
                <w:color w:val="000000"/>
                <w:sz w:val="16"/>
                <w:szCs w:val="16"/>
              </w:rPr>
            </w:pPr>
            <w:r>
              <w:rPr>
                <w:rFonts w:ascii="Verdana" w:hAnsi="Verdana"/>
                <w:color w:val="000000"/>
                <w:sz w:val="16"/>
                <w:szCs w:val="16"/>
              </w:rPr>
              <w:t>-</w:t>
            </w:r>
          </w:p>
        </w:tc>
        <w:tc>
          <w:tcPr>
            <w:tcW w:w="992" w:type="dxa"/>
            <w:vAlign w:val="center"/>
          </w:tcPr>
          <w:p w14:paraId="3A277A1B" w14:textId="77777777" w:rsidR="00E8716B" w:rsidRPr="00893171" w:rsidRDefault="00E8716B" w:rsidP="00BD766B">
            <w:pPr>
              <w:spacing w:before="40" w:after="40" w:line="320" w:lineRule="atLeast"/>
              <w:jc w:val="right"/>
              <w:rPr>
                <w:rFonts w:ascii="Verdana" w:hAnsi="Verdana"/>
                <w:color w:val="000000"/>
                <w:sz w:val="16"/>
                <w:szCs w:val="16"/>
              </w:rPr>
            </w:pPr>
            <w:r>
              <w:rPr>
                <w:rFonts w:ascii="Verdana" w:hAnsi="Verdana"/>
                <w:color w:val="000000"/>
                <w:sz w:val="16"/>
                <w:szCs w:val="16"/>
              </w:rPr>
              <w:t>-</w:t>
            </w:r>
          </w:p>
        </w:tc>
        <w:tc>
          <w:tcPr>
            <w:tcW w:w="1276" w:type="dxa"/>
            <w:vAlign w:val="center"/>
          </w:tcPr>
          <w:p w14:paraId="1784200C" w14:textId="0C60966F" w:rsidR="00E8716B" w:rsidRPr="00893171" w:rsidRDefault="00E8716B" w:rsidP="00BD766B">
            <w:pPr>
              <w:spacing w:before="40" w:after="40" w:line="320" w:lineRule="atLeast"/>
              <w:jc w:val="right"/>
              <w:rPr>
                <w:rFonts w:ascii="Verdana" w:hAnsi="Verdana"/>
                <w:color w:val="000000"/>
                <w:sz w:val="16"/>
                <w:szCs w:val="16"/>
              </w:rPr>
            </w:pPr>
            <w:r>
              <w:rPr>
                <w:rFonts w:ascii="Verdana" w:hAnsi="Verdana"/>
                <w:color w:val="000000"/>
                <w:sz w:val="16"/>
                <w:szCs w:val="16"/>
              </w:rPr>
              <w:t>2</w:t>
            </w:r>
            <w:r w:rsidR="00BD766B">
              <w:rPr>
                <w:rFonts w:ascii="Verdana" w:hAnsi="Verdana"/>
                <w:color w:val="000000"/>
                <w:sz w:val="16"/>
                <w:szCs w:val="16"/>
              </w:rPr>
              <w:t>7</w:t>
            </w:r>
            <w:r>
              <w:rPr>
                <w:rFonts w:ascii="Verdana" w:hAnsi="Verdana"/>
                <w:color w:val="000000"/>
                <w:sz w:val="16"/>
                <w:szCs w:val="16"/>
              </w:rPr>
              <w:t> </w:t>
            </w:r>
            <w:r w:rsidR="00BD766B">
              <w:rPr>
                <w:rFonts w:ascii="Verdana" w:hAnsi="Verdana"/>
                <w:color w:val="000000"/>
                <w:sz w:val="16"/>
                <w:szCs w:val="16"/>
              </w:rPr>
              <w:t>678</w:t>
            </w:r>
            <w:r>
              <w:rPr>
                <w:rFonts w:ascii="Verdana" w:hAnsi="Verdana"/>
                <w:color w:val="000000"/>
                <w:sz w:val="16"/>
                <w:szCs w:val="16"/>
              </w:rPr>
              <w:t>,</w:t>
            </w:r>
            <w:r w:rsidR="00BD766B">
              <w:rPr>
                <w:rFonts w:ascii="Verdana" w:hAnsi="Verdana"/>
                <w:color w:val="000000"/>
                <w:sz w:val="16"/>
                <w:szCs w:val="16"/>
              </w:rPr>
              <w:t>8</w:t>
            </w:r>
          </w:p>
        </w:tc>
      </w:tr>
      <w:tr w:rsidR="00E8716B" w:rsidRPr="00AB6CBE" w14:paraId="558D5F2E" w14:textId="77777777" w:rsidTr="00CA057B">
        <w:tc>
          <w:tcPr>
            <w:tcW w:w="709" w:type="dxa"/>
            <w:shd w:val="clear" w:color="auto" w:fill="auto"/>
          </w:tcPr>
          <w:p w14:paraId="7BEF80A6" w14:textId="77777777" w:rsidR="00E8716B" w:rsidRPr="00893171" w:rsidRDefault="00E8716B" w:rsidP="00BD766B">
            <w:pPr>
              <w:pStyle w:val="ListParagraph"/>
              <w:numPr>
                <w:ilvl w:val="0"/>
                <w:numId w:val="20"/>
              </w:numPr>
              <w:spacing w:before="40" w:after="40" w:line="320" w:lineRule="atLeast"/>
              <w:ind w:left="357" w:hanging="357"/>
              <w:rPr>
                <w:rFonts w:ascii="Verdana" w:hAnsi="Verdana"/>
                <w:color w:val="000000"/>
                <w:sz w:val="16"/>
                <w:szCs w:val="16"/>
              </w:rPr>
            </w:pPr>
          </w:p>
        </w:tc>
        <w:tc>
          <w:tcPr>
            <w:tcW w:w="1418" w:type="dxa"/>
            <w:gridSpan w:val="2"/>
            <w:shd w:val="clear" w:color="auto" w:fill="auto"/>
          </w:tcPr>
          <w:p w14:paraId="2E2751F9" w14:textId="77777777" w:rsidR="00E8716B" w:rsidRPr="00893171" w:rsidRDefault="00E8716B" w:rsidP="00BD766B">
            <w:pPr>
              <w:spacing w:before="40" w:after="40" w:line="320" w:lineRule="atLeast"/>
              <w:rPr>
                <w:rFonts w:ascii="Verdana" w:hAnsi="Verdana"/>
                <w:color w:val="000000" w:themeColor="text1"/>
                <w:sz w:val="16"/>
                <w:szCs w:val="16"/>
              </w:rPr>
            </w:pPr>
            <w:r>
              <w:rPr>
                <w:rFonts w:ascii="Verdana" w:hAnsi="Verdana"/>
                <w:color w:val="000000" w:themeColor="text1"/>
                <w:sz w:val="16"/>
                <w:szCs w:val="16"/>
              </w:rPr>
              <w:t>10X (</w:t>
            </w:r>
            <w:r w:rsidRPr="00893171">
              <w:rPr>
                <w:rFonts w:ascii="Verdana" w:hAnsi="Verdana"/>
                <w:color w:val="000000" w:themeColor="text1"/>
                <w:sz w:val="16"/>
                <w:szCs w:val="16"/>
              </w:rPr>
              <w:t>CoreShares</w:t>
            </w:r>
            <w:r>
              <w:rPr>
                <w:rFonts w:ascii="Verdana" w:hAnsi="Verdana"/>
                <w:color w:val="000000" w:themeColor="text1"/>
                <w:sz w:val="16"/>
                <w:szCs w:val="16"/>
              </w:rPr>
              <w:t>)</w:t>
            </w:r>
          </w:p>
        </w:tc>
        <w:tc>
          <w:tcPr>
            <w:tcW w:w="709" w:type="dxa"/>
            <w:shd w:val="clear" w:color="auto" w:fill="auto"/>
            <w:vAlign w:val="center"/>
          </w:tcPr>
          <w:p w14:paraId="35808610" w14:textId="77777777" w:rsidR="00E8716B" w:rsidRPr="00893171" w:rsidRDefault="00E8716B" w:rsidP="00BD766B">
            <w:pPr>
              <w:spacing w:before="40" w:after="40" w:line="320" w:lineRule="atLeast"/>
              <w:jc w:val="center"/>
              <w:rPr>
                <w:rFonts w:ascii="Verdana" w:hAnsi="Verdana"/>
                <w:color w:val="000000"/>
                <w:sz w:val="16"/>
                <w:szCs w:val="16"/>
              </w:rPr>
            </w:pPr>
            <w:r w:rsidRPr="00893171">
              <w:rPr>
                <w:rFonts w:ascii="Verdana" w:hAnsi="Verdana"/>
                <w:color w:val="000000"/>
                <w:sz w:val="16"/>
                <w:szCs w:val="16"/>
              </w:rPr>
              <w:t>1</w:t>
            </w:r>
            <w:r>
              <w:rPr>
                <w:rFonts w:ascii="Verdana" w:hAnsi="Verdana"/>
                <w:color w:val="000000"/>
                <w:sz w:val="16"/>
                <w:szCs w:val="16"/>
              </w:rPr>
              <w:t>2</w:t>
            </w:r>
          </w:p>
        </w:tc>
        <w:tc>
          <w:tcPr>
            <w:tcW w:w="708" w:type="dxa"/>
            <w:shd w:val="clear" w:color="auto" w:fill="auto"/>
            <w:vAlign w:val="center"/>
          </w:tcPr>
          <w:p w14:paraId="1EA3EE07" w14:textId="77777777" w:rsidR="00E8716B" w:rsidRPr="00893171" w:rsidRDefault="00E8716B" w:rsidP="00BD766B">
            <w:pPr>
              <w:spacing w:before="40" w:after="40" w:line="320" w:lineRule="atLeast"/>
              <w:jc w:val="center"/>
              <w:rPr>
                <w:rFonts w:ascii="Verdana" w:hAnsi="Verdana"/>
                <w:color w:val="000000"/>
                <w:sz w:val="16"/>
                <w:szCs w:val="16"/>
              </w:rPr>
            </w:pPr>
            <w:r w:rsidRPr="00893171">
              <w:rPr>
                <w:rFonts w:ascii="Verdana" w:hAnsi="Verdana"/>
                <w:color w:val="000000"/>
                <w:sz w:val="16"/>
                <w:szCs w:val="16"/>
              </w:rPr>
              <w:t>-</w:t>
            </w:r>
          </w:p>
        </w:tc>
        <w:tc>
          <w:tcPr>
            <w:tcW w:w="709" w:type="dxa"/>
            <w:shd w:val="clear" w:color="auto" w:fill="auto"/>
            <w:vAlign w:val="center"/>
          </w:tcPr>
          <w:p w14:paraId="11EF50B2" w14:textId="77777777" w:rsidR="00E8716B" w:rsidRDefault="00E8716B" w:rsidP="00BD766B">
            <w:pPr>
              <w:spacing w:before="40" w:after="40" w:line="320" w:lineRule="atLeast"/>
              <w:jc w:val="center"/>
              <w:rPr>
                <w:rFonts w:ascii="Verdana" w:hAnsi="Verdana"/>
                <w:color w:val="000000"/>
                <w:sz w:val="16"/>
                <w:szCs w:val="16"/>
              </w:rPr>
            </w:pPr>
            <w:r>
              <w:rPr>
                <w:rFonts w:ascii="Verdana" w:hAnsi="Verdana"/>
                <w:color w:val="000000"/>
                <w:sz w:val="16"/>
                <w:szCs w:val="16"/>
              </w:rPr>
              <w:t>-</w:t>
            </w:r>
          </w:p>
        </w:tc>
        <w:tc>
          <w:tcPr>
            <w:tcW w:w="709" w:type="dxa"/>
            <w:shd w:val="clear" w:color="auto" w:fill="auto"/>
            <w:vAlign w:val="center"/>
          </w:tcPr>
          <w:p w14:paraId="24F78173" w14:textId="77777777" w:rsidR="00E8716B" w:rsidRDefault="00E8716B" w:rsidP="00BD766B">
            <w:pPr>
              <w:spacing w:before="40" w:after="40" w:line="320" w:lineRule="atLeast"/>
              <w:jc w:val="center"/>
              <w:rPr>
                <w:rFonts w:ascii="Verdana" w:hAnsi="Verdana"/>
                <w:color w:val="000000"/>
                <w:sz w:val="16"/>
                <w:szCs w:val="16"/>
              </w:rPr>
            </w:pPr>
            <w:r>
              <w:rPr>
                <w:rFonts w:ascii="Verdana" w:hAnsi="Verdana"/>
                <w:color w:val="000000"/>
                <w:sz w:val="16"/>
                <w:szCs w:val="16"/>
              </w:rPr>
              <w:t>2</w:t>
            </w:r>
          </w:p>
        </w:tc>
        <w:tc>
          <w:tcPr>
            <w:tcW w:w="1134" w:type="dxa"/>
            <w:vAlign w:val="center"/>
          </w:tcPr>
          <w:p w14:paraId="462DE8E0" w14:textId="65ACCF0C" w:rsidR="00E8716B" w:rsidRPr="00893171" w:rsidRDefault="00BD766B" w:rsidP="00BD766B">
            <w:pPr>
              <w:spacing w:before="40" w:after="40" w:line="320" w:lineRule="atLeast"/>
              <w:jc w:val="right"/>
              <w:rPr>
                <w:rFonts w:ascii="Verdana" w:hAnsi="Verdana"/>
                <w:color w:val="000000"/>
                <w:sz w:val="16"/>
                <w:szCs w:val="16"/>
              </w:rPr>
            </w:pPr>
            <w:r>
              <w:rPr>
                <w:rFonts w:ascii="Verdana" w:hAnsi="Verdana"/>
                <w:color w:val="000000"/>
                <w:sz w:val="16"/>
                <w:szCs w:val="16"/>
              </w:rPr>
              <w:t>12 046,3</w:t>
            </w:r>
          </w:p>
        </w:tc>
        <w:tc>
          <w:tcPr>
            <w:tcW w:w="992" w:type="dxa"/>
            <w:vAlign w:val="center"/>
          </w:tcPr>
          <w:p w14:paraId="6A4BB9E1" w14:textId="77777777" w:rsidR="00E8716B" w:rsidRPr="00893171" w:rsidRDefault="00E8716B" w:rsidP="00BD766B">
            <w:pPr>
              <w:spacing w:before="40" w:after="40" w:line="320" w:lineRule="atLeast"/>
              <w:jc w:val="right"/>
              <w:rPr>
                <w:rFonts w:ascii="Verdana" w:hAnsi="Verdana"/>
                <w:color w:val="000000"/>
                <w:sz w:val="16"/>
                <w:szCs w:val="16"/>
              </w:rPr>
            </w:pPr>
            <w:r>
              <w:rPr>
                <w:rFonts w:ascii="Verdana" w:hAnsi="Verdana"/>
                <w:color w:val="000000"/>
                <w:sz w:val="16"/>
                <w:szCs w:val="16"/>
              </w:rPr>
              <w:t>-</w:t>
            </w:r>
          </w:p>
        </w:tc>
        <w:tc>
          <w:tcPr>
            <w:tcW w:w="1134" w:type="dxa"/>
            <w:vAlign w:val="center"/>
          </w:tcPr>
          <w:p w14:paraId="7626EB24" w14:textId="77777777" w:rsidR="00E8716B" w:rsidRDefault="00E8716B" w:rsidP="00BD766B">
            <w:pPr>
              <w:spacing w:before="40" w:after="40" w:line="320" w:lineRule="atLeast"/>
              <w:jc w:val="right"/>
              <w:rPr>
                <w:rFonts w:ascii="Verdana" w:hAnsi="Verdana"/>
                <w:color w:val="000000"/>
                <w:sz w:val="16"/>
                <w:szCs w:val="16"/>
              </w:rPr>
            </w:pPr>
            <w:r>
              <w:rPr>
                <w:rFonts w:ascii="Verdana" w:hAnsi="Verdana"/>
                <w:color w:val="000000"/>
                <w:sz w:val="16"/>
                <w:szCs w:val="16"/>
              </w:rPr>
              <w:t>-</w:t>
            </w:r>
          </w:p>
        </w:tc>
        <w:tc>
          <w:tcPr>
            <w:tcW w:w="992" w:type="dxa"/>
            <w:vAlign w:val="center"/>
          </w:tcPr>
          <w:p w14:paraId="4E17AE53" w14:textId="5157EDC7" w:rsidR="00E8716B" w:rsidRDefault="00E8716B" w:rsidP="00BD766B">
            <w:pPr>
              <w:spacing w:before="40" w:after="40" w:line="320" w:lineRule="atLeast"/>
              <w:jc w:val="right"/>
              <w:rPr>
                <w:rFonts w:ascii="Verdana" w:hAnsi="Verdana"/>
                <w:color w:val="000000"/>
                <w:sz w:val="16"/>
                <w:szCs w:val="16"/>
              </w:rPr>
            </w:pPr>
            <w:r>
              <w:rPr>
                <w:rFonts w:ascii="Verdana" w:hAnsi="Verdana"/>
                <w:color w:val="000000"/>
                <w:sz w:val="16"/>
                <w:szCs w:val="16"/>
              </w:rPr>
              <w:t>1 6</w:t>
            </w:r>
            <w:r w:rsidR="00BD766B">
              <w:rPr>
                <w:rFonts w:ascii="Verdana" w:hAnsi="Verdana"/>
                <w:color w:val="000000"/>
                <w:sz w:val="16"/>
                <w:szCs w:val="16"/>
              </w:rPr>
              <w:t>65</w:t>
            </w:r>
            <w:r>
              <w:rPr>
                <w:rFonts w:ascii="Verdana" w:hAnsi="Verdana"/>
                <w:color w:val="000000"/>
                <w:sz w:val="16"/>
                <w:szCs w:val="16"/>
              </w:rPr>
              <w:t>,</w:t>
            </w:r>
            <w:r w:rsidR="00BD766B">
              <w:rPr>
                <w:rFonts w:ascii="Verdana" w:hAnsi="Verdana"/>
                <w:color w:val="000000"/>
                <w:sz w:val="16"/>
                <w:szCs w:val="16"/>
              </w:rPr>
              <w:t>4</w:t>
            </w:r>
          </w:p>
        </w:tc>
        <w:tc>
          <w:tcPr>
            <w:tcW w:w="1276" w:type="dxa"/>
            <w:vAlign w:val="center"/>
          </w:tcPr>
          <w:p w14:paraId="7D8795DE" w14:textId="5B0415FD" w:rsidR="00E8716B" w:rsidRDefault="00E8716B" w:rsidP="00BD766B">
            <w:pPr>
              <w:spacing w:before="40" w:after="40" w:line="320" w:lineRule="atLeast"/>
              <w:jc w:val="right"/>
              <w:rPr>
                <w:rFonts w:ascii="Verdana" w:hAnsi="Verdana"/>
                <w:color w:val="000000"/>
                <w:sz w:val="16"/>
                <w:szCs w:val="16"/>
              </w:rPr>
            </w:pPr>
            <w:r>
              <w:rPr>
                <w:rFonts w:ascii="Verdana" w:hAnsi="Verdana"/>
                <w:color w:val="000000"/>
                <w:sz w:val="16"/>
                <w:szCs w:val="16"/>
              </w:rPr>
              <w:t>1</w:t>
            </w:r>
            <w:r w:rsidR="00BD766B">
              <w:rPr>
                <w:rFonts w:ascii="Verdana" w:hAnsi="Verdana"/>
                <w:color w:val="000000"/>
                <w:sz w:val="16"/>
                <w:szCs w:val="16"/>
              </w:rPr>
              <w:t>3</w:t>
            </w:r>
            <w:r>
              <w:rPr>
                <w:rFonts w:ascii="Verdana" w:hAnsi="Verdana"/>
                <w:color w:val="000000"/>
                <w:sz w:val="16"/>
                <w:szCs w:val="16"/>
              </w:rPr>
              <w:t> </w:t>
            </w:r>
            <w:r w:rsidR="00BD766B">
              <w:rPr>
                <w:rFonts w:ascii="Verdana" w:hAnsi="Verdana"/>
                <w:color w:val="000000"/>
                <w:sz w:val="16"/>
                <w:szCs w:val="16"/>
              </w:rPr>
              <w:t>711</w:t>
            </w:r>
            <w:r>
              <w:rPr>
                <w:rFonts w:ascii="Verdana" w:hAnsi="Verdana"/>
                <w:color w:val="000000"/>
                <w:sz w:val="16"/>
                <w:szCs w:val="16"/>
              </w:rPr>
              <w:t>,</w:t>
            </w:r>
            <w:r w:rsidR="00BD766B">
              <w:rPr>
                <w:rFonts w:ascii="Verdana" w:hAnsi="Verdana"/>
                <w:color w:val="000000"/>
                <w:sz w:val="16"/>
                <w:szCs w:val="16"/>
              </w:rPr>
              <w:t>7</w:t>
            </w:r>
          </w:p>
        </w:tc>
      </w:tr>
      <w:tr w:rsidR="00E8716B" w:rsidRPr="00AB6CBE" w14:paraId="2B5EE305" w14:textId="77777777" w:rsidTr="00CA057B">
        <w:tc>
          <w:tcPr>
            <w:tcW w:w="709" w:type="dxa"/>
            <w:shd w:val="clear" w:color="auto" w:fill="auto"/>
          </w:tcPr>
          <w:p w14:paraId="2B895987" w14:textId="77777777" w:rsidR="00E8716B" w:rsidRPr="00893171" w:rsidRDefault="00E8716B" w:rsidP="00BD766B">
            <w:pPr>
              <w:pStyle w:val="ListParagraph"/>
              <w:numPr>
                <w:ilvl w:val="0"/>
                <w:numId w:val="20"/>
              </w:numPr>
              <w:spacing w:before="40" w:after="40" w:line="320" w:lineRule="atLeast"/>
              <w:ind w:left="357" w:hanging="357"/>
              <w:rPr>
                <w:rFonts w:ascii="Verdana" w:hAnsi="Verdana"/>
                <w:color w:val="000000"/>
                <w:sz w:val="16"/>
                <w:szCs w:val="16"/>
              </w:rPr>
            </w:pPr>
          </w:p>
        </w:tc>
        <w:tc>
          <w:tcPr>
            <w:tcW w:w="1418" w:type="dxa"/>
            <w:gridSpan w:val="2"/>
            <w:shd w:val="clear" w:color="auto" w:fill="auto"/>
          </w:tcPr>
          <w:p w14:paraId="4F3C6682" w14:textId="77777777" w:rsidR="00E8716B" w:rsidRPr="00893171" w:rsidRDefault="00E8716B" w:rsidP="00BD766B">
            <w:pPr>
              <w:spacing w:before="40" w:after="40" w:line="320" w:lineRule="atLeast"/>
              <w:rPr>
                <w:rFonts w:ascii="Verdana" w:hAnsi="Verdana"/>
                <w:color w:val="000000" w:themeColor="text1"/>
                <w:sz w:val="16"/>
                <w:szCs w:val="16"/>
              </w:rPr>
            </w:pPr>
            <w:r w:rsidRPr="00893171">
              <w:rPr>
                <w:rFonts w:ascii="Verdana" w:hAnsi="Verdana"/>
                <w:color w:val="000000" w:themeColor="text1"/>
                <w:sz w:val="16"/>
                <w:szCs w:val="16"/>
              </w:rPr>
              <w:t>FNB/FirstRand</w:t>
            </w:r>
          </w:p>
        </w:tc>
        <w:tc>
          <w:tcPr>
            <w:tcW w:w="709" w:type="dxa"/>
            <w:shd w:val="clear" w:color="auto" w:fill="auto"/>
            <w:vAlign w:val="center"/>
          </w:tcPr>
          <w:p w14:paraId="5B357A97" w14:textId="77777777" w:rsidR="00E8716B" w:rsidRPr="00893171" w:rsidRDefault="00E8716B" w:rsidP="00BD766B">
            <w:pPr>
              <w:spacing w:before="40" w:after="40" w:line="320" w:lineRule="atLeast"/>
              <w:jc w:val="center"/>
              <w:rPr>
                <w:rFonts w:ascii="Verdana" w:hAnsi="Verdana"/>
                <w:color w:val="000000"/>
                <w:sz w:val="16"/>
                <w:szCs w:val="16"/>
              </w:rPr>
            </w:pPr>
            <w:r w:rsidRPr="00893171">
              <w:rPr>
                <w:rFonts w:ascii="Verdana" w:hAnsi="Verdana"/>
                <w:color w:val="000000"/>
                <w:sz w:val="16"/>
                <w:szCs w:val="16"/>
              </w:rPr>
              <w:t>8</w:t>
            </w:r>
          </w:p>
        </w:tc>
        <w:tc>
          <w:tcPr>
            <w:tcW w:w="708" w:type="dxa"/>
            <w:shd w:val="clear" w:color="auto" w:fill="auto"/>
            <w:vAlign w:val="center"/>
          </w:tcPr>
          <w:p w14:paraId="2DACEC3E" w14:textId="77777777" w:rsidR="00E8716B" w:rsidRPr="00893171" w:rsidRDefault="00E8716B" w:rsidP="00BD766B">
            <w:pPr>
              <w:spacing w:before="40" w:after="40" w:line="320" w:lineRule="atLeast"/>
              <w:jc w:val="center"/>
              <w:rPr>
                <w:rFonts w:ascii="Verdana" w:hAnsi="Verdana"/>
                <w:color w:val="000000"/>
                <w:sz w:val="16"/>
                <w:szCs w:val="16"/>
              </w:rPr>
            </w:pPr>
            <w:r w:rsidRPr="00893171">
              <w:rPr>
                <w:rFonts w:ascii="Verdana" w:hAnsi="Verdana"/>
                <w:color w:val="000000"/>
                <w:sz w:val="16"/>
                <w:szCs w:val="16"/>
              </w:rPr>
              <w:t>4</w:t>
            </w:r>
            <w:r>
              <w:rPr>
                <w:rFonts w:ascii="Verdana" w:hAnsi="Verdana"/>
                <w:color w:val="000000"/>
                <w:sz w:val="16"/>
                <w:szCs w:val="16"/>
              </w:rPr>
              <w:t>0</w:t>
            </w:r>
          </w:p>
        </w:tc>
        <w:tc>
          <w:tcPr>
            <w:tcW w:w="709" w:type="dxa"/>
            <w:shd w:val="clear" w:color="auto" w:fill="auto"/>
            <w:vAlign w:val="center"/>
          </w:tcPr>
          <w:p w14:paraId="5DEFC3E3" w14:textId="77777777" w:rsidR="00E8716B" w:rsidRPr="00893171" w:rsidRDefault="00E8716B" w:rsidP="00BD766B">
            <w:pPr>
              <w:spacing w:before="40" w:after="40" w:line="320" w:lineRule="atLeast"/>
              <w:jc w:val="center"/>
              <w:rPr>
                <w:rFonts w:ascii="Verdana" w:hAnsi="Verdana"/>
                <w:color w:val="000000"/>
                <w:sz w:val="16"/>
                <w:szCs w:val="16"/>
              </w:rPr>
            </w:pPr>
            <w:r>
              <w:rPr>
                <w:rFonts w:ascii="Verdana" w:hAnsi="Verdana"/>
                <w:color w:val="000000"/>
                <w:sz w:val="16"/>
                <w:szCs w:val="16"/>
              </w:rPr>
              <w:t>-</w:t>
            </w:r>
          </w:p>
        </w:tc>
        <w:tc>
          <w:tcPr>
            <w:tcW w:w="709" w:type="dxa"/>
            <w:shd w:val="clear" w:color="auto" w:fill="auto"/>
            <w:vAlign w:val="center"/>
          </w:tcPr>
          <w:p w14:paraId="523AD29A" w14:textId="77777777" w:rsidR="00E8716B" w:rsidRPr="00893171" w:rsidRDefault="00E8716B" w:rsidP="00BD766B">
            <w:pPr>
              <w:spacing w:before="40" w:after="40" w:line="320" w:lineRule="atLeast"/>
              <w:jc w:val="center"/>
              <w:rPr>
                <w:rFonts w:ascii="Verdana" w:hAnsi="Verdana"/>
                <w:color w:val="000000"/>
                <w:sz w:val="16"/>
                <w:szCs w:val="16"/>
              </w:rPr>
            </w:pPr>
            <w:r>
              <w:rPr>
                <w:rFonts w:ascii="Verdana" w:hAnsi="Verdana"/>
                <w:color w:val="000000"/>
                <w:sz w:val="16"/>
                <w:szCs w:val="16"/>
              </w:rPr>
              <w:t>-</w:t>
            </w:r>
          </w:p>
        </w:tc>
        <w:tc>
          <w:tcPr>
            <w:tcW w:w="1134" w:type="dxa"/>
            <w:vAlign w:val="center"/>
          </w:tcPr>
          <w:p w14:paraId="35AE3071" w14:textId="46797EE7" w:rsidR="00E8716B" w:rsidRPr="00893171" w:rsidRDefault="00BD766B" w:rsidP="00BD766B">
            <w:pPr>
              <w:spacing w:before="40" w:after="40" w:line="320" w:lineRule="atLeast"/>
              <w:jc w:val="right"/>
              <w:rPr>
                <w:rFonts w:ascii="Verdana" w:hAnsi="Verdana"/>
                <w:color w:val="000000"/>
                <w:sz w:val="16"/>
                <w:szCs w:val="16"/>
              </w:rPr>
            </w:pPr>
            <w:r>
              <w:rPr>
                <w:rFonts w:ascii="Verdana" w:hAnsi="Verdana"/>
                <w:color w:val="000000"/>
                <w:sz w:val="16"/>
                <w:szCs w:val="16"/>
              </w:rPr>
              <w:t>8 278,6</w:t>
            </w:r>
          </w:p>
        </w:tc>
        <w:tc>
          <w:tcPr>
            <w:tcW w:w="992" w:type="dxa"/>
            <w:vAlign w:val="center"/>
          </w:tcPr>
          <w:p w14:paraId="7685385D" w14:textId="764B77DC" w:rsidR="00E8716B" w:rsidRPr="00893171" w:rsidRDefault="00BD766B" w:rsidP="00BD766B">
            <w:pPr>
              <w:spacing w:before="40" w:after="40" w:line="320" w:lineRule="atLeast"/>
              <w:jc w:val="right"/>
              <w:rPr>
                <w:rFonts w:ascii="Verdana" w:hAnsi="Verdana"/>
                <w:color w:val="000000"/>
                <w:sz w:val="16"/>
                <w:szCs w:val="16"/>
              </w:rPr>
            </w:pPr>
            <w:r>
              <w:rPr>
                <w:rFonts w:ascii="Verdana" w:hAnsi="Verdana"/>
                <w:color w:val="000000"/>
                <w:sz w:val="16"/>
                <w:szCs w:val="16"/>
              </w:rPr>
              <w:t>4</w:t>
            </w:r>
            <w:r w:rsidR="00E8716B">
              <w:rPr>
                <w:rFonts w:ascii="Verdana" w:hAnsi="Verdana"/>
                <w:color w:val="000000"/>
                <w:sz w:val="16"/>
                <w:szCs w:val="16"/>
              </w:rPr>
              <w:t> </w:t>
            </w:r>
            <w:r>
              <w:rPr>
                <w:rFonts w:ascii="Verdana" w:hAnsi="Verdana"/>
                <w:color w:val="000000"/>
                <w:sz w:val="16"/>
                <w:szCs w:val="16"/>
              </w:rPr>
              <w:t>213</w:t>
            </w:r>
            <w:r w:rsidR="00E8716B">
              <w:rPr>
                <w:rFonts w:ascii="Verdana" w:hAnsi="Verdana"/>
                <w:color w:val="000000"/>
                <w:sz w:val="16"/>
                <w:szCs w:val="16"/>
              </w:rPr>
              <w:t>,3</w:t>
            </w:r>
          </w:p>
        </w:tc>
        <w:tc>
          <w:tcPr>
            <w:tcW w:w="1134" w:type="dxa"/>
            <w:vAlign w:val="center"/>
          </w:tcPr>
          <w:p w14:paraId="6FD03567" w14:textId="77777777" w:rsidR="00E8716B" w:rsidRPr="00893171" w:rsidRDefault="00E8716B" w:rsidP="00BD766B">
            <w:pPr>
              <w:spacing w:before="40" w:after="40" w:line="320" w:lineRule="atLeast"/>
              <w:jc w:val="right"/>
              <w:rPr>
                <w:rFonts w:ascii="Verdana" w:hAnsi="Verdana"/>
                <w:color w:val="000000"/>
                <w:sz w:val="16"/>
                <w:szCs w:val="16"/>
              </w:rPr>
            </w:pPr>
            <w:r>
              <w:rPr>
                <w:rFonts w:ascii="Verdana" w:hAnsi="Verdana"/>
                <w:color w:val="000000"/>
                <w:sz w:val="16"/>
                <w:szCs w:val="16"/>
              </w:rPr>
              <w:t>-</w:t>
            </w:r>
          </w:p>
        </w:tc>
        <w:tc>
          <w:tcPr>
            <w:tcW w:w="992" w:type="dxa"/>
            <w:vAlign w:val="center"/>
          </w:tcPr>
          <w:p w14:paraId="219DA6BB" w14:textId="77777777" w:rsidR="00E8716B" w:rsidRPr="00893171" w:rsidRDefault="00E8716B" w:rsidP="00BD766B">
            <w:pPr>
              <w:spacing w:before="40" w:after="40" w:line="320" w:lineRule="atLeast"/>
              <w:jc w:val="right"/>
              <w:rPr>
                <w:rFonts w:ascii="Verdana" w:hAnsi="Verdana"/>
                <w:color w:val="000000"/>
                <w:sz w:val="16"/>
                <w:szCs w:val="16"/>
              </w:rPr>
            </w:pPr>
            <w:r>
              <w:rPr>
                <w:rFonts w:ascii="Verdana" w:hAnsi="Verdana"/>
                <w:color w:val="000000"/>
                <w:sz w:val="16"/>
                <w:szCs w:val="16"/>
              </w:rPr>
              <w:t>-</w:t>
            </w:r>
          </w:p>
        </w:tc>
        <w:tc>
          <w:tcPr>
            <w:tcW w:w="1276" w:type="dxa"/>
            <w:vAlign w:val="center"/>
          </w:tcPr>
          <w:p w14:paraId="38122695" w14:textId="1EFEE57E" w:rsidR="00E8716B" w:rsidRPr="00893171" w:rsidRDefault="00E8716B" w:rsidP="00BD766B">
            <w:pPr>
              <w:spacing w:before="40" w:after="40" w:line="320" w:lineRule="atLeast"/>
              <w:jc w:val="right"/>
              <w:rPr>
                <w:rFonts w:ascii="Verdana" w:hAnsi="Verdana"/>
                <w:color w:val="000000"/>
                <w:sz w:val="16"/>
                <w:szCs w:val="16"/>
              </w:rPr>
            </w:pPr>
            <w:r>
              <w:rPr>
                <w:rFonts w:ascii="Verdana" w:hAnsi="Verdana"/>
                <w:color w:val="000000"/>
                <w:sz w:val="16"/>
                <w:szCs w:val="16"/>
              </w:rPr>
              <w:t>12 </w:t>
            </w:r>
            <w:r w:rsidR="00BD766B">
              <w:rPr>
                <w:rFonts w:ascii="Verdana" w:hAnsi="Verdana"/>
                <w:color w:val="000000"/>
                <w:sz w:val="16"/>
                <w:szCs w:val="16"/>
              </w:rPr>
              <w:t>491</w:t>
            </w:r>
            <w:r>
              <w:rPr>
                <w:rFonts w:ascii="Verdana" w:hAnsi="Verdana"/>
                <w:color w:val="000000"/>
                <w:sz w:val="16"/>
                <w:szCs w:val="16"/>
              </w:rPr>
              <w:t>,</w:t>
            </w:r>
            <w:r w:rsidR="00BD766B">
              <w:rPr>
                <w:rFonts w:ascii="Verdana" w:hAnsi="Verdana"/>
                <w:color w:val="000000"/>
                <w:sz w:val="16"/>
                <w:szCs w:val="16"/>
              </w:rPr>
              <w:t>9</w:t>
            </w:r>
          </w:p>
        </w:tc>
      </w:tr>
      <w:tr w:rsidR="00E8716B" w:rsidRPr="000435BE" w14:paraId="45422A4D" w14:textId="77777777" w:rsidTr="00CA057B">
        <w:tc>
          <w:tcPr>
            <w:tcW w:w="709" w:type="dxa"/>
            <w:shd w:val="clear" w:color="auto" w:fill="auto"/>
          </w:tcPr>
          <w:p w14:paraId="7237F5D4" w14:textId="77777777" w:rsidR="00E8716B" w:rsidRPr="00893171" w:rsidRDefault="00E8716B" w:rsidP="00BD766B">
            <w:pPr>
              <w:pStyle w:val="ListParagraph"/>
              <w:numPr>
                <w:ilvl w:val="0"/>
                <w:numId w:val="20"/>
              </w:numPr>
              <w:spacing w:before="40" w:after="40" w:line="320" w:lineRule="atLeast"/>
              <w:ind w:left="357" w:hanging="357"/>
              <w:rPr>
                <w:rFonts w:ascii="Verdana" w:hAnsi="Verdana"/>
                <w:color w:val="000000"/>
                <w:sz w:val="16"/>
                <w:szCs w:val="16"/>
              </w:rPr>
            </w:pPr>
          </w:p>
        </w:tc>
        <w:tc>
          <w:tcPr>
            <w:tcW w:w="1418" w:type="dxa"/>
            <w:gridSpan w:val="2"/>
            <w:shd w:val="clear" w:color="auto" w:fill="auto"/>
          </w:tcPr>
          <w:p w14:paraId="67DEBD00" w14:textId="77777777" w:rsidR="00E8716B" w:rsidRPr="00893171" w:rsidRDefault="00E8716B" w:rsidP="00BD766B">
            <w:pPr>
              <w:spacing w:before="40" w:after="40" w:line="320" w:lineRule="atLeast"/>
              <w:rPr>
                <w:rFonts w:ascii="Verdana" w:hAnsi="Verdana"/>
                <w:color w:val="000000" w:themeColor="text1"/>
                <w:sz w:val="16"/>
                <w:szCs w:val="16"/>
              </w:rPr>
            </w:pPr>
            <w:r w:rsidRPr="00893171">
              <w:rPr>
                <w:rFonts w:ascii="Verdana" w:hAnsi="Verdana"/>
                <w:color w:val="000000"/>
                <w:sz w:val="16"/>
                <w:szCs w:val="16"/>
              </w:rPr>
              <w:t>UBS</w:t>
            </w:r>
          </w:p>
        </w:tc>
        <w:tc>
          <w:tcPr>
            <w:tcW w:w="709" w:type="dxa"/>
            <w:shd w:val="clear" w:color="auto" w:fill="auto"/>
            <w:vAlign w:val="center"/>
          </w:tcPr>
          <w:p w14:paraId="670593EC" w14:textId="77777777" w:rsidR="00E8716B" w:rsidRPr="00893171" w:rsidRDefault="00E8716B" w:rsidP="00BD766B">
            <w:pPr>
              <w:spacing w:before="40" w:after="40" w:line="320" w:lineRule="atLeast"/>
              <w:jc w:val="center"/>
              <w:rPr>
                <w:rFonts w:ascii="Verdana" w:hAnsi="Verdana"/>
                <w:color w:val="000000"/>
                <w:sz w:val="16"/>
                <w:szCs w:val="16"/>
              </w:rPr>
            </w:pPr>
            <w:r w:rsidRPr="00893171">
              <w:rPr>
                <w:rFonts w:ascii="Verdana" w:hAnsi="Verdana"/>
                <w:color w:val="000000"/>
                <w:sz w:val="16"/>
                <w:szCs w:val="16"/>
              </w:rPr>
              <w:t>-</w:t>
            </w:r>
          </w:p>
        </w:tc>
        <w:tc>
          <w:tcPr>
            <w:tcW w:w="708" w:type="dxa"/>
            <w:shd w:val="clear" w:color="auto" w:fill="auto"/>
            <w:vAlign w:val="center"/>
          </w:tcPr>
          <w:p w14:paraId="5C08A64A" w14:textId="77777777" w:rsidR="00E8716B" w:rsidRPr="00893171" w:rsidRDefault="00E8716B" w:rsidP="00BD766B">
            <w:pPr>
              <w:spacing w:before="40" w:after="40" w:line="320" w:lineRule="atLeast"/>
              <w:jc w:val="center"/>
              <w:rPr>
                <w:rFonts w:ascii="Verdana" w:hAnsi="Verdana"/>
                <w:color w:val="000000"/>
                <w:sz w:val="16"/>
                <w:szCs w:val="16"/>
              </w:rPr>
            </w:pPr>
            <w:r w:rsidRPr="00893171">
              <w:rPr>
                <w:rFonts w:ascii="Verdana" w:hAnsi="Verdana"/>
                <w:color w:val="000000"/>
                <w:sz w:val="16"/>
                <w:szCs w:val="16"/>
              </w:rPr>
              <w:t>22</w:t>
            </w:r>
          </w:p>
        </w:tc>
        <w:tc>
          <w:tcPr>
            <w:tcW w:w="709" w:type="dxa"/>
            <w:shd w:val="clear" w:color="auto" w:fill="auto"/>
            <w:vAlign w:val="center"/>
          </w:tcPr>
          <w:p w14:paraId="52E051C1" w14:textId="4C6E20B2" w:rsidR="00E8716B" w:rsidRDefault="00E8716B" w:rsidP="00BD766B">
            <w:pPr>
              <w:spacing w:before="40" w:after="40" w:line="320" w:lineRule="atLeast"/>
              <w:jc w:val="center"/>
              <w:rPr>
                <w:rFonts w:ascii="Verdana" w:hAnsi="Verdana"/>
                <w:color w:val="000000"/>
                <w:sz w:val="16"/>
                <w:szCs w:val="16"/>
              </w:rPr>
            </w:pPr>
            <w:r>
              <w:rPr>
                <w:rFonts w:ascii="Verdana" w:hAnsi="Verdana"/>
                <w:color w:val="000000"/>
                <w:sz w:val="16"/>
                <w:szCs w:val="16"/>
              </w:rPr>
              <w:t>3</w:t>
            </w:r>
            <w:r w:rsidR="00CE3305">
              <w:rPr>
                <w:rFonts w:ascii="Verdana" w:hAnsi="Verdana"/>
                <w:color w:val="000000"/>
                <w:sz w:val="16"/>
                <w:szCs w:val="16"/>
              </w:rPr>
              <w:t>4</w:t>
            </w:r>
          </w:p>
        </w:tc>
        <w:tc>
          <w:tcPr>
            <w:tcW w:w="709" w:type="dxa"/>
            <w:shd w:val="clear" w:color="auto" w:fill="auto"/>
            <w:vAlign w:val="center"/>
          </w:tcPr>
          <w:p w14:paraId="02AD3009" w14:textId="77777777" w:rsidR="00E8716B" w:rsidRDefault="00E8716B" w:rsidP="00BD766B">
            <w:pPr>
              <w:spacing w:before="40" w:after="40" w:line="320" w:lineRule="atLeast"/>
              <w:jc w:val="center"/>
              <w:rPr>
                <w:rFonts w:ascii="Verdana" w:hAnsi="Verdana"/>
                <w:color w:val="000000"/>
                <w:sz w:val="16"/>
                <w:szCs w:val="16"/>
              </w:rPr>
            </w:pPr>
            <w:r>
              <w:rPr>
                <w:rFonts w:ascii="Verdana" w:hAnsi="Verdana"/>
                <w:color w:val="000000"/>
                <w:sz w:val="16"/>
                <w:szCs w:val="16"/>
              </w:rPr>
              <w:t>-</w:t>
            </w:r>
          </w:p>
        </w:tc>
        <w:tc>
          <w:tcPr>
            <w:tcW w:w="1134" w:type="dxa"/>
            <w:vAlign w:val="center"/>
          </w:tcPr>
          <w:p w14:paraId="4918715B" w14:textId="77777777" w:rsidR="00E8716B" w:rsidRDefault="00E8716B" w:rsidP="00BD766B">
            <w:pPr>
              <w:spacing w:before="40" w:after="40" w:line="320" w:lineRule="atLeast"/>
              <w:jc w:val="right"/>
              <w:rPr>
                <w:rFonts w:ascii="Verdana" w:hAnsi="Verdana"/>
                <w:color w:val="000000"/>
                <w:sz w:val="16"/>
                <w:szCs w:val="16"/>
              </w:rPr>
            </w:pPr>
            <w:r>
              <w:rPr>
                <w:rFonts w:ascii="Verdana" w:hAnsi="Verdana"/>
                <w:color w:val="000000"/>
                <w:sz w:val="16"/>
                <w:szCs w:val="16"/>
              </w:rPr>
              <w:t>-</w:t>
            </w:r>
          </w:p>
        </w:tc>
        <w:tc>
          <w:tcPr>
            <w:tcW w:w="992" w:type="dxa"/>
            <w:vAlign w:val="center"/>
          </w:tcPr>
          <w:p w14:paraId="49C190B8" w14:textId="56A2443A" w:rsidR="00E8716B" w:rsidRDefault="00E8716B" w:rsidP="00BD766B">
            <w:pPr>
              <w:spacing w:before="40" w:after="40" w:line="320" w:lineRule="atLeast"/>
              <w:jc w:val="right"/>
              <w:rPr>
                <w:rFonts w:ascii="Verdana" w:hAnsi="Verdana"/>
                <w:color w:val="000000"/>
                <w:sz w:val="16"/>
                <w:szCs w:val="16"/>
              </w:rPr>
            </w:pPr>
            <w:r>
              <w:rPr>
                <w:rFonts w:ascii="Verdana" w:hAnsi="Verdana"/>
                <w:color w:val="000000"/>
                <w:sz w:val="16"/>
                <w:szCs w:val="16"/>
              </w:rPr>
              <w:t>7</w:t>
            </w:r>
            <w:r w:rsidR="00BD766B">
              <w:rPr>
                <w:rFonts w:ascii="Verdana" w:hAnsi="Verdana"/>
                <w:color w:val="000000"/>
                <w:sz w:val="16"/>
                <w:szCs w:val="16"/>
              </w:rPr>
              <w:t>33</w:t>
            </w:r>
            <w:r>
              <w:rPr>
                <w:rFonts w:ascii="Verdana" w:hAnsi="Verdana"/>
                <w:color w:val="000000"/>
                <w:sz w:val="16"/>
                <w:szCs w:val="16"/>
              </w:rPr>
              <w:t>,</w:t>
            </w:r>
            <w:r w:rsidR="00BD766B">
              <w:rPr>
                <w:rFonts w:ascii="Verdana" w:hAnsi="Verdana"/>
                <w:color w:val="000000"/>
                <w:sz w:val="16"/>
                <w:szCs w:val="16"/>
              </w:rPr>
              <w:t>7</w:t>
            </w:r>
          </w:p>
        </w:tc>
        <w:tc>
          <w:tcPr>
            <w:tcW w:w="1134" w:type="dxa"/>
            <w:vAlign w:val="center"/>
          </w:tcPr>
          <w:p w14:paraId="21D9B977" w14:textId="633EF219" w:rsidR="00E8716B" w:rsidRDefault="00BD766B" w:rsidP="00BD766B">
            <w:pPr>
              <w:spacing w:before="40" w:after="40" w:line="320" w:lineRule="atLeast"/>
              <w:jc w:val="right"/>
              <w:rPr>
                <w:rFonts w:ascii="Verdana" w:hAnsi="Verdana"/>
                <w:color w:val="000000"/>
                <w:sz w:val="16"/>
                <w:szCs w:val="16"/>
              </w:rPr>
            </w:pPr>
            <w:r>
              <w:rPr>
                <w:rFonts w:ascii="Verdana" w:hAnsi="Verdana"/>
                <w:color w:val="000000"/>
                <w:sz w:val="16"/>
                <w:szCs w:val="16"/>
              </w:rPr>
              <w:t>9 242,9</w:t>
            </w:r>
          </w:p>
        </w:tc>
        <w:tc>
          <w:tcPr>
            <w:tcW w:w="992" w:type="dxa"/>
            <w:vAlign w:val="center"/>
          </w:tcPr>
          <w:p w14:paraId="38ACBCCF" w14:textId="77777777" w:rsidR="00E8716B" w:rsidRDefault="00E8716B" w:rsidP="00BD766B">
            <w:pPr>
              <w:spacing w:before="40" w:after="40" w:line="320" w:lineRule="atLeast"/>
              <w:jc w:val="right"/>
              <w:rPr>
                <w:rFonts w:ascii="Verdana" w:hAnsi="Verdana"/>
                <w:color w:val="000000"/>
                <w:sz w:val="16"/>
                <w:szCs w:val="16"/>
              </w:rPr>
            </w:pPr>
            <w:r>
              <w:rPr>
                <w:rFonts w:ascii="Verdana" w:hAnsi="Verdana"/>
                <w:color w:val="000000"/>
                <w:sz w:val="16"/>
                <w:szCs w:val="16"/>
              </w:rPr>
              <w:t>-</w:t>
            </w:r>
          </w:p>
        </w:tc>
        <w:tc>
          <w:tcPr>
            <w:tcW w:w="1276" w:type="dxa"/>
            <w:vAlign w:val="center"/>
          </w:tcPr>
          <w:p w14:paraId="55D41BFA" w14:textId="0DAEA8A9" w:rsidR="00E8716B" w:rsidRDefault="00E8716B" w:rsidP="00BD766B">
            <w:pPr>
              <w:spacing w:before="40" w:after="40" w:line="320" w:lineRule="atLeast"/>
              <w:jc w:val="right"/>
              <w:rPr>
                <w:rFonts w:ascii="Verdana" w:hAnsi="Verdana"/>
                <w:color w:val="000000"/>
                <w:sz w:val="16"/>
                <w:szCs w:val="16"/>
              </w:rPr>
            </w:pPr>
            <w:r>
              <w:rPr>
                <w:rFonts w:ascii="Verdana" w:hAnsi="Verdana"/>
                <w:color w:val="000000"/>
                <w:sz w:val="16"/>
                <w:szCs w:val="16"/>
              </w:rPr>
              <w:t>9 </w:t>
            </w:r>
            <w:r w:rsidR="00BD766B">
              <w:rPr>
                <w:rFonts w:ascii="Verdana" w:hAnsi="Verdana"/>
                <w:color w:val="000000"/>
                <w:sz w:val="16"/>
                <w:szCs w:val="16"/>
              </w:rPr>
              <w:t>976</w:t>
            </w:r>
            <w:r>
              <w:rPr>
                <w:rFonts w:ascii="Verdana" w:hAnsi="Verdana"/>
                <w:color w:val="000000"/>
                <w:sz w:val="16"/>
                <w:szCs w:val="16"/>
              </w:rPr>
              <w:t>,</w:t>
            </w:r>
            <w:r w:rsidR="00BD766B">
              <w:rPr>
                <w:rFonts w:ascii="Verdana" w:hAnsi="Verdana"/>
                <w:color w:val="000000"/>
                <w:sz w:val="16"/>
                <w:szCs w:val="16"/>
              </w:rPr>
              <w:t>6</w:t>
            </w:r>
          </w:p>
        </w:tc>
      </w:tr>
      <w:tr w:rsidR="00E8716B" w:rsidRPr="000435BE" w14:paraId="03CC7F68" w14:textId="77777777" w:rsidTr="00CA057B">
        <w:tc>
          <w:tcPr>
            <w:tcW w:w="709" w:type="dxa"/>
            <w:shd w:val="clear" w:color="auto" w:fill="auto"/>
          </w:tcPr>
          <w:p w14:paraId="165D95B4" w14:textId="77777777" w:rsidR="00E8716B" w:rsidRPr="00893171" w:rsidRDefault="00E8716B" w:rsidP="00BD766B">
            <w:pPr>
              <w:pStyle w:val="ListParagraph"/>
              <w:numPr>
                <w:ilvl w:val="0"/>
                <w:numId w:val="20"/>
              </w:numPr>
              <w:spacing w:before="40" w:after="40" w:line="320" w:lineRule="atLeast"/>
              <w:ind w:left="357" w:hanging="357"/>
              <w:rPr>
                <w:rFonts w:ascii="Verdana" w:hAnsi="Verdana"/>
                <w:color w:val="000000"/>
                <w:sz w:val="16"/>
                <w:szCs w:val="16"/>
              </w:rPr>
            </w:pPr>
          </w:p>
        </w:tc>
        <w:tc>
          <w:tcPr>
            <w:tcW w:w="1418" w:type="dxa"/>
            <w:gridSpan w:val="2"/>
            <w:shd w:val="clear" w:color="auto" w:fill="auto"/>
          </w:tcPr>
          <w:p w14:paraId="1F44EA0B" w14:textId="77777777" w:rsidR="00E8716B" w:rsidRPr="00893171" w:rsidRDefault="00E8716B" w:rsidP="00BD766B">
            <w:pPr>
              <w:spacing w:before="40" w:after="40" w:line="320" w:lineRule="atLeast"/>
              <w:rPr>
                <w:rFonts w:ascii="Verdana" w:hAnsi="Verdana"/>
                <w:color w:val="000000" w:themeColor="text1"/>
                <w:sz w:val="16"/>
                <w:szCs w:val="16"/>
              </w:rPr>
            </w:pPr>
            <w:r w:rsidRPr="00893171">
              <w:rPr>
                <w:rFonts w:ascii="Verdana" w:hAnsi="Verdana"/>
                <w:color w:val="000000" w:themeColor="text1"/>
                <w:sz w:val="16"/>
                <w:szCs w:val="16"/>
              </w:rPr>
              <w:t>1nvest</w:t>
            </w:r>
          </w:p>
        </w:tc>
        <w:tc>
          <w:tcPr>
            <w:tcW w:w="709" w:type="dxa"/>
            <w:shd w:val="clear" w:color="auto" w:fill="auto"/>
            <w:vAlign w:val="center"/>
          </w:tcPr>
          <w:p w14:paraId="31D35EB2" w14:textId="77777777" w:rsidR="00E8716B" w:rsidRPr="00893171" w:rsidRDefault="00E8716B" w:rsidP="00BD766B">
            <w:pPr>
              <w:spacing w:before="40" w:after="40" w:line="320" w:lineRule="atLeast"/>
              <w:jc w:val="center"/>
              <w:rPr>
                <w:rFonts w:ascii="Verdana" w:hAnsi="Verdana"/>
                <w:color w:val="000000"/>
                <w:sz w:val="16"/>
                <w:szCs w:val="16"/>
              </w:rPr>
            </w:pPr>
            <w:r w:rsidRPr="00893171">
              <w:rPr>
                <w:rFonts w:ascii="Verdana" w:hAnsi="Verdana"/>
                <w:color w:val="000000"/>
                <w:sz w:val="16"/>
                <w:szCs w:val="16"/>
              </w:rPr>
              <w:t>16</w:t>
            </w:r>
          </w:p>
        </w:tc>
        <w:tc>
          <w:tcPr>
            <w:tcW w:w="708" w:type="dxa"/>
            <w:shd w:val="clear" w:color="auto" w:fill="auto"/>
            <w:vAlign w:val="center"/>
          </w:tcPr>
          <w:p w14:paraId="14E49D12" w14:textId="77777777" w:rsidR="00E8716B" w:rsidRPr="00893171" w:rsidRDefault="00E8716B" w:rsidP="00BD766B">
            <w:pPr>
              <w:spacing w:before="40" w:after="40" w:line="320" w:lineRule="atLeast"/>
              <w:jc w:val="center"/>
              <w:rPr>
                <w:rFonts w:ascii="Verdana" w:hAnsi="Verdana"/>
                <w:color w:val="000000"/>
                <w:sz w:val="16"/>
                <w:szCs w:val="16"/>
              </w:rPr>
            </w:pPr>
            <w:r w:rsidRPr="00893171">
              <w:rPr>
                <w:rFonts w:ascii="Verdana" w:hAnsi="Verdana"/>
                <w:color w:val="000000"/>
                <w:sz w:val="16"/>
                <w:szCs w:val="16"/>
              </w:rPr>
              <w:t>-</w:t>
            </w:r>
          </w:p>
        </w:tc>
        <w:tc>
          <w:tcPr>
            <w:tcW w:w="709" w:type="dxa"/>
            <w:shd w:val="clear" w:color="auto" w:fill="auto"/>
            <w:vAlign w:val="center"/>
          </w:tcPr>
          <w:p w14:paraId="216A7D2E" w14:textId="77777777" w:rsidR="00E8716B" w:rsidRPr="00893171" w:rsidRDefault="00E8716B" w:rsidP="00BD766B">
            <w:pPr>
              <w:spacing w:before="40" w:after="40" w:line="320" w:lineRule="atLeast"/>
              <w:jc w:val="center"/>
              <w:rPr>
                <w:rFonts w:ascii="Verdana" w:hAnsi="Verdana"/>
                <w:color w:val="000000"/>
                <w:sz w:val="16"/>
                <w:szCs w:val="16"/>
              </w:rPr>
            </w:pPr>
            <w:r>
              <w:rPr>
                <w:rFonts w:ascii="Verdana" w:hAnsi="Verdana"/>
                <w:color w:val="000000"/>
                <w:sz w:val="16"/>
                <w:szCs w:val="16"/>
              </w:rPr>
              <w:t>-</w:t>
            </w:r>
          </w:p>
        </w:tc>
        <w:tc>
          <w:tcPr>
            <w:tcW w:w="709" w:type="dxa"/>
            <w:shd w:val="clear" w:color="auto" w:fill="auto"/>
            <w:vAlign w:val="center"/>
          </w:tcPr>
          <w:p w14:paraId="0D5105B0" w14:textId="77777777" w:rsidR="00E8716B" w:rsidRPr="00893171" w:rsidRDefault="00E8716B" w:rsidP="00BD766B">
            <w:pPr>
              <w:spacing w:before="40" w:after="40" w:line="320" w:lineRule="atLeast"/>
              <w:jc w:val="center"/>
              <w:rPr>
                <w:rFonts w:ascii="Verdana" w:hAnsi="Verdana"/>
                <w:color w:val="000000"/>
                <w:sz w:val="16"/>
                <w:szCs w:val="16"/>
              </w:rPr>
            </w:pPr>
            <w:r>
              <w:rPr>
                <w:rFonts w:ascii="Verdana" w:hAnsi="Verdana"/>
                <w:color w:val="000000"/>
                <w:sz w:val="16"/>
                <w:szCs w:val="16"/>
              </w:rPr>
              <w:t>-</w:t>
            </w:r>
          </w:p>
        </w:tc>
        <w:tc>
          <w:tcPr>
            <w:tcW w:w="1134" w:type="dxa"/>
            <w:vAlign w:val="center"/>
          </w:tcPr>
          <w:p w14:paraId="7853D859" w14:textId="6731DA14" w:rsidR="00E8716B" w:rsidRPr="00893171" w:rsidRDefault="00BD766B" w:rsidP="00BD766B">
            <w:pPr>
              <w:spacing w:before="40" w:after="40" w:line="320" w:lineRule="atLeast"/>
              <w:jc w:val="right"/>
              <w:rPr>
                <w:rFonts w:ascii="Verdana" w:hAnsi="Verdana"/>
                <w:color w:val="000000"/>
                <w:sz w:val="16"/>
                <w:szCs w:val="16"/>
              </w:rPr>
            </w:pPr>
            <w:r>
              <w:rPr>
                <w:rFonts w:ascii="Verdana" w:hAnsi="Verdana"/>
                <w:color w:val="000000"/>
                <w:sz w:val="16"/>
                <w:szCs w:val="16"/>
              </w:rPr>
              <w:t>9 402,2</w:t>
            </w:r>
          </w:p>
        </w:tc>
        <w:tc>
          <w:tcPr>
            <w:tcW w:w="992" w:type="dxa"/>
            <w:vAlign w:val="center"/>
          </w:tcPr>
          <w:p w14:paraId="439FBD00" w14:textId="77777777" w:rsidR="00E8716B" w:rsidRPr="00893171" w:rsidRDefault="00E8716B" w:rsidP="00BD766B">
            <w:pPr>
              <w:spacing w:before="40" w:after="40" w:line="320" w:lineRule="atLeast"/>
              <w:jc w:val="right"/>
              <w:rPr>
                <w:rFonts w:ascii="Verdana" w:hAnsi="Verdana"/>
                <w:color w:val="000000"/>
                <w:sz w:val="16"/>
                <w:szCs w:val="16"/>
              </w:rPr>
            </w:pPr>
            <w:r>
              <w:rPr>
                <w:rFonts w:ascii="Verdana" w:hAnsi="Verdana"/>
                <w:color w:val="000000"/>
                <w:sz w:val="16"/>
                <w:szCs w:val="16"/>
              </w:rPr>
              <w:t>-</w:t>
            </w:r>
          </w:p>
        </w:tc>
        <w:tc>
          <w:tcPr>
            <w:tcW w:w="1134" w:type="dxa"/>
            <w:vAlign w:val="center"/>
          </w:tcPr>
          <w:p w14:paraId="62228DC7" w14:textId="77777777" w:rsidR="00E8716B" w:rsidRPr="00893171" w:rsidRDefault="00E8716B" w:rsidP="00BD766B">
            <w:pPr>
              <w:spacing w:before="40" w:after="40" w:line="320" w:lineRule="atLeast"/>
              <w:jc w:val="right"/>
              <w:rPr>
                <w:rFonts w:ascii="Verdana" w:hAnsi="Verdana"/>
                <w:color w:val="000000"/>
                <w:sz w:val="16"/>
                <w:szCs w:val="16"/>
              </w:rPr>
            </w:pPr>
            <w:r>
              <w:rPr>
                <w:rFonts w:ascii="Verdana" w:hAnsi="Verdana"/>
                <w:color w:val="000000"/>
                <w:sz w:val="16"/>
                <w:szCs w:val="16"/>
              </w:rPr>
              <w:t>-</w:t>
            </w:r>
          </w:p>
        </w:tc>
        <w:tc>
          <w:tcPr>
            <w:tcW w:w="992" w:type="dxa"/>
            <w:vAlign w:val="center"/>
          </w:tcPr>
          <w:p w14:paraId="62A5F0E5" w14:textId="77777777" w:rsidR="00E8716B" w:rsidRPr="00893171" w:rsidRDefault="00E8716B" w:rsidP="00BD766B">
            <w:pPr>
              <w:spacing w:before="40" w:after="40" w:line="320" w:lineRule="atLeast"/>
              <w:jc w:val="right"/>
              <w:rPr>
                <w:rFonts w:ascii="Verdana" w:hAnsi="Verdana"/>
                <w:color w:val="000000"/>
                <w:sz w:val="16"/>
                <w:szCs w:val="16"/>
              </w:rPr>
            </w:pPr>
            <w:r>
              <w:rPr>
                <w:rFonts w:ascii="Verdana" w:hAnsi="Verdana"/>
                <w:color w:val="000000"/>
                <w:sz w:val="16"/>
                <w:szCs w:val="16"/>
              </w:rPr>
              <w:t>-</w:t>
            </w:r>
          </w:p>
        </w:tc>
        <w:tc>
          <w:tcPr>
            <w:tcW w:w="1276" w:type="dxa"/>
            <w:vAlign w:val="center"/>
          </w:tcPr>
          <w:p w14:paraId="131766B9" w14:textId="2788A587" w:rsidR="00E8716B" w:rsidRPr="00893171" w:rsidRDefault="00BD766B" w:rsidP="00BD766B">
            <w:pPr>
              <w:spacing w:before="40" w:after="40" w:line="320" w:lineRule="atLeast"/>
              <w:jc w:val="right"/>
              <w:rPr>
                <w:rFonts w:ascii="Verdana" w:hAnsi="Verdana"/>
                <w:color w:val="000000"/>
                <w:sz w:val="16"/>
                <w:szCs w:val="16"/>
              </w:rPr>
            </w:pPr>
            <w:r>
              <w:rPr>
                <w:rFonts w:ascii="Verdana" w:hAnsi="Verdana"/>
                <w:color w:val="000000"/>
                <w:sz w:val="16"/>
                <w:szCs w:val="16"/>
              </w:rPr>
              <w:t>9</w:t>
            </w:r>
            <w:r w:rsidR="00E8716B">
              <w:rPr>
                <w:rFonts w:ascii="Verdana" w:hAnsi="Verdana"/>
                <w:color w:val="000000"/>
                <w:sz w:val="16"/>
                <w:szCs w:val="16"/>
              </w:rPr>
              <w:t> </w:t>
            </w:r>
            <w:r>
              <w:rPr>
                <w:rFonts w:ascii="Verdana" w:hAnsi="Verdana"/>
                <w:color w:val="000000"/>
                <w:sz w:val="16"/>
                <w:szCs w:val="16"/>
              </w:rPr>
              <w:t>402</w:t>
            </w:r>
            <w:r w:rsidR="00E8716B">
              <w:rPr>
                <w:rFonts w:ascii="Verdana" w:hAnsi="Verdana"/>
                <w:color w:val="000000"/>
                <w:sz w:val="16"/>
                <w:szCs w:val="16"/>
              </w:rPr>
              <w:t>,2</w:t>
            </w:r>
          </w:p>
        </w:tc>
      </w:tr>
      <w:tr w:rsidR="00E8716B" w:rsidRPr="000435BE" w14:paraId="3D143A54" w14:textId="77777777" w:rsidTr="00CA057B">
        <w:tc>
          <w:tcPr>
            <w:tcW w:w="709" w:type="dxa"/>
            <w:shd w:val="clear" w:color="auto" w:fill="auto"/>
          </w:tcPr>
          <w:p w14:paraId="57407519" w14:textId="77777777" w:rsidR="00E8716B" w:rsidRPr="00893171" w:rsidRDefault="00E8716B" w:rsidP="00BD766B">
            <w:pPr>
              <w:pStyle w:val="ListParagraph"/>
              <w:numPr>
                <w:ilvl w:val="0"/>
                <w:numId w:val="20"/>
              </w:numPr>
              <w:spacing w:before="40" w:after="40" w:line="320" w:lineRule="atLeast"/>
              <w:ind w:left="357" w:hanging="357"/>
              <w:rPr>
                <w:rFonts w:ascii="Verdana" w:hAnsi="Verdana"/>
                <w:color w:val="000000"/>
                <w:sz w:val="16"/>
                <w:szCs w:val="16"/>
              </w:rPr>
            </w:pPr>
          </w:p>
        </w:tc>
        <w:tc>
          <w:tcPr>
            <w:tcW w:w="1418" w:type="dxa"/>
            <w:gridSpan w:val="2"/>
            <w:shd w:val="clear" w:color="auto" w:fill="auto"/>
          </w:tcPr>
          <w:p w14:paraId="5ED92263" w14:textId="77777777" w:rsidR="00E8716B" w:rsidRPr="00893171" w:rsidRDefault="00E8716B" w:rsidP="00BD766B">
            <w:pPr>
              <w:spacing w:before="40" w:after="40" w:line="320" w:lineRule="atLeast"/>
              <w:rPr>
                <w:rFonts w:ascii="Verdana" w:hAnsi="Verdana"/>
                <w:color w:val="000000"/>
                <w:sz w:val="16"/>
                <w:szCs w:val="16"/>
              </w:rPr>
            </w:pPr>
            <w:r w:rsidRPr="00893171">
              <w:rPr>
                <w:rFonts w:ascii="Verdana" w:hAnsi="Verdana"/>
                <w:color w:val="000000"/>
                <w:sz w:val="16"/>
                <w:szCs w:val="16"/>
              </w:rPr>
              <w:t>Standard Bank</w:t>
            </w:r>
          </w:p>
        </w:tc>
        <w:tc>
          <w:tcPr>
            <w:tcW w:w="709" w:type="dxa"/>
            <w:shd w:val="clear" w:color="auto" w:fill="auto"/>
            <w:vAlign w:val="center"/>
          </w:tcPr>
          <w:p w14:paraId="4B0915CB" w14:textId="77777777" w:rsidR="00E8716B" w:rsidRPr="00893171" w:rsidRDefault="00E8716B" w:rsidP="00BD766B">
            <w:pPr>
              <w:spacing w:before="40" w:after="40" w:line="320" w:lineRule="atLeast"/>
              <w:jc w:val="center"/>
              <w:rPr>
                <w:rFonts w:ascii="Verdana" w:hAnsi="Verdana"/>
                <w:color w:val="000000"/>
                <w:sz w:val="16"/>
                <w:szCs w:val="16"/>
              </w:rPr>
            </w:pPr>
            <w:r w:rsidRPr="00893171">
              <w:rPr>
                <w:rFonts w:ascii="Verdana" w:hAnsi="Verdana"/>
                <w:color w:val="000000"/>
                <w:sz w:val="16"/>
                <w:szCs w:val="16"/>
              </w:rPr>
              <w:t>-</w:t>
            </w:r>
          </w:p>
        </w:tc>
        <w:tc>
          <w:tcPr>
            <w:tcW w:w="708" w:type="dxa"/>
            <w:shd w:val="clear" w:color="auto" w:fill="auto"/>
            <w:vAlign w:val="center"/>
          </w:tcPr>
          <w:p w14:paraId="3695E0D1" w14:textId="77777777" w:rsidR="00E8716B" w:rsidRPr="00893171" w:rsidRDefault="00E8716B" w:rsidP="00BD766B">
            <w:pPr>
              <w:spacing w:before="40" w:after="40" w:line="320" w:lineRule="atLeast"/>
              <w:jc w:val="center"/>
              <w:rPr>
                <w:rFonts w:ascii="Verdana" w:hAnsi="Verdana"/>
                <w:color w:val="000000"/>
                <w:sz w:val="16"/>
                <w:szCs w:val="16"/>
              </w:rPr>
            </w:pPr>
            <w:r w:rsidRPr="00893171">
              <w:rPr>
                <w:rFonts w:ascii="Verdana" w:hAnsi="Verdana"/>
                <w:color w:val="000000"/>
                <w:sz w:val="16"/>
                <w:szCs w:val="16"/>
              </w:rPr>
              <w:t>2</w:t>
            </w:r>
          </w:p>
        </w:tc>
        <w:tc>
          <w:tcPr>
            <w:tcW w:w="709" w:type="dxa"/>
            <w:shd w:val="clear" w:color="auto" w:fill="auto"/>
            <w:vAlign w:val="center"/>
          </w:tcPr>
          <w:p w14:paraId="2EDE8420" w14:textId="6367BEDF" w:rsidR="00E8716B" w:rsidRDefault="00E8716B" w:rsidP="00BD766B">
            <w:pPr>
              <w:spacing w:before="40" w:after="40" w:line="320" w:lineRule="atLeast"/>
              <w:jc w:val="center"/>
              <w:rPr>
                <w:rFonts w:ascii="Verdana" w:hAnsi="Verdana"/>
                <w:color w:val="000000"/>
                <w:sz w:val="16"/>
                <w:szCs w:val="16"/>
              </w:rPr>
            </w:pPr>
            <w:r>
              <w:rPr>
                <w:rFonts w:ascii="Verdana" w:hAnsi="Verdana"/>
                <w:color w:val="000000"/>
                <w:sz w:val="16"/>
                <w:szCs w:val="16"/>
              </w:rPr>
              <w:t>13</w:t>
            </w:r>
          </w:p>
        </w:tc>
        <w:tc>
          <w:tcPr>
            <w:tcW w:w="709" w:type="dxa"/>
            <w:shd w:val="clear" w:color="auto" w:fill="auto"/>
            <w:vAlign w:val="center"/>
          </w:tcPr>
          <w:p w14:paraId="297F7D11" w14:textId="77777777" w:rsidR="00E8716B" w:rsidRDefault="00E8716B" w:rsidP="00BD766B">
            <w:pPr>
              <w:spacing w:before="40" w:after="40" w:line="320" w:lineRule="atLeast"/>
              <w:jc w:val="center"/>
              <w:rPr>
                <w:rFonts w:ascii="Verdana" w:hAnsi="Verdana"/>
                <w:color w:val="000000"/>
                <w:sz w:val="16"/>
                <w:szCs w:val="16"/>
              </w:rPr>
            </w:pPr>
            <w:r>
              <w:rPr>
                <w:rFonts w:ascii="Verdana" w:hAnsi="Verdana"/>
                <w:color w:val="000000"/>
                <w:sz w:val="16"/>
                <w:szCs w:val="16"/>
              </w:rPr>
              <w:t>-</w:t>
            </w:r>
          </w:p>
        </w:tc>
        <w:tc>
          <w:tcPr>
            <w:tcW w:w="1134" w:type="dxa"/>
            <w:vAlign w:val="center"/>
          </w:tcPr>
          <w:p w14:paraId="1AEDCCEB" w14:textId="77777777" w:rsidR="00E8716B" w:rsidRDefault="00E8716B" w:rsidP="00BD766B">
            <w:pPr>
              <w:spacing w:before="40" w:after="40" w:line="320" w:lineRule="atLeast"/>
              <w:jc w:val="right"/>
              <w:rPr>
                <w:rFonts w:ascii="Verdana" w:hAnsi="Verdana"/>
                <w:color w:val="000000"/>
                <w:sz w:val="16"/>
                <w:szCs w:val="16"/>
              </w:rPr>
            </w:pPr>
            <w:r>
              <w:rPr>
                <w:rFonts w:ascii="Verdana" w:hAnsi="Verdana"/>
                <w:color w:val="000000"/>
                <w:sz w:val="16"/>
                <w:szCs w:val="16"/>
              </w:rPr>
              <w:t>-</w:t>
            </w:r>
          </w:p>
        </w:tc>
        <w:tc>
          <w:tcPr>
            <w:tcW w:w="992" w:type="dxa"/>
            <w:vAlign w:val="center"/>
          </w:tcPr>
          <w:p w14:paraId="2FDB21BF" w14:textId="11D29CE7" w:rsidR="00E8716B" w:rsidRDefault="00E8716B" w:rsidP="00BD766B">
            <w:pPr>
              <w:spacing w:before="40" w:after="40" w:line="320" w:lineRule="atLeast"/>
              <w:jc w:val="right"/>
              <w:rPr>
                <w:rFonts w:ascii="Verdana" w:hAnsi="Verdana"/>
                <w:color w:val="000000"/>
                <w:sz w:val="16"/>
                <w:szCs w:val="16"/>
              </w:rPr>
            </w:pPr>
            <w:r>
              <w:rPr>
                <w:rFonts w:ascii="Verdana" w:hAnsi="Verdana"/>
                <w:color w:val="000000"/>
                <w:sz w:val="16"/>
                <w:szCs w:val="16"/>
              </w:rPr>
              <w:t>1 </w:t>
            </w:r>
            <w:r w:rsidR="00BD766B">
              <w:rPr>
                <w:rFonts w:ascii="Verdana" w:hAnsi="Verdana"/>
                <w:color w:val="000000"/>
                <w:sz w:val="16"/>
                <w:szCs w:val="16"/>
              </w:rPr>
              <w:t>512</w:t>
            </w:r>
            <w:r>
              <w:rPr>
                <w:rFonts w:ascii="Verdana" w:hAnsi="Verdana"/>
                <w:color w:val="000000"/>
                <w:sz w:val="16"/>
                <w:szCs w:val="16"/>
              </w:rPr>
              <w:t>,</w:t>
            </w:r>
            <w:r w:rsidR="00BD766B">
              <w:rPr>
                <w:rFonts w:ascii="Verdana" w:hAnsi="Verdana"/>
                <w:color w:val="000000"/>
                <w:sz w:val="16"/>
                <w:szCs w:val="16"/>
              </w:rPr>
              <w:t>5</w:t>
            </w:r>
          </w:p>
        </w:tc>
        <w:tc>
          <w:tcPr>
            <w:tcW w:w="1134" w:type="dxa"/>
            <w:vAlign w:val="center"/>
          </w:tcPr>
          <w:p w14:paraId="04AA7614" w14:textId="76F5B395" w:rsidR="00E8716B" w:rsidRDefault="00E8716B" w:rsidP="00BD766B">
            <w:pPr>
              <w:spacing w:before="40" w:after="40" w:line="320" w:lineRule="atLeast"/>
              <w:jc w:val="right"/>
              <w:rPr>
                <w:rFonts w:ascii="Verdana" w:hAnsi="Verdana"/>
                <w:color w:val="000000"/>
                <w:sz w:val="16"/>
                <w:szCs w:val="16"/>
              </w:rPr>
            </w:pPr>
            <w:r>
              <w:rPr>
                <w:rFonts w:ascii="Verdana" w:hAnsi="Verdana"/>
                <w:color w:val="000000"/>
                <w:sz w:val="16"/>
                <w:szCs w:val="16"/>
              </w:rPr>
              <w:t>1 4</w:t>
            </w:r>
            <w:r w:rsidR="00BD766B">
              <w:rPr>
                <w:rFonts w:ascii="Verdana" w:hAnsi="Verdana"/>
                <w:color w:val="000000"/>
                <w:sz w:val="16"/>
                <w:szCs w:val="16"/>
              </w:rPr>
              <w:t>41</w:t>
            </w:r>
            <w:r>
              <w:rPr>
                <w:rFonts w:ascii="Verdana" w:hAnsi="Verdana"/>
                <w:color w:val="000000"/>
                <w:sz w:val="16"/>
                <w:szCs w:val="16"/>
              </w:rPr>
              <w:t>,</w:t>
            </w:r>
            <w:r w:rsidR="00BD766B">
              <w:rPr>
                <w:rFonts w:ascii="Verdana" w:hAnsi="Verdana"/>
                <w:color w:val="000000"/>
                <w:sz w:val="16"/>
                <w:szCs w:val="16"/>
              </w:rPr>
              <w:t>9</w:t>
            </w:r>
          </w:p>
        </w:tc>
        <w:tc>
          <w:tcPr>
            <w:tcW w:w="992" w:type="dxa"/>
            <w:vAlign w:val="center"/>
          </w:tcPr>
          <w:p w14:paraId="1A80A101" w14:textId="77777777" w:rsidR="00E8716B" w:rsidRDefault="00E8716B" w:rsidP="00BD766B">
            <w:pPr>
              <w:spacing w:before="40" w:after="40" w:line="320" w:lineRule="atLeast"/>
              <w:jc w:val="right"/>
              <w:rPr>
                <w:rFonts w:ascii="Verdana" w:hAnsi="Verdana"/>
                <w:color w:val="000000"/>
                <w:sz w:val="16"/>
                <w:szCs w:val="16"/>
              </w:rPr>
            </w:pPr>
            <w:r>
              <w:rPr>
                <w:rFonts w:ascii="Verdana" w:hAnsi="Verdana"/>
                <w:color w:val="000000"/>
                <w:sz w:val="16"/>
                <w:szCs w:val="16"/>
              </w:rPr>
              <w:t>-</w:t>
            </w:r>
          </w:p>
        </w:tc>
        <w:tc>
          <w:tcPr>
            <w:tcW w:w="1276" w:type="dxa"/>
            <w:vAlign w:val="center"/>
          </w:tcPr>
          <w:p w14:paraId="53AD5EA1" w14:textId="0CF70519" w:rsidR="00E8716B" w:rsidRDefault="00E8716B" w:rsidP="00BD766B">
            <w:pPr>
              <w:spacing w:before="40" w:after="40" w:line="320" w:lineRule="atLeast"/>
              <w:jc w:val="right"/>
              <w:rPr>
                <w:rFonts w:ascii="Verdana" w:hAnsi="Verdana"/>
                <w:color w:val="000000"/>
                <w:sz w:val="16"/>
                <w:szCs w:val="16"/>
              </w:rPr>
            </w:pPr>
            <w:r>
              <w:rPr>
                <w:rFonts w:ascii="Verdana" w:hAnsi="Verdana"/>
                <w:color w:val="000000"/>
                <w:sz w:val="16"/>
                <w:szCs w:val="16"/>
              </w:rPr>
              <w:t xml:space="preserve">2 </w:t>
            </w:r>
            <w:r w:rsidR="00BD766B">
              <w:rPr>
                <w:rFonts w:ascii="Verdana" w:hAnsi="Verdana"/>
                <w:color w:val="000000"/>
                <w:sz w:val="16"/>
                <w:szCs w:val="16"/>
              </w:rPr>
              <w:t>954</w:t>
            </w:r>
            <w:r>
              <w:rPr>
                <w:rFonts w:ascii="Verdana" w:hAnsi="Verdana"/>
                <w:color w:val="000000"/>
                <w:sz w:val="16"/>
                <w:szCs w:val="16"/>
              </w:rPr>
              <w:t>,</w:t>
            </w:r>
            <w:r w:rsidR="00BD766B">
              <w:rPr>
                <w:rFonts w:ascii="Verdana" w:hAnsi="Verdana"/>
                <w:color w:val="000000"/>
                <w:sz w:val="16"/>
                <w:szCs w:val="16"/>
              </w:rPr>
              <w:t>4</w:t>
            </w:r>
          </w:p>
        </w:tc>
      </w:tr>
      <w:tr w:rsidR="00E8716B" w:rsidRPr="000435BE" w14:paraId="7B9E0015" w14:textId="77777777" w:rsidTr="00CA057B">
        <w:tc>
          <w:tcPr>
            <w:tcW w:w="709" w:type="dxa"/>
            <w:shd w:val="clear" w:color="auto" w:fill="auto"/>
          </w:tcPr>
          <w:p w14:paraId="4C0E7B50" w14:textId="77777777" w:rsidR="00E8716B" w:rsidRPr="00893171" w:rsidRDefault="00E8716B" w:rsidP="00BD766B">
            <w:pPr>
              <w:pStyle w:val="ListParagraph"/>
              <w:numPr>
                <w:ilvl w:val="0"/>
                <w:numId w:val="20"/>
              </w:numPr>
              <w:spacing w:before="40" w:after="40" w:line="320" w:lineRule="atLeast"/>
              <w:ind w:left="357" w:hanging="357"/>
              <w:rPr>
                <w:rFonts w:ascii="Verdana" w:hAnsi="Verdana"/>
                <w:color w:val="000000"/>
                <w:sz w:val="16"/>
                <w:szCs w:val="16"/>
              </w:rPr>
            </w:pPr>
          </w:p>
        </w:tc>
        <w:tc>
          <w:tcPr>
            <w:tcW w:w="1418" w:type="dxa"/>
            <w:gridSpan w:val="2"/>
            <w:shd w:val="clear" w:color="auto" w:fill="auto"/>
          </w:tcPr>
          <w:p w14:paraId="629D7AE3" w14:textId="77777777" w:rsidR="00E8716B" w:rsidRPr="00893171" w:rsidRDefault="00E8716B" w:rsidP="00BD766B">
            <w:pPr>
              <w:spacing w:before="40" w:after="40" w:line="320" w:lineRule="atLeast"/>
              <w:rPr>
                <w:rFonts w:ascii="Verdana" w:hAnsi="Verdana"/>
                <w:color w:val="000000"/>
                <w:sz w:val="16"/>
                <w:szCs w:val="16"/>
              </w:rPr>
            </w:pPr>
            <w:r w:rsidRPr="00893171">
              <w:rPr>
                <w:rFonts w:ascii="Verdana" w:hAnsi="Verdana"/>
                <w:color w:val="000000"/>
                <w:sz w:val="16"/>
                <w:szCs w:val="16"/>
              </w:rPr>
              <w:t>Prescient Management</w:t>
            </w:r>
          </w:p>
        </w:tc>
        <w:tc>
          <w:tcPr>
            <w:tcW w:w="709" w:type="dxa"/>
            <w:shd w:val="clear" w:color="auto" w:fill="auto"/>
            <w:vAlign w:val="center"/>
          </w:tcPr>
          <w:p w14:paraId="4E80339A" w14:textId="77777777" w:rsidR="00E8716B" w:rsidRPr="00893171" w:rsidRDefault="00E8716B" w:rsidP="00BD766B">
            <w:pPr>
              <w:spacing w:before="40" w:after="40" w:line="320" w:lineRule="atLeast"/>
              <w:jc w:val="center"/>
              <w:rPr>
                <w:rFonts w:ascii="Verdana" w:hAnsi="Verdana"/>
                <w:color w:val="000000"/>
                <w:sz w:val="16"/>
                <w:szCs w:val="16"/>
              </w:rPr>
            </w:pPr>
            <w:r>
              <w:rPr>
                <w:rFonts w:ascii="Verdana" w:hAnsi="Verdana"/>
                <w:color w:val="000000"/>
                <w:sz w:val="16"/>
                <w:szCs w:val="16"/>
              </w:rPr>
              <w:t>3</w:t>
            </w:r>
          </w:p>
        </w:tc>
        <w:tc>
          <w:tcPr>
            <w:tcW w:w="708" w:type="dxa"/>
            <w:shd w:val="clear" w:color="auto" w:fill="auto"/>
            <w:vAlign w:val="center"/>
          </w:tcPr>
          <w:p w14:paraId="27486C52" w14:textId="77777777" w:rsidR="00E8716B" w:rsidRPr="00893171" w:rsidRDefault="00E8716B" w:rsidP="00BD766B">
            <w:pPr>
              <w:spacing w:before="40" w:after="40" w:line="320" w:lineRule="atLeast"/>
              <w:jc w:val="center"/>
              <w:rPr>
                <w:rFonts w:ascii="Verdana" w:hAnsi="Verdana"/>
                <w:color w:val="000000"/>
                <w:sz w:val="16"/>
                <w:szCs w:val="16"/>
              </w:rPr>
            </w:pPr>
          </w:p>
        </w:tc>
        <w:tc>
          <w:tcPr>
            <w:tcW w:w="709" w:type="dxa"/>
            <w:shd w:val="clear" w:color="auto" w:fill="auto"/>
            <w:vAlign w:val="center"/>
          </w:tcPr>
          <w:p w14:paraId="2070434F" w14:textId="77777777" w:rsidR="00E8716B" w:rsidRPr="00893171" w:rsidRDefault="00E8716B" w:rsidP="00BD766B">
            <w:pPr>
              <w:spacing w:before="40" w:after="40" w:line="320" w:lineRule="atLeast"/>
              <w:jc w:val="center"/>
              <w:rPr>
                <w:rFonts w:ascii="Verdana" w:hAnsi="Verdana"/>
                <w:color w:val="000000"/>
                <w:sz w:val="16"/>
                <w:szCs w:val="16"/>
              </w:rPr>
            </w:pPr>
            <w:r>
              <w:rPr>
                <w:rFonts w:ascii="Verdana" w:hAnsi="Verdana"/>
                <w:color w:val="000000"/>
                <w:sz w:val="16"/>
                <w:szCs w:val="16"/>
              </w:rPr>
              <w:t>-</w:t>
            </w:r>
          </w:p>
        </w:tc>
        <w:tc>
          <w:tcPr>
            <w:tcW w:w="709" w:type="dxa"/>
            <w:shd w:val="clear" w:color="auto" w:fill="auto"/>
            <w:vAlign w:val="center"/>
          </w:tcPr>
          <w:p w14:paraId="0DD2E60C" w14:textId="160E89F2" w:rsidR="00E8716B" w:rsidRPr="00893171" w:rsidRDefault="00BD766B" w:rsidP="00BD766B">
            <w:pPr>
              <w:spacing w:before="40" w:after="40" w:line="320" w:lineRule="atLeast"/>
              <w:jc w:val="center"/>
              <w:rPr>
                <w:rFonts w:ascii="Verdana" w:hAnsi="Verdana"/>
                <w:color w:val="000000"/>
                <w:sz w:val="16"/>
                <w:szCs w:val="16"/>
              </w:rPr>
            </w:pPr>
            <w:r>
              <w:rPr>
                <w:rFonts w:ascii="Verdana" w:hAnsi="Verdana"/>
                <w:color w:val="000000"/>
                <w:sz w:val="16"/>
                <w:szCs w:val="16"/>
              </w:rPr>
              <w:t>4</w:t>
            </w:r>
          </w:p>
        </w:tc>
        <w:tc>
          <w:tcPr>
            <w:tcW w:w="1134" w:type="dxa"/>
            <w:vAlign w:val="center"/>
          </w:tcPr>
          <w:p w14:paraId="6ED0249C" w14:textId="407C957D" w:rsidR="00E8716B" w:rsidRPr="00893171" w:rsidRDefault="00E8716B" w:rsidP="00BD766B">
            <w:pPr>
              <w:spacing w:before="40" w:after="40" w:line="320" w:lineRule="atLeast"/>
              <w:jc w:val="right"/>
              <w:rPr>
                <w:rFonts w:ascii="Verdana" w:hAnsi="Verdana"/>
                <w:color w:val="000000"/>
                <w:sz w:val="16"/>
                <w:szCs w:val="16"/>
              </w:rPr>
            </w:pPr>
            <w:r>
              <w:rPr>
                <w:rFonts w:ascii="Verdana" w:hAnsi="Verdana"/>
                <w:color w:val="000000"/>
                <w:sz w:val="16"/>
                <w:szCs w:val="16"/>
              </w:rPr>
              <w:t>19</w:t>
            </w:r>
            <w:r w:rsidR="00BD766B">
              <w:rPr>
                <w:rFonts w:ascii="Verdana" w:hAnsi="Verdana"/>
                <w:color w:val="000000"/>
                <w:sz w:val="16"/>
                <w:szCs w:val="16"/>
              </w:rPr>
              <w:t>5</w:t>
            </w:r>
            <w:r>
              <w:rPr>
                <w:rFonts w:ascii="Verdana" w:hAnsi="Verdana"/>
                <w:color w:val="000000"/>
                <w:sz w:val="16"/>
                <w:szCs w:val="16"/>
              </w:rPr>
              <w:t>,</w:t>
            </w:r>
            <w:r w:rsidR="00BD766B">
              <w:rPr>
                <w:rFonts w:ascii="Verdana" w:hAnsi="Verdana"/>
                <w:color w:val="000000"/>
                <w:sz w:val="16"/>
                <w:szCs w:val="16"/>
              </w:rPr>
              <w:t>1</w:t>
            </w:r>
          </w:p>
        </w:tc>
        <w:tc>
          <w:tcPr>
            <w:tcW w:w="992" w:type="dxa"/>
            <w:vAlign w:val="center"/>
          </w:tcPr>
          <w:p w14:paraId="42197519" w14:textId="77777777" w:rsidR="00E8716B" w:rsidRPr="00893171" w:rsidRDefault="00E8716B" w:rsidP="00BD766B">
            <w:pPr>
              <w:spacing w:before="40" w:after="40" w:line="320" w:lineRule="atLeast"/>
              <w:jc w:val="right"/>
              <w:rPr>
                <w:rFonts w:ascii="Verdana" w:hAnsi="Verdana"/>
                <w:color w:val="000000"/>
                <w:sz w:val="16"/>
                <w:szCs w:val="16"/>
              </w:rPr>
            </w:pPr>
            <w:r>
              <w:rPr>
                <w:rFonts w:ascii="Verdana" w:hAnsi="Verdana"/>
                <w:color w:val="000000"/>
                <w:sz w:val="16"/>
                <w:szCs w:val="16"/>
              </w:rPr>
              <w:t>-</w:t>
            </w:r>
          </w:p>
        </w:tc>
        <w:tc>
          <w:tcPr>
            <w:tcW w:w="1134" w:type="dxa"/>
            <w:vAlign w:val="center"/>
          </w:tcPr>
          <w:p w14:paraId="65AE26CF" w14:textId="77777777" w:rsidR="00E8716B" w:rsidRPr="00893171" w:rsidRDefault="00E8716B" w:rsidP="00BD766B">
            <w:pPr>
              <w:spacing w:before="40" w:after="40" w:line="320" w:lineRule="atLeast"/>
              <w:jc w:val="right"/>
              <w:rPr>
                <w:rFonts w:ascii="Verdana" w:hAnsi="Verdana"/>
                <w:color w:val="000000"/>
                <w:sz w:val="16"/>
                <w:szCs w:val="16"/>
              </w:rPr>
            </w:pPr>
            <w:r>
              <w:rPr>
                <w:rFonts w:ascii="Verdana" w:hAnsi="Verdana"/>
                <w:color w:val="000000"/>
                <w:sz w:val="16"/>
                <w:szCs w:val="16"/>
              </w:rPr>
              <w:t>-</w:t>
            </w:r>
          </w:p>
        </w:tc>
        <w:tc>
          <w:tcPr>
            <w:tcW w:w="992" w:type="dxa"/>
            <w:vAlign w:val="center"/>
          </w:tcPr>
          <w:p w14:paraId="6513AE29" w14:textId="6BE337DB" w:rsidR="00E8716B" w:rsidRPr="00893171" w:rsidRDefault="00BD766B" w:rsidP="00BD766B">
            <w:pPr>
              <w:spacing w:before="40" w:after="40" w:line="320" w:lineRule="atLeast"/>
              <w:jc w:val="right"/>
              <w:rPr>
                <w:rFonts w:ascii="Verdana" w:hAnsi="Verdana"/>
                <w:color w:val="000000"/>
                <w:sz w:val="16"/>
                <w:szCs w:val="16"/>
              </w:rPr>
            </w:pPr>
            <w:r>
              <w:rPr>
                <w:rFonts w:ascii="Verdana" w:hAnsi="Verdana"/>
                <w:color w:val="000000"/>
                <w:sz w:val="16"/>
                <w:szCs w:val="16"/>
              </w:rPr>
              <w:t>565</w:t>
            </w:r>
            <w:r w:rsidR="00E8716B">
              <w:rPr>
                <w:rFonts w:ascii="Verdana" w:hAnsi="Verdana"/>
                <w:color w:val="000000"/>
                <w:sz w:val="16"/>
                <w:szCs w:val="16"/>
              </w:rPr>
              <w:t>,</w:t>
            </w:r>
            <w:r>
              <w:rPr>
                <w:rFonts w:ascii="Verdana" w:hAnsi="Verdana"/>
                <w:color w:val="000000"/>
                <w:sz w:val="16"/>
                <w:szCs w:val="16"/>
              </w:rPr>
              <w:t>7</w:t>
            </w:r>
          </w:p>
        </w:tc>
        <w:tc>
          <w:tcPr>
            <w:tcW w:w="1276" w:type="dxa"/>
            <w:vAlign w:val="center"/>
          </w:tcPr>
          <w:p w14:paraId="3F0D485D" w14:textId="16DDE683" w:rsidR="00E8716B" w:rsidRPr="00893171" w:rsidRDefault="00BD766B" w:rsidP="00BD766B">
            <w:pPr>
              <w:spacing w:before="40" w:after="40" w:line="320" w:lineRule="atLeast"/>
              <w:jc w:val="right"/>
              <w:rPr>
                <w:rFonts w:ascii="Verdana" w:hAnsi="Verdana"/>
                <w:color w:val="000000"/>
                <w:sz w:val="16"/>
                <w:szCs w:val="16"/>
              </w:rPr>
            </w:pPr>
            <w:r>
              <w:rPr>
                <w:rFonts w:ascii="Verdana" w:hAnsi="Verdana"/>
                <w:color w:val="000000"/>
                <w:sz w:val="16"/>
                <w:szCs w:val="16"/>
              </w:rPr>
              <w:t>760</w:t>
            </w:r>
            <w:r w:rsidR="00E8716B">
              <w:rPr>
                <w:rFonts w:ascii="Verdana" w:hAnsi="Verdana"/>
                <w:color w:val="000000"/>
                <w:sz w:val="16"/>
                <w:szCs w:val="16"/>
              </w:rPr>
              <w:t>,</w:t>
            </w:r>
            <w:r>
              <w:rPr>
                <w:rFonts w:ascii="Verdana" w:hAnsi="Verdana"/>
                <w:color w:val="000000"/>
                <w:sz w:val="16"/>
                <w:szCs w:val="16"/>
              </w:rPr>
              <w:t>8</w:t>
            </w:r>
          </w:p>
        </w:tc>
      </w:tr>
      <w:tr w:rsidR="00E8716B" w:rsidRPr="000435BE" w14:paraId="7B193162" w14:textId="77777777" w:rsidTr="00CA057B">
        <w:tc>
          <w:tcPr>
            <w:tcW w:w="709" w:type="dxa"/>
            <w:shd w:val="clear" w:color="auto" w:fill="auto"/>
          </w:tcPr>
          <w:p w14:paraId="77761FD5" w14:textId="77777777" w:rsidR="00E8716B" w:rsidRPr="00893171" w:rsidRDefault="00E8716B" w:rsidP="00BD766B">
            <w:pPr>
              <w:pStyle w:val="ListParagraph"/>
              <w:numPr>
                <w:ilvl w:val="0"/>
                <w:numId w:val="20"/>
              </w:numPr>
              <w:spacing w:before="40" w:after="40" w:line="320" w:lineRule="atLeast"/>
              <w:ind w:left="357" w:hanging="357"/>
              <w:rPr>
                <w:rFonts w:ascii="Verdana" w:hAnsi="Verdana"/>
                <w:color w:val="000000"/>
                <w:sz w:val="16"/>
                <w:szCs w:val="16"/>
              </w:rPr>
            </w:pPr>
          </w:p>
        </w:tc>
        <w:tc>
          <w:tcPr>
            <w:tcW w:w="1418" w:type="dxa"/>
            <w:gridSpan w:val="2"/>
            <w:shd w:val="clear" w:color="auto" w:fill="auto"/>
          </w:tcPr>
          <w:p w14:paraId="09B0387A" w14:textId="77777777" w:rsidR="00E8716B" w:rsidRPr="00893171" w:rsidRDefault="00E8716B" w:rsidP="00BD766B">
            <w:pPr>
              <w:spacing w:before="40" w:after="40" w:line="320" w:lineRule="atLeast"/>
              <w:rPr>
                <w:rFonts w:ascii="Verdana" w:hAnsi="Verdana"/>
                <w:color w:val="000000"/>
                <w:sz w:val="16"/>
                <w:szCs w:val="16"/>
              </w:rPr>
            </w:pPr>
            <w:r w:rsidRPr="00893171">
              <w:rPr>
                <w:rFonts w:ascii="Verdana" w:hAnsi="Verdana"/>
                <w:color w:val="000000"/>
                <w:sz w:val="16"/>
                <w:szCs w:val="16"/>
              </w:rPr>
              <w:t>Easy Equities</w:t>
            </w:r>
          </w:p>
        </w:tc>
        <w:tc>
          <w:tcPr>
            <w:tcW w:w="709" w:type="dxa"/>
            <w:shd w:val="clear" w:color="auto" w:fill="auto"/>
            <w:vAlign w:val="center"/>
          </w:tcPr>
          <w:p w14:paraId="48734ACE" w14:textId="77777777" w:rsidR="00E8716B" w:rsidRPr="00893171" w:rsidRDefault="00E8716B" w:rsidP="00BD766B">
            <w:pPr>
              <w:spacing w:before="40" w:after="40" w:line="320" w:lineRule="atLeast"/>
              <w:jc w:val="center"/>
              <w:rPr>
                <w:rFonts w:ascii="Verdana" w:hAnsi="Verdana"/>
                <w:color w:val="000000"/>
                <w:sz w:val="16"/>
                <w:szCs w:val="16"/>
              </w:rPr>
            </w:pPr>
            <w:r>
              <w:rPr>
                <w:rFonts w:ascii="Verdana" w:hAnsi="Verdana"/>
                <w:color w:val="000000"/>
                <w:sz w:val="16"/>
                <w:szCs w:val="16"/>
              </w:rPr>
              <w:t>-</w:t>
            </w:r>
          </w:p>
        </w:tc>
        <w:tc>
          <w:tcPr>
            <w:tcW w:w="708" w:type="dxa"/>
            <w:shd w:val="clear" w:color="auto" w:fill="auto"/>
            <w:vAlign w:val="center"/>
          </w:tcPr>
          <w:p w14:paraId="0A099A4E" w14:textId="77777777" w:rsidR="00E8716B" w:rsidRPr="00893171" w:rsidRDefault="00E8716B" w:rsidP="00BD766B">
            <w:pPr>
              <w:spacing w:before="40" w:after="40" w:line="320" w:lineRule="atLeast"/>
              <w:jc w:val="center"/>
              <w:rPr>
                <w:rFonts w:ascii="Verdana" w:hAnsi="Verdana"/>
                <w:color w:val="000000"/>
                <w:sz w:val="16"/>
                <w:szCs w:val="16"/>
              </w:rPr>
            </w:pPr>
            <w:r w:rsidRPr="00893171">
              <w:rPr>
                <w:rFonts w:ascii="Verdana" w:hAnsi="Verdana"/>
                <w:color w:val="000000"/>
                <w:sz w:val="16"/>
                <w:szCs w:val="16"/>
              </w:rPr>
              <w:t>-</w:t>
            </w:r>
          </w:p>
        </w:tc>
        <w:tc>
          <w:tcPr>
            <w:tcW w:w="709" w:type="dxa"/>
            <w:shd w:val="clear" w:color="auto" w:fill="auto"/>
            <w:vAlign w:val="center"/>
          </w:tcPr>
          <w:p w14:paraId="2D71512B" w14:textId="77777777" w:rsidR="00E8716B" w:rsidRPr="00893171" w:rsidRDefault="00E8716B" w:rsidP="00BD766B">
            <w:pPr>
              <w:spacing w:before="40" w:after="40" w:line="320" w:lineRule="atLeast"/>
              <w:jc w:val="center"/>
              <w:rPr>
                <w:rFonts w:ascii="Verdana" w:hAnsi="Verdana"/>
                <w:color w:val="000000"/>
                <w:sz w:val="16"/>
                <w:szCs w:val="16"/>
              </w:rPr>
            </w:pPr>
            <w:r>
              <w:rPr>
                <w:rFonts w:ascii="Verdana" w:hAnsi="Verdana"/>
                <w:color w:val="000000"/>
                <w:sz w:val="16"/>
                <w:szCs w:val="16"/>
              </w:rPr>
              <w:t>-</w:t>
            </w:r>
          </w:p>
        </w:tc>
        <w:tc>
          <w:tcPr>
            <w:tcW w:w="709" w:type="dxa"/>
            <w:shd w:val="clear" w:color="auto" w:fill="auto"/>
            <w:vAlign w:val="center"/>
          </w:tcPr>
          <w:p w14:paraId="6F43A640" w14:textId="77777777" w:rsidR="00E8716B" w:rsidRPr="00893171" w:rsidRDefault="00E8716B" w:rsidP="00BD766B">
            <w:pPr>
              <w:spacing w:before="40" w:after="40" w:line="320" w:lineRule="atLeast"/>
              <w:jc w:val="center"/>
              <w:rPr>
                <w:rFonts w:ascii="Verdana" w:hAnsi="Verdana"/>
                <w:color w:val="000000"/>
                <w:sz w:val="16"/>
                <w:szCs w:val="16"/>
              </w:rPr>
            </w:pPr>
            <w:r>
              <w:rPr>
                <w:rFonts w:ascii="Verdana" w:hAnsi="Verdana"/>
                <w:color w:val="000000"/>
                <w:sz w:val="16"/>
                <w:szCs w:val="16"/>
              </w:rPr>
              <w:t>-</w:t>
            </w:r>
          </w:p>
        </w:tc>
        <w:tc>
          <w:tcPr>
            <w:tcW w:w="1134" w:type="dxa"/>
            <w:vAlign w:val="center"/>
          </w:tcPr>
          <w:p w14:paraId="114DD7F8" w14:textId="77777777" w:rsidR="00E8716B" w:rsidRPr="00893171" w:rsidRDefault="00E8716B" w:rsidP="00BD766B">
            <w:pPr>
              <w:spacing w:before="40" w:after="40" w:line="320" w:lineRule="atLeast"/>
              <w:jc w:val="right"/>
              <w:rPr>
                <w:rFonts w:ascii="Verdana" w:hAnsi="Verdana"/>
                <w:color w:val="000000"/>
                <w:sz w:val="16"/>
                <w:szCs w:val="16"/>
              </w:rPr>
            </w:pPr>
            <w:r>
              <w:rPr>
                <w:rFonts w:ascii="Verdana" w:hAnsi="Verdana"/>
                <w:color w:val="000000"/>
                <w:sz w:val="16"/>
                <w:szCs w:val="16"/>
              </w:rPr>
              <w:t>-</w:t>
            </w:r>
          </w:p>
        </w:tc>
        <w:tc>
          <w:tcPr>
            <w:tcW w:w="992" w:type="dxa"/>
            <w:vAlign w:val="center"/>
          </w:tcPr>
          <w:p w14:paraId="7262FC2A" w14:textId="77777777" w:rsidR="00E8716B" w:rsidRPr="00893171" w:rsidRDefault="00E8716B" w:rsidP="00BD766B">
            <w:pPr>
              <w:spacing w:before="40" w:after="40" w:line="320" w:lineRule="atLeast"/>
              <w:jc w:val="right"/>
              <w:rPr>
                <w:rFonts w:ascii="Verdana" w:hAnsi="Verdana"/>
                <w:color w:val="000000"/>
                <w:sz w:val="16"/>
                <w:szCs w:val="16"/>
              </w:rPr>
            </w:pPr>
            <w:r>
              <w:rPr>
                <w:rFonts w:ascii="Verdana" w:hAnsi="Verdana"/>
                <w:color w:val="000000"/>
                <w:sz w:val="16"/>
                <w:szCs w:val="16"/>
              </w:rPr>
              <w:t>-</w:t>
            </w:r>
          </w:p>
        </w:tc>
        <w:tc>
          <w:tcPr>
            <w:tcW w:w="1134" w:type="dxa"/>
            <w:vAlign w:val="center"/>
          </w:tcPr>
          <w:p w14:paraId="5A70C481" w14:textId="77777777" w:rsidR="00E8716B" w:rsidRPr="00893171" w:rsidRDefault="00E8716B" w:rsidP="00BD766B">
            <w:pPr>
              <w:spacing w:before="40" w:after="40" w:line="320" w:lineRule="atLeast"/>
              <w:jc w:val="right"/>
              <w:rPr>
                <w:rFonts w:ascii="Verdana" w:hAnsi="Verdana"/>
                <w:color w:val="000000"/>
                <w:sz w:val="16"/>
                <w:szCs w:val="16"/>
              </w:rPr>
            </w:pPr>
            <w:r>
              <w:rPr>
                <w:rFonts w:ascii="Verdana" w:hAnsi="Verdana"/>
                <w:color w:val="000000"/>
                <w:sz w:val="16"/>
                <w:szCs w:val="16"/>
              </w:rPr>
              <w:t>-</w:t>
            </w:r>
          </w:p>
        </w:tc>
        <w:tc>
          <w:tcPr>
            <w:tcW w:w="992" w:type="dxa"/>
            <w:vAlign w:val="center"/>
          </w:tcPr>
          <w:p w14:paraId="332F5C69" w14:textId="77777777" w:rsidR="00E8716B" w:rsidRPr="00893171" w:rsidRDefault="00E8716B" w:rsidP="00BD766B">
            <w:pPr>
              <w:spacing w:before="40" w:after="40" w:line="320" w:lineRule="atLeast"/>
              <w:jc w:val="right"/>
              <w:rPr>
                <w:rFonts w:ascii="Verdana" w:hAnsi="Verdana"/>
                <w:color w:val="000000"/>
                <w:sz w:val="16"/>
                <w:szCs w:val="16"/>
              </w:rPr>
            </w:pPr>
            <w:r>
              <w:rPr>
                <w:rFonts w:ascii="Verdana" w:hAnsi="Verdana"/>
                <w:color w:val="000000"/>
                <w:sz w:val="16"/>
                <w:szCs w:val="16"/>
              </w:rPr>
              <w:t>-</w:t>
            </w:r>
          </w:p>
        </w:tc>
        <w:tc>
          <w:tcPr>
            <w:tcW w:w="1276" w:type="dxa"/>
            <w:vAlign w:val="center"/>
          </w:tcPr>
          <w:p w14:paraId="3AF8EFED" w14:textId="77777777" w:rsidR="00E8716B" w:rsidRPr="00893171" w:rsidRDefault="00E8716B" w:rsidP="00BD766B">
            <w:pPr>
              <w:spacing w:before="40" w:after="40" w:line="320" w:lineRule="atLeast"/>
              <w:jc w:val="right"/>
              <w:rPr>
                <w:rFonts w:ascii="Verdana" w:hAnsi="Verdana"/>
                <w:color w:val="000000"/>
                <w:sz w:val="16"/>
                <w:szCs w:val="16"/>
              </w:rPr>
            </w:pPr>
            <w:r>
              <w:rPr>
                <w:rFonts w:ascii="Verdana" w:hAnsi="Verdana"/>
                <w:color w:val="000000"/>
                <w:sz w:val="16"/>
                <w:szCs w:val="16"/>
              </w:rPr>
              <w:t>Suspended</w:t>
            </w:r>
          </w:p>
        </w:tc>
      </w:tr>
      <w:tr w:rsidR="00E8716B" w:rsidRPr="000435BE" w14:paraId="6264A4CA" w14:textId="77777777" w:rsidTr="00CA057B">
        <w:tc>
          <w:tcPr>
            <w:tcW w:w="2127" w:type="dxa"/>
            <w:gridSpan w:val="3"/>
            <w:shd w:val="clear" w:color="auto" w:fill="auto"/>
          </w:tcPr>
          <w:p w14:paraId="10887816" w14:textId="77777777" w:rsidR="00E8716B" w:rsidRPr="00893171" w:rsidRDefault="00E8716B" w:rsidP="00BD766B">
            <w:pPr>
              <w:spacing w:before="40" w:after="40" w:line="320" w:lineRule="atLeast"/>
              <w:rPr>
                <w:rFonts w:ascii="Verdana" w:hAnsi="Verdana"/>
                <w:b/>
                <w:color w:val="000000"/>
                <w:sz w:val="16"/>
                <w:szCs w:val="16"/>
              </w:rPr>
            </w:pPr>
            <w:r w:rsidRPr="00893171">
              <w:rPr>
                <w:rFonts w:ascii="Verdana" w:hAnsi="Verdana"/>
                <w:b/>
                <w:color w:val="000000"/>
                <w:sz w:val="16"/>
                <w:szCs w:val="16"/>
              </w:rPr>
              <w:t>Totals</w:t>
            </w:r>
          </w:p>
        </w:tc>
        <w:tc>
          <w:tcPr>
            <w:tcW w:w="709" w:type="dxa"/>
            <w:shd w:val="clear" w:color="auto" w:fill="auto"/>
            <w:vAlign w:val="center"/>
          </w:tcPr>
          <w:p w14:paraId="5E73A4A7" w14:textId="058D3A03" w:rsidR="00E8716B" w:rsidRPr="00893171" w:rsidRDefault="00E8716B" w:rsidP="00BD766B">
            <w:pPr>
              <w:spacing w:before="40" w:after="40" w:line="320" w:lineRule="atLeast"/>
              <w:jc w:val="center"/>
              <w:rPr>
                <w:rFonts w:ascii="Verdana" w:hAnsi="Verdana"/>
                <w:b/>
                <w:color w:val="000000"/>
                <w:sz w:val="16"/>
                <w:szCs w:val="16"/>
              </w:rPr>
            </w:pPr>
            <w:r w:rsidRPr="00893171">
              <w:rPr>
                <w:rFonts w:ascii="Verdana" w:hAnsi="Verdana"/>
                <w:b/>
                <w:color w:val="000000"/>
                <w:sz w:val="16"/>
                <w:szCs w:val="16"/>
              </w:rPr>
              <w:t>9</w:t>
            </w:r>
            <w:r>
              <w:rPr>
                <w:rFonts w:ascii="Verdana" w:hAnsi="Verdana"/>
                <w:b/>
                <w:color w:val="000000"/>
                <w:sz w:val="16"/>
                <w:szCs w:val="16"/>
              </w:rPr>
              <w:t>1</w:t>
            </w:r>
          </w:p>
        </w:tc>
        <w:tc>
          <w:tcPr>
            <w:tcW w:w="708" w:type="dxa"/>
            <w:shd w:val="clear" w:color="auto" w:fill="auto"/>
            <w:vAlign w:val="center"/>
          </w:tcPr>
          <w:p w14:paraId="15809182" w14:textId="77777777" w:rsidR="00E8716B" w:rsidRPr="00893171" w:rsidRDefault="00E8716B" w:rsidP="00BD766B">
            <w:pPr>
              <w:spacing w:before="40" w:after="40" w:line="320" w:lineRule="atLeast"/>
              <w:jc w:val="center"/>
              <w:rPr>
                <w:rFonts w:ascii="Verdana" w:hAnsi="Verdana"/>
                <w:b/>
                <w:color w:val="000000"/>
                <w:sz w:val="16"/>
                <w:szCs w:val="16"/>
              </w:rPr>
            </w:pPr>
            <w:r>
              <w:rPr>
                <w:rFonts w:ascii="Verdana" w:hAnsi="Verdana"/>
                <w:b/>
                <w:color w:val="000000"/>
                <w:sz w:val="16"/>
                <w:szCs w:val="16"/>
              </w:rPr>
              <w:t>69</w:t>
            </w:r>
          </w:p>
        </w:tc>
        <w:tc>
          <w:tcPr>
            <w:tcW w:w="709" w:type="dxa"/>
            <w:shd w:val="clear" w:color="auto" w:fill="auto"/>
            <w:vAlign w:val="center"/>
          </w:tcPr>
          <w:p w14:paraId="005ADEDA" w14:textId="07D5A4C3" w:rsidR="00E8716B" w:rsidRPr="00893171" w:rsidRDefault="00E8716B" w:rsidP="00BD766B">
            <w:pPr>
              <w:spacing w:before="40" w:after="40" w:line="320" w:lineRule="atLeast"/>
              <w:jc w:val="center"/>
              <w:rPr>
                <w:rFonts w:ascii="Verdana" w:hAnsi="Verdana"/>
                <w:b/>
                <w:color w:val="000000"/>
                <w:sz w:val="16"/>
                <w:szCs w:val="16"/>
              </w:rPr>
            </w:pPr>
            <w:r>
              <w:rPr>
                <w:rFonts w:ascii="Verdana" w:hAnsi="Verdana"/>
                <w:b/>
                <w:color w:val="000000"/>
                <w:sz w:val="16"/>
                <w:szCs w:val="16"/>
              </w:rPr>
              <w:t>4</w:t>
            </w:r>
            <w:r w:rsidR="00CE3305">
              <w:rPr>
                <w:rFonts w:ascii="Verdana" w:hAnsi="Verdana"/>
                <w:b/>
                <w:color w:val="000000"/>
                <w:sz w:val="16"/>
                <w:szCs w:val="16"/>
              </w:rPr>
              <w:t>7</w:t>
            </w:r>
          </w:p>
        </w:tc>
        <w:tc>
          <w:tcPr>
            <w:tcW w:w="709" w:type="dxa"/>
            <w:shd w:val="clear" w:color="auto" w:fill="auto"/>
            <w:vAlign w:val="center"/>
          </w:tcPr>
          <w:p w14:paraId="392414A2" w14:textId="5CF8A3FF" w:rsidR="00E8716B" w:rsidRPr="00893171" w:rsidRDefault="00E8716B" w:rsidP="00BD766B">
            <w:pPr>
              <w:spacing w:before="40" w:after="40" w:line="320" w:lineRule="atLeast"/>
              <w:jc w:val="center"/>
              <w:rPr>
                <w:rFonts w:ascii="Verdana" w:hAnsi="Verdana"/>
                <w:b/>
                <w:color w:val="000000"/>
                <w:sz w:val="16"/>
                <w:szCs w:val="16"/>
              </w:rPr>
            </w:pPr>
            <w:r>
              <w:rPr>
                <w:rFonts w:ascii="Verdana" w:hAnsi="Verdana"/>
                <w:b/>
                <w:color w:val="000000"/>
                <w:sz w:val="16"/>
                <w:szCs w:val="16"/>
              </w:rPr>
              <w:t>7</w:t>
            </w:r>
          </w:p>
        </w:tc>
        <w:tc>
          <w:tcPr>
            <w:tcW w:w="1134" w:type="dxa"/>
            <w:vAlign w:val="center"/>
          </w:tcPr>
          <w:p w14:paraId="3838509D" w14:textId="09282798" w:rsidR="00E8716B" w:rsidRPr="00893171" w:rsidRDefault="00E8716B" w:rsidP="00BD766B">
            <w:pPr>
              <w:spacing w:before="40" w:after="40" w:line="320" w:lineRule="atLeast"/>
              <w:jc w:val="right"/>
              <w:rPr>
                <w:rFonts w:ascii="Verdana" w:hAnsi="Verdana"/>
                <w:b/>
                <w:color w:val="000000"/>
                <w:sz w:val="16"/>
                <w:szCs w:val="16"/>
              </w:rPr>
            </w:pPr>
            <w:r>
              <w:rPr>
                <w:rFonts w:ascii="Verdana" w:hAnsi="Verdana"/>
                <w:b/>
                <w:color w:val="000000"/>
                <w:sz w:val="16"/>
                <w:szCs w:val="16"/>
              </w:rPr>
              <w:t>1</w:t>
            </w:r>
            <w:r w:rsidR="00BD766B">
              <w:rPr>
                <w:rFonts w:ascii="Verdana" w:hAnsi="Verdana"/>
                <w:b/>
                <w:color w:val="000000"/>
                <w:sz w:val="16"/>
                <w:szCs w:val="16"/>
              </w:rPr>
              <w:t>5</w:t>
            </w:r>
            <w:r>
              <w:rPr>
                <w:rFonts w:ascii="Verdana" w:hAnsi="Verdana"/>
                <w:b/>
                <w:color w:val="000000"/>
                <w:sz w:val="16"/>
                <w:szCs w:val="16"/>
              </w:rPr>
              <w:t>6</w:t>
            </w:r>
            <w:r w:rsidR="00BD766B">
              <w:rPr>
                <w:rFonts w:ascii="Verdana" w:hAnsi="Verdana"/>
                <w:b/>
                <w:color w:val="000000"/>
                <w:sz w:val="16"/>
                <w:szCs w:val="16"/>
              </w:rPr>
              <w:t> 427,7</w:t>
            </w:r>
          </w:p>
        </w:tc>
        <w:tc>
          <w:tcPr>
            <w:tcW w:w="992" w:type="dxa"/>
            <w:vAlign w:val="center"/>
          </w:tcPr>
          <w:p w14:paraId="63795D04" w14:textId="5ADD9564" w:rsidR="00E8716B" w:rsidRPr="00893171" w:rsidRDefault="00E8716B" w:rsidP="00BD766B">
            <w:pPr>
              <w:spacing w:before="40" w:after="40" w:line="320" w:lineRule="atLeast"/>
              <w:jc w:val="right"/>
              <w:rPr>
                <w:rFonts w:ascii="Verdana" w:hAnsi="Verdana"/>
                <w:b/>
                <w:color w:val="000000"/>
                <w:sz w:val="16"/>
                <w:szCs w:val="16"/>
              </w:rPr>
            </w:pPr>
            <w:r>
              <w:rPr>
                <w:rFonts w:ascii="Verdana" w:hAnsi="Verdana"/>
                <w:b/>
                <w:color w:val="000000"/>
                <w:sz w:val="16"/>
                <w:szCs w:val="16"/>
              </w:rPr>
              <w:t>7 </w:t>
            </w:r>
            <w:r w:rsidR="00BD766B">
              <w:rPr>
                <w:rFonts w:ascii="Verdana" w:hAnsi="Verdana"/>
                <w:b/>
                <w:color w:val="000000"/>
                <w:sz w:val="16"/>
                <w:szCs w:val="16"/>
              </w:rPr>
              <w:t>937</w:t>
            </w:r>
            <w:r>
              <w:rPr>
                <w:rFonts w:ascii="Verdana" w:hAnsi="Verdana"/>
                <w:b/>
                <w:color w:val="000000"/>
                <w:sz w:val="16"/>
                <w:szCs w:val="16"/>
              </w:rPr>
              <w:t>,</w:t>
            </w:r>
            <w:r w:rsidR="00BD766B">
              <w:rPr>
                <w:rFonts w:ascii="Verdana" w:hAnsi="Verdana"/>
                <w:b/>
                <w:color w:val="000000"/>
                <w:sz w:val="16"/>
                <w:szCs w:val="16"/>
              </w:rPr>
              <w:t>1</w:t>
            </w:r>
          </w:p>
        </w:tc>
        <w:tc>
          <w:tcPr>
            <w:tcW w:w="1134" w:type="dxa"/>
            <w:vAlign w:val="center"/>
          </w:tcPr>
          <w:p w14:paraId="41F25552" w14:textId="1FD51CB1" w:rsidR="00E8716B" w:rsidRPr="00893171" w:rsidRDefault="00E8716B" w:rsidP="00BD766B">
            <w:pPr>
              <w:spacing w:before="40" w:after="40" w:line="320" w:lineRule="atLeast"/>
              <w:jc w:val="right"/>
              <w:rPr>
                <w:rFonts w:ascii="Verdana" w:hAnsi="Verdana"/>
                <w:b/>
                <w:color w:val="000000"/>
                <w:sz w:val="16"/>
                <w:szCs w:val="16"/>
              </w:rPr>
            </w:pPr>
            <w:r>
              <w:rPr>
                <w:rFonts w:ascii="Verdana" w:hAnsi="Verdana"/>
                <w:b/>
                <w:color w:val="000000"/>
                <w:sz w:val="16"/>
                <w:szCs w:val="16"/>
              </w:rPr>
              <w:t>10 </w:t>
            </w:r>
            <w:r w:rsidR="00BD766B">
              <w:rPr>
                <w:rFonts w:ascii="Verdana" w:hAnsi="Verdana"/>
                <w:b/>
                <w:color w:val="000000"/>
                <w:sz w:val="16"/>
                <w:szCs w:val="16"/>
              </w:rPr>
              <w:t>684</w:t>
            </w:r>
            <w:r>
              <w:rPr>
                <w:rFonts w:ascii="Verdana" w:hAnsi="Verdana"/>
                <w:b/>
                <w:color w:val="000000"/>
                <w:sz w:val="16"/>
                <w:szCs w:val="16"/>
              </w:rPr>
              <w:t>,</w:t>
            </w:r>
            <w:r w:rsidR="00BD766B">
              <w:rPr>
                <w:rFonts w:ascii="Verdana" w:hAnsi="Verdana"/>
                <w:b/>
                <w:color w:val="000000"/>
                <w:sz w:val="16"/>
                <w:szCs w:val="16"/>
              </w:rPr>
              <w:t>8</w:t>
            </w:r>
          </w:p>
        </w:tc>
        <w:tc>
          <w:tcPr>
            <w:tcW w:w="992" w:type="dxa"/>
            <w:vAlign w:val="center"/>
          </w:tcPr>
          <w:p w14:paraId="08BFEFBA" w14:textId="204990F8" w:rsidR="00E8716B" w:rsidRPr="00893171" w:rsidRDefault="00BD766B" w:rsidP="00BD766B">
            <w:pPr>
              <w:spacing w:before="40" w:after="40" w:line="320" w:lineRule="atLeast"/>
              <w:jc w:val="right"/>
              <w:rPr>
                <w:rFonts w:ascii="Verdana" w:hAnsi="Verdana"/>
                <w:b/>
                <w:color w:val="000000"/>
                <w:sz w:val="16"/>
                <w:szCs w:val="16"/>
              </w:rPr>
            </w:pPr>
            <w:r>
              <w:rPr>
                <w:rFonts w:ascii="Verdana" w:hAnsi="Verdana"/>
                <w:b/>
                <w:color w:val="000000"/>
                <w:sz w:val="16"/>
                <w:szCs w:val="16"/>
              </w:rPr>
              <w:t>3</w:t>
            </w:r>
            <w:r w:rsidR="00E8716B">
              <w:rPr>
                <w:rFonts w:ascii="Verdana" w:hAnsi="Verdana"/>
                <w:b/>
                <w:color w:val="000000"/>
                <w:sz w:val="16"/>
                <w:szCs w:val="16"/>
              </w:rPr>
              <w:t> </w:t>
            </w:r>
            <w:r>
              <w:rPr>
                <w:rFonts w:ascii="Verdana" w:hAnsi="Verdana"/>
                <w:b/>
                <w:color w:val="000000"/>
                <w:sz w:val="16"/>
                <w:szCs w:val="16"/>
              </w:rPr>
              <w:t>114</w:t>
            </w:r>
            <w:r w:rsidR="00E8716B">
              <w:rPr>
                <w:rFonts w:ascii="Verdana" w:hAnsi="Verdana"/>
                <w:b/>
                <w:color w:val="000000"/>
                <w:sz w:val="16"/>
                <w:szCs w:val="16"/>
              </w:rPr>
              <w:t>,</w:t>
            </w:r>
            <w:r>
              <w:rPr>
                <w:rFonts w:ascii="Verdana" w:hAnsi="Verdana"/>
                <w:b/>
                <w:color w:val="000000"/>
                <w:sz w:val="16"/>
                <w:szCs w:val="16"/>
              </w:rPr>
              <w:t>1</w:t>
            </w:r>
          </w:p>
        </w:tc>
        <w:tc>
          <w:tcPr>
            <w:tcW w:w="1276" w:type="dxa"/>
            <w:vAlign w:val="center"/>
          </w:tcPr>
          <w:p w14:paraId="465C6A3E" w14:textId="15DD16FC" w:rsidR="00E8716B" w:rsidRPr="00893171" w:rsidRDefault="00E8716B" w:rsidP="00BD766B">
            <w:pPr>
              <w:spacing w:before="40" w:after="40" w:line="320" w:lineRule="atLeast"/>
              <w:jc w:val="right"/>
              <w:rPr>
                <w:rFonts w:ascii="Verdana" w:hAnsi="Verdana"/>
                <w:b/>
                <w:color w:val="000000"/>
                <w:sz w:val="16"/>
                <w:szCs w:val="16"/>
              </w:rPr>
            </w:pPr>
            <w:r>
              <w:rPr>
                <w:rFonts w:ascii="Verdana" w:hAnsi="Verdana"/>
                <w:b/>
                <w:color w:val="000000"/>
                <w:sz w:val="16"/>
                <w:szCs w:val="16"/>
              </w:rPr>
              <w:t>1</w:t>
            </w:r>
            <w:r w:rsidR="00BD766B">
              <w:rPr>
                <w:rFonts w:ascii="Verdana" w:hAnsi="Verdana"/>
                <w:b/>
                <w:color w:val="000000"/>
                <w:sz w:val="16"/>
                <w:szCs w:val="16"/>
              </w:rPr>
              <w:t>78</w:t>
            </w:r>
            <w:r>
              <w:rPr>
                <w:rFonts w:ascii="Verdana" w:hAnsi="Verdana"/>
                <w:b/>
                <w:color w:val="000000"/>
                <w:sz w:val="16"/>
                <w:szCs w:val="16"/>
              </w:rPr>
              <w:t> </w:t>
            </w:r>
            <w:r w:rsidR="00BD766B">
              <w:rPr>
                <w:rFonts w:ascii="Verdana" w:hAnsi="Verdana"/>
                <w:b/>
                <w:color w:val="000000"/>
                <w:sz w:val="16"/>
                <w:szCs w:val="16"/>
              </w:rPr>
              <w:t>163</w:t>
            </w:r>
            <w:r>
              <w:rPr>
                <w:rFonts w:ascii="Verdana" w:hAnsi="Verdana"/>
                <w:b/>
                <w:color w:val="000000"/>
                <w:sz w:val="16"/>
                <w:szCs w:val="16"/>
              </w:rPr>
              <w:t>,</w:t>
            </w:r>
            <w:r w:rsidR="00BD766B">
              <w:rPr>
                <w:rFonts w:ascii="Verdana" w:hAnsi="Verdana"/>
                <w:b/>
                <w:color w:val="000000"/>
                <w:sz w:val="16"/>
                <w:szCs w:val="16"/>
              </w:rPr>
              <w:t>1</w:t>
            </w:r>
          </w:p>
        </w:tc>
      </w:tr>
      <w:tr w:rsidR="00E8716B" w:rsidRPr="006B3D57" w14:paraId="19818F29" w14:textId="77777777" w:rsidTr="00CA057B">
        <w:trPr>
          <w:trHeight w:val="217"/>
        </w:trPr>
        <w:tc>
          <w:tcPr>
            <w:tcW w:w="1276" w:type="dxa"/>
            <w:gridSpan w:val="2"/>
            <w:tcBorders>
              <w:right w:val="nil"/>
            </w:tcBorders>
            <w:shd w:val="clear" w:color="auto" w:fill="auto"/>
            <w:vAlign w:val="center"/>
          </w:tcPr>
          <w:p w14:paraId="4A12B22C" w14:textId="77777777" w:rsidR="00E8716B" w:rsidRPr="000435BE" w:rsidRDefault="00E8716B" w:rsidP="00CA057B">
            <w:pPr>
              <w:spacing w:after="40" w:line="260" w:lineRule="atLeast"/>
              <w:rPr>
                <w:rFonts w:ascii="Verdana" w:hAnsi="Verdana"/>
                <w:i/>
                <w:color w:val="000000"/>
                <w:sz w:val="14"/>
                <w:szCs w:val="14"/>
              </w:rPr>
            </w:pPr>
            <w:r w:rsidRPr="000435BE">
              <w:rPr>
                <w:rFonts w:ascii="Verdana" w:hAnsi="Verdana"/>
                <w:i/>
                <w:color w:val="000000"/>
                <w:sz w:val="14"/>
                <w:szCs w:val="14"/>
              </w:rPr>
              <w:t>Source:</w:t>
            </w:r>
          </w:p>
        </w:tc>
        <w:tc>
          <w:tcPr>
            <w:tcW w:w="9214" w:type="dxa"/>
            <w:gridSpan w:val="10"/>
            <w:tcBorders>
              <w:left w:val="nil"/>
            </w:tcBorders>
            <w:shd w:val="clear" w:color="auto" w:fill="auto"/>
            <w:vAlign w:val="center"/>
          </w:tcPr>
          <w:p w14:paraId="4A4A2530" w14:textId="3FF254AA" w:rsidR="00E8716B" w:rsidRPr="00573EA2" w:rsidRDefault="00E8716B" w:rsidP="00CA057B">
            <w:pPr>
              <w:spacing w:after="40" w:line="260" w:lineRule="atLeast"/>
              <w:rPr>
                <w:rFonts w:ascii="Verdana" w:hAnsi="Verdana"/>
                <w:i/>
                <w:color w:val="000000"/>
                <w:sz w:val="14"/>
                <w:szCs w:val="14"/>
                <w:lang w:val="it-IT"/>
              </w:rPr>
            </w:pPr>
            <w:r w:rsidRPr="00573EA2">
              <w:rPr>
                <w:rFonts w:ascii="Verdana" w:hAnsi="Verdana"/>
                <w:i/>
                <w:color w:val="000000"/>
                <w:sz w:val="14"/>
                <w:szCs w:val="14"/>
                <w:lang w:val="it-IT"/>
              </w:rPr>
              <w:t xml:space="preserve">etfSA.co.za </w:t>
            </w:r>
            <w:r>
              <w:rPr>
                <w:rFonts w:ascii="Verdana" w:hAnsi="Verdana"/>
                <w:i/>
                <w:color w:val="000000"/>
                <w:sz w:val="14"/>
                <w:szCs w:val="14"/>
                <w:lang w:val="it-IT"/>
              </w:rPr>
              <w:t xml:space="preserve">– Market Capitalisation – SA Industry Report </w:t>
            </w:r>
            <w:r w:rsidRPr="00573EA2">
              <w:rPr>
                <w:rFonts w:ascii="Verdana" w:hAnsi="Verdana"/>
                <w:i/>
                <w:color w:val="000000"/>
                <w:sz w:val="14"/>
                <w:szCs w:val="14"/>
                <w:lang w:val="it-IT"/>
              </w:rPr>
              <w:t>(</w:t>
            </w:r>
            <w:r w:rsidR="00D60E6B">
              <w:rPr>
                <w:rFonts w:ascii="Verdana" w:hAnsi="Verdana"/>
                <w:i/>
                <w:color w:val="000000"/>
                <w:sz w:val="14"/>
                <w:szCs w:val="14"/>
                <w:lang w:val="it-IT"/>
              </w:rPr>
              <w:t xml:space="preserve">Mar </w:t>
            </w:r>
            <w:r w:rsidRPr="00573EA2">
              <w:rPr>
                <w:rFonts w:ascii="Verdana" w:hAnsi="Verdana"/>
                <w:i/>
                <w:color w:val="000000"/>
                <w:sz w:val="14"/>
                <w:szCs w:val="14"/>
                <w:lang w:val="it-IT"/>
              </w:rPr>
              <w:t>202</w:t>
            </w:r>
            <w:r w:rsidR="00CE3305">
              <w:rPr>
                <w:rFonts w:ascii="Verdana" w:hAnsi="Verdana"/>
                <w:i/>
                <w:color w:val="000000"/>
                <w:sz w:val="14"/>
                <w:szCs w:val="14"/>
                <w:lang w:val="it-IT"/>
              </w:rPr>
              <w:t>4</w:t>
            </w:r>
            <w:r w:rsidRPr="00573EA2">
              <w:rPr>
                <w:rFonts w:ascii="Verdana" w:hAnsi="Verdana"/>
                <w:i/>
                <w:color w:val="000000"/>
                <w:sz w:val="14"/>
                <w:szCs w:val="14"/>
                <w:lang w:val="it-IT"/>
              </w:rPr>
              <w:t xml:space="preserve">). </w:t>
            </w:r>
          </w:p>
        </w:tc>
      </w:tr>
    </w:tbl>
    <w:p w14:paraId="1A5DE0E1" w14:textId="4A722151" w:rsidR="00E8716B" w:rsidRDefault="00BD766B" w:rsidP="00BD766B">
      <w:pPr>
        <w:spacing w:before="120" w:after="0" w:line="340" w:lineRule="atLeast"/>
        <w:jc w:val="both"/>
        <w:rPr>
          <w:rFonts w:ascii="Verdana" w:hAnsi="Verdana"/>
          <w:color w:val="000000"/>
          <w:sz w:val="21"/>
          <w:szCs w:val="21"/>
        </w:rPr>
      </w:pPr>
      <w:r>
        <w:rPr>
          <w:rFonts w:ascii="Verdana" w:hAnsi="Verdana"/>
          <w:color w:val="000000"/>
          <w:sz w:val="21"/>
          <w:szCs w:val="21"/>
        </w:rPr>
        <w:t xml:space="preserve">The above table consolidates the extent of the local ETP business, ranked by issuer house for the end of March 2024. </w:t>
      </w:r>
    </w:p>
    <w:p w14:paraId="1E88C812" w14:textId="6312788D" w:rsidR="00BD766B" w:rsidRDefault="00BD766B">
      <w:pPr>
        <w:rPr>
          <w:rFonts w:ascii="Verdana" w:hAnsi="Verdana"/>
          <w:color w:val="000000"/>
          <w:sz w:val="21"/>
          <w:szCs w:val="21"/>
        </w:rPr>
      </w:pPr>
      <w:r>
        <w:rPr>
          <w:rFonts w:ascii="Verdana" w:hAnsi="Verdana"/>
          <w:color w:val="000000"/>
          <w:sz w:val="21"/>
          <w:szCs w:val="21"/>
        </w:rPr>
        <w:br w:type="page"/>
      </w:r>
    </w:p>
    <w:p w14:paraId="63A7B77B" w14:textId="77777777" w:rsidR="004655E3" w:rsidRDefault="004655E3" w:rsidP="004655E3">
      <w:pPr>
        <w:spacing w:after="0" w:line="360" w:lineRule="atLeast"/>
        <w:jc w:val="both"/>
        <w:rPr>
          <w:rFonts w:ascii="Verdana" w:hAnsi="Verdana"/>
          <w:b/>
          <w:bCs/>
          <w:color w:val="000000"/>
          <w:sz w:val="21"/>
          <w:szCs w:val="21"/>
        </w:rPr>
      </w:pPr>
    </w:p>
    <w:p w14:paraId="037184D6" w14:textId="77777777" w:rsidR="00544530" w:rsidRDefault="00544530" w:rsidP="004655E3">
      <w:pPr>
        <w:spacing w:after="0" w:line="360" w:lineRule="atLeast"/>
        <w:jc w:val="both"/>
        <w:rPr>
          <w:rFonts w:ascii="Verdana" w:hAnsi="Verdana"/>
          <w:b/>
          <w:bCs/>
          <w:color w:val="000000"/>
          <w:sz w:val="21"/>
          <w:szCs w:val="21"/>
        </w:rPr>
      </w:pPr>
    </w:p>
    <w:p w14:paraId="56A7AD96" w14:textId="24B106AB" w:rsidR="00E8716B" w:rsidRDefault="00BD766B" w:rsidP="004655E3">
      <w:pPr>
        <w:spacing w:after="0" w:line="360" w:lineRule="atLeast"/>
        <w:jc w:val="both"/>
        <w:rPr>
          <w:rFonts w:ascii="Verdana" w:hAnsi="Verdana"/>
          <w:color w:val="000000"/>
          <w:sz w:val="21"/>
          <w:szCs w:val="21"/>
        </w:rPr>
      </w:pPr>
      <w:r w:rsidRPr="00BD766B">
        <w:rPr>
          <w:rFonts w:ascii="Verdana" w:hAnsi="Verdana"/>
          <w:b/>
          <w:bCs/>
          <w:color w:val="000000"/>
          <w:sz w:val="21"/>
          <w:szCs w:val="21"/>
        </w:rPr>
        <w:t>Satrix Managers</w:t>
      </w:r>
      <w:r w:rsidRPr="00BD766B">
        <w:rPr>
          <w:rFonts w:ascii="Verdana" w:hAnsi="Verdana"/>
          <w:color w:val="000000"/>
          <w:sz w:val="21"/>
          <w:szCs w:val="21"/>
        </w:rPr>
        <w:t xml:space="preserve"> remains the largest p</w:t>
      </w:r>
      <w:r w:rsidR="002D18A9">
        <w:rPr>
          <w:rFonts w:ascii="Verdana" w:hAnsi="Verdana"/>
          <w:color w:val="000000"/>
          <w:sz w:val="21"/>
          <w:szCs w:val="21"/>
        </w:rPr>
        <w:t xml:space="preserve">urveyor </w:t>
      </w:r>
      <w:r w:rsidRPr="00BD766B">
        <w:rPr>
          <w:rFonts w:ascii="Verdana" w:hAnsi="Verdana"/>
          <w:color w:val="000000"/>
          <w:sz w:val="21"/>
          <w:szCs w:val="21"/>
        </w:rPr>
        <w:t>of</w:t>
      </w:r>
      <w:r>
        <w:rPr>
          <w:rFonts w:ascii="Verdana" w:hAnsi="Verdana"/>
          <w:color w:val="000000"/>
          <w:sz w:val="21"/>
          <w:szCs w:val="21"/>
        </w:rPr>
        <w:t xml:space="preserve"> ETFs, by market capitalisation, growing from R52,3 </w:t>
      </w:r>
      <w:r w:rsidR="00CC5B29">
        <w:rPr>
          <w:rFonts w:ascii="Verdana" w:hAnsi="Verdana"/>
          <w:color w:val="000000"/>
          <w:sz w:val="21"/>
          <w:szCs w:val="21"/>
        </w:rPr>
        <w:t>b</w:t>
      </w:r>
      <w:r>
        <w:rPr>
          <w:rFonts w:ascii="Verdana" w:hAnsi="Verdana"/>
          <w:color w:val="000000"/>
          <w:sz w:val="21"/>
          <w:szCs w:val="21"/>
        </w:rPr>
        <w:t xml:space="preserve">illion at the end of 2023, to R55,6 </w:t>
      </w:r>
      <w:r w:rsidR="00CC5B29">
        <w:rPr>
          <w:rFonts w:ascii="Verdana" w:hAnsi="Verdana"/>
          <w:color w:val="000000"/>
          <w:sz w:val="21"/>
          <w:szCs w:val="21"/>
        </w:rPr>
        <w:t>b</w:t>
      </w:r>
      <w:r>
        <w:rPr>
          <w:rFonts w:ascii="Verdana" w:hAnsi="Verdana"/>
          <w:color w:val="000000"/>
          <w:sz w:val="21"/>
          <w:szCs w:val="21"/>
        </w:rPr>
        <w:t xml:space="preserve">illion at the end of the first quarter of 2024.  </w:t>
      </w:r>
    </w:p>
    <w:p w14:paraId="4A417B8B" w14:textId="77777777" w:rsidR="00BD766B" w:rsidRDefault="00BD766B" w:rsidP="004655E3">
      <w:pPr>
        <w:spacing w:after="0" w:line="360" w:lineRule="atLeast"/>
        <w:jc w:val="both"/>
        <w:rPr>
          <w:rFonts w:ascii="Verdana" w:hAnsi="Verdana"/>
          <w:color w:val="000000"/>
          <w:sz w:val="21"/>
          <w:szCs w:val="21"/>
        </w:rPr>
      </w:pPr>
    </w:p>
    <w:p w14:paraId="612BB4DC" w14:textId="424C90F9" w:rsidR="00BD766B" w:rsidRDefault="00BD766B" w:rsidP="004655E3">
      <w:pPr>
        <w:spacing w:after="0" w:line="360" w:lineRule="atLeast"/>
        <w:jc w:val="both"/>
        <w:rPr>
          <w:rFonts w:ascii="Verdana" w:hAnsi="Verdana"/>
          <w:color w:val="000000"/>
          <w:sz w:val="21"/>
          <w:szCs w:val="21"/>
        </w:rPr>
      </w:pPr>
      <w:r>
        <w:rPr>
          <w:rFonts w:ascii="Verdana" w:hAnsi="Verdana"/>
          <w:b/>
          <w:bCs/>
          <w:color w:val="000000"/>
          <w:sz w:val="21"/>
          <w:szCs w:val="21"/>
        </w:rPr>
        <w:t>Sygnia Itrix</w:t>
      </w:r>
      <w:r>
        <w:rPr>
          <w:rFonts w:ascii="Verdana" w:hAnsi="Verdana"/>
          <w:color w:val="000000"/>
          <w:sz w:val="21"/>
          <w:szCs w:val="21"/>
        </w:rPr>
        <w:t xml:space="preserve"> maintains its second position, by market cap in the </w:t>
      </w:r>
      <w:r w:rsidR="00CC5B29">
        <w:rPr>
          <w:rFonts w:ascii="Verdana" w:hAnsi="Verdana"/>
          <w:color w:val="000000"/>
          <w:sz w:val="21"/>
          <w:szCs w:val="21"/>
        </w:rPr>
        <w:t xml:space="preserve">industry, with R45,5 billion under management. </w:t>
      </w:r>
    </w:p>
    <w:p w14:paraId="75842A0D" w14:textId="77777777" w:rsidR="00CC5B29" w:rsidRDefault="00CC5B29" w:rsidP="004655E3">
      <w:pPr>
        <w:spacing w:after="0" w:line="360" w:lineRule="atLeast"/>
        <w:jc w:val="both"/>
        <w:rPr>
          <w:rFonts w:ascii="Verdana" w:hAnsi="Verdana"/>
          <w:color w:val="000000"/>
          <w:sz w:val="21"/>
          <w:szCs w:val="21"/>
        </w:rPr>
      </w:pPr>
    </w:p>
    <w:p w14:paraId="53A7CCFC" w14:textId="602C4D6E" w:rsidR="00CC5B29" w:rsidRDefault="00CC5B29" w:rsidP="004655E3">
      <w:pPr>
        <w:spacing w:after="0" w:line="360" w:lineRule="atLeast"/>
        <w:jc w:val="both"/>
        <w:rPr>
          <w:rFonts w:ascii="Verdana" w:hAnsi="Verdana"/>
          <w:color w:val="000000"/>
          <w:sz w:val="21"/>
          <w:szCs w:val="21"/>
        </w:rPr>
      </w:pPr>
      <w:r>
        <w:rPr>
          <w:rFonts w:ascii="Verdana" w:hAnsi="Verdana"/>
          <w:b/>
          <w:bCs/>
          <w:color w:val="000000"/>
          <w:sz w:val="21"/>
          <w:szCs w:val="21"/>
        </w:rPr>
        <w:t>Absa Capital</w:t>
      </w:r>
      <w:r>
        <w:rPr>
          <w:rFonts w:ascii="Verdana" w:hAnsi="Verdana"/>
          <w:color w:val="000000"/>
          <w:sz w:val="21"/>
          <w:szCs w:val="21"/>
        </w:rPr>
        <w:t>, which now only has 3 commodity ETFs in its stable, plus some historic ETNs, including its unique Euro, Dollar and UK Pound curren</w:t>
      </w:r>
      <w:r w:rsidR="002D18A9">
        <w:rPr>
          <w:rFonts w:ascii="Verdana" w:hAnsi="Verdana"/>
          <w:color w:val="000000"/>
          <w:sz w:val="21"/>
          <w:szCs w:val="21"/>
        </w:rPr>
        <w:t>cy</w:t>
      </w:r>
      <w:r>
        <w:rPr>
          <w:rFonts w:ascii="Verdana" w:hAnsi="Verdana"/>
          <w:color w:val="000000"/>
          <w:sz w:val="21"/>
          <w:szCs w:val="21"/>
        </w:rPr>
        <w:t xml:space="preserve"> notes, holds on to third place. </w:t>
      </w:r>
    </w:p>
    <w:p w14:paraId="335EFA1F" w14:textId="77777777" w:rsidR="00CC5B29" w:rsidRDefault="00CC5B29" w:rsidP="004655E3">
      <w:pPr>
        <w:spacing w:after="0" w:line="360" w:lineRule="atLeast"/>
        <w:jc w:val="both"/>
        <w:rPr>
          <w:rFonts w:ascii="Verdana" w:hAnsi="Verdana"/>
          <w:color w:val="000000"/>
          <w:sz w:val="21"/>
          <w:szCs w:val="21"/>
        </w:rPr>
      </w:pPr>
    </w:p>
    <w:p w14:paraId="7F84B0FD" w14:textId="03DC5BEA" w:rsidR="00CC5B29" w:rsidRDefault="00CC5B29" w:rsidP="004655E3">
      <w:pPr>
        <w:spacing w:after="0" w:line="360" w:lineRule="atLeast"/>
        <w:jc w:val="both"/>
        <w:rPr>
          <w:rFonts w:ascii="Verdana" w:hAnsi="Verdana"/>
          <w:color w:val="000000"/>
          <w:sz w:val="21"/>
          <w:szCs w:val="21"/>
        </w:rPr>
      </w:pPr>
      <w:r>
        <w:rPr>
          <w:rFonts w:ascii="Verdana" w:hAnsi="Verdana"/>
          <w:color w:val="000000"/>
          <w:sz w:val="21"/>
          <w:szCs w:val="21"/>
        </w:rPr>
        <w:t xml:space="preserve">The fastest improvement in size comes from the </w:t>
      </w:r>
      <w:r>
        <w:rPr>
          <w:rFonts w:ascii="Verdana" w:hAnsi="Verdana"/>
          <w:b/>
          <w:bCs/>
          <w:color w:val="000000"/>
          <w:sz w:val="21"/>
          <w:szCs w:val="21"/>
        </w:rPr>
        <w:t>10X</w:t>
      </w:r>
      <w:r>
        <w:rPr>
          <w:rFonts w:ascii="Verdana" w:hAnsi="Verdana"/>
          <w:color w:val="000000"/>
          <w:sz w:val="21"/>
          <w:szCs w:val="21"/>
        </w:rPr>
        <w:t xml:space="preserve"> stable, which took over the CoreShares ETF business in late-2022.  The AUM for 10X has grown from R5,6 billion in March 2021 to R13,7 billion in March 2024 and t</w:t>
      </w:r>
      <w:r w:rsidR="002D18A9">
        <w:rPr>
          <w:rFonts w:ascii="Verdana" w:hAnsi="Verdana"/>
          <w:color w:val="000000"/>
          <w:sz w:val="21"/>
          <w:szCs w:val="21"/>
        </w:rPr>
        <w:t>he</w:t>
      </w:r>
      <w:r>
        <w:rPr>
          <w:rFonts w:ascii="Verdana" w:hAnsi="Verdana"/>
          <w:color w:val="000000"/>
          <w:sz w:val="21"/>
          <w:szCs w:val="21"/>
        </w:rPr>
        <w:t xml:space="preserve"> issuer has been innovative in bringing the first actively managed ETF to the South African market. </w:t>
      </w:r>
    </w:p>
    <w:p w14:paraId="4A3E4BB3" w14:textId="77777777" w:rsidR="00CC5B29" w:rsidRDefault="00CC5B29" w:rsidP="004655E3">
      <w:pPr>
        <w:spacing w:after="0" w:line="360" w:lineRule="atLeast"/>
        <w:jc w:val="both"/>
        <w:rPr>
          <w:rFonts w:ascii="Verdana" w:hAnsi="Verdana"/>
          <w:color w:val="000000"/>
          <w:sz w:val="21"/>
          <w:szCs w:val="21"/>
        </w:rPr>
      </w:pPr>
    </w:p>
    <w:p w14:paraId="1C94F0B9" w14:textId="124496D5" w:rsidR="00CC5B29" w:rsidRDefault="00CC5B29" w:rsidP="004655E3">
      <w:pPr>
        <w:spacing w:after="0" w:line="360" w:lineRule="atLeast"/>
        <w:jc w:val="both"/>
        <w:rPr>
          <w:rFonts w:ascii="Verdana" w:hAnsi="Verdana"/>
          <w:color w:val="000000"/>
          <w:sz w:val="21"/>
          <w:szCs w:val="21"/>
        </w:rPr>
      </w:pPr>
      <w:r>
        <w:rPr>
          <w:rFonts w:ascii="Verdana" w:hAnsi="Verdana"/>
          <w:b/>
          <w:bCs/>
          <w:color w:val="000000"/>
          <w:sz w:val="21"/>
          <w:szCs w:val="21"/>
        </w:rPr>
        <w:t>First National Bank</w:t>
      </w:r>
      <w:r>
        <w:rPr>
          <w:rFonts w:ascii="Verdana" w:hAnsi="Verdana"/>
          <w:color w:val="000000"/>
          <w:sz w:val="21"/>
          <w:szCs w:val="21"/>
        </w:rPr>
        <w:t xml:space="preserve"> has consolidated</w:t>
      </w:r>
      <w:r w:rsidR="00375ECD">
        <w:rPr>
          <w:rFonts w:ascii="Verdana" w:hAnsi="Verdana"/>
          <w:color w:val="000000"/>
          <w:sz w:val="21"/>
          <w:szCs w:val="21"/>
        </w:rPr>
        <w:t>, under the FNB brand,</w:t>
      </w:r>
      <w:r>
        <w:rPr>
          <w:rFonts w:ascii="Verdana" w:hAnsi="Verdana"/>
          <w:color w:val="000000"/>
          <w:sz w:val="21"/>
          <w:szCs w:val="21"/>
        </w:rPr>
        <w:t xml:space="preserve"> its single stock ETFs and </w:t>
      </w:r>
      <w:r w:rsidR="00D54443">
        <w:rPr>
          <w:rFonts w:ascii="Verdana" w:hAnsi="Verdana"/>
          <w:color w:val="000000"/>
          <w:sz w:val="21"/>
          <w:szCs w:val="21"/>
        </w:rPr>
        <w:t>the range</w:t>
      </w:r>
      <w:r>
        <w:rPr>
          <w:rFonts w:ascii="Verdana" w:hAnsi="Verdana"/>
          <w:color w:val="000000"/>
          <w:sz w:val="21"/>
          <w:szCs w:val="21"/>
        </w:rPr>
        <w:t xml:space="preserve"> of bond and equity ETFs it </w:t>
      </w:r>
      <w:r w:rsidR="00D54443">
        <w:rPr>
          <w:rFonts w:ascii="Verdana" w:hAnsi="Verdana"/>
          <w:color w:val="000000"/>
          <w:sz w:val="21"/>
          <w:szCs w:val="21"/>
        </w:rPr>
        <w:t>issued</w:t>
      </w:r>
      <w:r>
        <w:rPr>
          <w:rFonts w:ascii="Verdana" w:hAnsi="Verdana"/>
          <w:color w:val="000000"/>
          <w:sz w:val="21"/>
          <w:szCs w:val="21"/>
        </w:rPr>
        <w:t xml:space="preserve"> under the FirstRand bank.  This consolidation now brings </w:t>
      </w:r>
      <w:r w:rsidR="002D18A9">
        <w:rPr>
          <w:rFonts w:ascii="Verdana" w:hAnsi="Verdana"/>
          <w:color w:val="000000"/>
          <w:sz w:val="21"/>
          <w:szCs w:val="21"/>
        </w:rPr>
        <w:t xml:space="preserve">a total </w:t>
      </w:r>
      <w:r>
        <w:rPr>
          <w:rFonts w:ascii="Verdana" w:hAnsi="Verdana"/>
          <w:color w:val="000000"/>
          <w:sz w:val="21"/>
          <w:szCs w:val="21"/>
        </w:rPr>
        <w:t xml:space="preserve">R12,5 billion AUM to this Group. </w:t>
      </w:r>
    </w:p>
    <w:p w14:paraId="6AD47241" w14:textId="77777777" w:rsidR="00CC5B29" w:rsidRDefault="00CC5B29" w:rsidP="004655E3">
      <w:pPr>
        <w:spacing w:after="0" w:line="360" w:lineRule="atLeast"/>
        <w:jc w:val="both"/>
        <w:rPr>
          <w:rFonts w:ascii="Verdana" w:hAnsi="Verdana"/>
          <w:color w:val="000000"/>
          <w:sz w:val="21"/>
          <w:szCs w:val="21"/>
        </w:rPr>
      </w:pPr>
    </w:p>
    <w:p w14:paraId="18211DF0" w14:textId="06DCA3AE" w:rsidR="00CC5B29" w:rsidRDefault="00CC5B29" w:rsidP="004655E3">
      <w:pPr>
        <w:spacing w:after="0" w:line="360" w:lineRule="atLeast"/>
        <w:jc w:val="both"/>
        <w:rPr>
          <w:rFonts w:ascii="Verdana" w:hAnsi="Verdana"/>
          <w:color w:val="000000"/>
          <w:sz w:val="21"/>
          <w:szCs w:val="21"/>
        </w:rPr>
      </w:pPr>
      <w:r>
        <w:rPr>
          <w:rFonts w:ascii="Verdana" w:hAnsi="Verdana"/>
          <w:b/>
          <w:bCs/>
          <w:color w:val="000000"/>
          <w:sz w:val="21"/>
          <w:szCs w:val="21"/>
        </w:rPr>
        <w:t>Union Bank of Switzerland (UBS)</w:t>
      </w:r>
      <w:r>
        <w:rPr>
          <w:rFonts w:ascii="Verdana" w:hAnsi="Verdana"/>
          <w:color w:val="000000"/>
          <w:sz w:val="21"/>
          <w:szCs w:val="21"/>
        </w:rPr>
        <w:t xml:space="preserve"> has the most ETFs in issue (5</w:t>
      </w:r>
      <w:r w:rsidR="002D18A9">
        <w:rPr>
          <w:rFonts w:ascii="Verdana" w:hAnsi="Verdana"/>
          <w:color w:val="000000"/>
          <w:sz w:val="21"/>
          <w:szCs w:val="21"/>
        </w:rPr>
        <w:t>6</w:t>
      </w:r>
      <w:r>
        <w:rPr>
          <w:rFonts w:ascii="Verdana" w:hAnsi="Verdana"/>
          <w:color w:val="000000"/>
          <w:sz w:val="21"/>
          <w:szCs w:val="21"/>
        </w:rPr>
        <w:t xml:space="preserve">), with its range of index tracking ETNs and Actively Managed Certificates (AMCs).  The AMCs, by allowing third party managers to list actively managed portfolios of securities on the JSE, which mirrors the “white label” practice in the unit trust industry, has opened up the listed ETP route to a far wider range of portfolio managers.  UBS, as the underwriter of the AMCs and ETNs, now has a total AUM of R9,9 billion. </w:t>
      </w:r>
    </w:p>
    <w:p w14:paraId="7FF724E7" w14:textId="77777777" w:rsidR="00CC5B29" w:rsidRDefault="00CC5B29" w:rsidP="004655E3">
      <w:pPr>
        <w:spacing w:after="0" w:line="360" w:lineRule="atLeast"/>
        <w:jc w:val="both"/>
        <w:rPr>
          <w:rFonts w:ascii="Verdana" w:hAnsi="Verdana"/>
          <w:color w:val="000000"/>
          <w:sz w:val="21"/>
          <w:szCs w:val="21"/>
        </w:rPr>
      </w:pPr>
    </w:p>
    <w:p w14:paraId="54A84115" w14:textId="61C4AD32" w:rsidR="00CC5B29" w:rsidRPr="00CC5B29" w:rsidRDefault="00CC5B29" w:rsidP="004655E3">
      <w:pPr>
        <w:spacing w:after="0" w:line="360" w:lineRule="atLeast"/>
        <w:jc w:val="both"/>
        <w:rPr>
          <w:rFonts w:ascii="Verdana" w:hAnsi="Verdana"/>
          <w:color w:val="000000"/>
          <w:sz w:val="21"/>
          <w:szCs w:val="21"/>
        </w:rPr>
      </w:pPr>
      <w:r>
        <w:rPr>
          <w:rFonts w:ascii="Verdana" w:hAnsi="Verdana"/>
          <w:b/>
          <w:bCs/>
          <w:color w:val="000000"/>
          <w:sz w:val="21"/>
          <w:szCs w:val="21"/>
        </w:rPr>
        <w:t>Prescient</w:t>
      </w:r>
      <w:r>
        <w:rPr>
          <w:rFonts w:ascii="Verdana" w:hAnsi="Verdana"/>
          <w:color w:val="000000"/>
          <w:sz w:val="21"/>
          <w:szCs w:val="21"/>
        </w:rPr>
        <w:t xml:space="preserve"> has be</w:t>
      </w:r>
      <w:r w:rsidR="00544530">
        <w:rPr>
          <w:rFonts w:ascii="Verdana" w:hAnsi="Verdana"/>
          <w:color w:val="000000"/>
          <w:sz w:val="21"/>
          <w:szCs w:val="21"/>
        </w:rPr>
        <w:t>e</w:t>
      </w:r>
      <w:r>
        <w:rPr>
          <w:rFonts w:ascii="Verdana" w:hAnsi="Verdana"/>
          <w:color w:val="000000"/>
          <w:sz w:val="21"/>
          <w:szCs w:val="21"/>
        </w:rPr>
        <w:t>n most recent addition to issuing houses of</w:t>
      </w:r>
      <w:r w:rsidR="004655E3">
        <w:rPr>
          <w:rFonts w:ascii="Verdana" w:hAnsi="Verdana"/>
          <w:color w:val="000000"/>
          <w:sz w:val="21"/>
          <w:szCs w:val="21"/>
        </w:rPr>
        <w:t xml:space="preserve"> </w:t>
      </w:r>
      <w:r>
        <w:rPr>
          <w:rFonts w:ascii="Verdana" w:hAnsi="Verdana"/>
          <w:color w:val="000000"/>
          <w:sz w:val="21"/>
          <w:szCs w:val="21"/>
        </w:rPr>
        <w:t xml:space="preserve">ETPs.  It now has 3 ETFs and 4 AMETFs listed on the JSE, with a total value of R760,8 million.  The Prescient platform for the management and listing of products on the JSE is an important </w:t>
      </w:r>
      <w:r w:rsidR="00544530">
        <w:rPr>
          <w:rFonts w:ascii="Verdana" w:hAnsi="Verdana"/>
          <w:color w:val="000000"/>
          <w:sz w:val="21"/>
          <w:szCs w:val="21"/>
        </w:rPr>
        <w:t>tool</w:t>
      </w:r>
      <w:r>
        <w:rPr>
          <w:rFonts w:ascii="Verdana" w:hAnsi="Verdana"/>
          <w:color w:val="000000"/>
          <w:sz w:val="21"/>
          <w:szCs w:val="21"/>
        </w:rPr>
        <w:t xml:space="preserve"> for growing the number of ETPs on the JSE and its future progress will be followed with interest. </w:t>
      </w:r>
    </w:p>
    <w:p w14:paraId="00948634" w14:textId="77777777" w:rsidR="00E8716B" w:rsidRPr="00BD766B" w:rsidRDefault="00E8716B" w:rsidP="00BD766B">
      <w:pPr>
        <w:spacing w:after="0" w:line="320" w:lineRule="atLeast"/>
        <w:jc w:val="both"/>
        <w:rPr>
          <w:rFonts w:ascii="Verdana" w:hAnsi="Verdana"/>
          <w:bCs/>
          <w:color w:val="000000" w:themeColor="text1"/>
          <w:sz w:val="21"/>
          <w:szCs w:val="21"/>
        </w:rPr>
      </w:pPr>
    </w:p>
    <w:p w14:paraId="795860E2" w14:textId="1CC498DB" w:rsidR="004655E3" w:rsidRDefault="004655E3">
      <w:pPr>
        <w:rPr>
          <w:rFonts w:ascii="Verdana" w:hAnsi="Verdana"/>
          <w:b/>
          <w:color w:val="C00000"/>
          <w:sz w:val="16"/>
          <w:szCs w:val="16"/>
        </w:rPr>
      </w:pPr>
      <w:r>
        <w:rPr>
          <w:rFonts w:ascii="Verdana" w:hAnsi="Verdana"/>
          <w:b/>
          <w:color w:val="C00000"/>
          <w:sz w:val="16"/>
          <w:szCs w:val="16"/>
        </w:rPr>
        <w:br w:type="page"/>
      </w:r>
    </w:p>
    <w:p w14:paraId="3D28CF2B" w14:textId="77777777" w:rsidR="00227D20" w:rsidRPr="00BD766B" w:rsidRDefault="00227D20" w:rsidP="00C72A43">
      <w:pPr>
        <w:spacing w:after="0" w:line="240" w:lineRule="auto"/>
        <w:jc w:val="both"/>
        <w:rPr>
          <w:rFonts w:ascii="Verdana" w:hAnsi="Verdana"/>
          <w:b/>
          <w:color w:val="C00000"/>
          <w:sz w:val="16"/>
          <w:szCs w:val="16"/>
        </w:rPr>
      </w:pPr>
    </w:p>
    <w:p w14:paraId="0F2A783F" w14:textId="76E100C0" w:rsidR="004F60D3" w:rsidRPr="001D0D90" w:rsidRDefault="004F60D3" w:rsidP="001D0D90">
      <w:pPr>
        <w:spacing w:after="120" w:line="240" w:lineRule="auto"/>
        <w:jc w:val="center"/>
        <w:rPr>
          <w:rFonts w:ascii="Verdana" w:hAnsi="Verdana"/>
          <w:b/>
          <w:caps/>
          <w:color w:val="C00000"/>
          <w:sz w:val="24"/>
          <w:szCs w:val="24"/>
        </w:rPr>
      </w:pPr>
      <w:r w:rsidRPr="001D0D90">
        <w:rPr>
          <w:rFonts w:ascii="Verdana" w:hAnsi="Verdana"/>
          <w:b/>
          <w:caps/>
          <w:color w:val="C00000"/>
          <w:sz w:val="24"/>
          <w:szCs w:val="24"/>
        </w:rPr>
        <w:t>New Capital Raised</w:t>
      </w:r>
    </w:p>
    <w:p w14:paraId="04D142EB" w14:textId="15D0614B" w:rsidR="0097105F" w:rsidRDefault="004655E3" w:rsidP="0035069F">
      <w:pPr>
        <w:spacing w:after="0" w:line="340" w:lineRule="atLeast"/>
        <w:rPr>
          <w:rFonts w:ascii="Verdana" w:hAnsi="Verdana"/>
          <w:sz w:val="21"/>
          <w:szCs w:val="21"/>
        </w:rPr>
      </w:pPr>
      <w:r>
        <w:rPr>
          <w:rFonts w:ascii="Verdana" w:hAnsi="Verdana"/>
          <w:sz w:val="21"/>
          <w:szCs w:val="21"/>
        </w:rPr>
        <w:t xml:space="preserve">In total, R4,6 billion new capital was raised in the first quarter of 2024, through new ETF issues, or from the </w:t>
      </w:r>
      <w:r w:rsidR="00544530">
        <w:rPr>
          <w:rFonts w:ascii="Verdana" w:hAnsi="Verdana"/>
          <w:sz w:val="21"/>
          <w:szCs w:val="21"/>
        </w:rPr>
        <w:t>creation</w:t>
      </w:r>
      <w:r>
        <w:rPr>
          <w:rFonts w:ascii="Verdana" w:hAnsi="Verdana"/>
          <w:sz w:val="21"/>
          <w:szCs w:val="21"/>
        </w:rPr>
        <w:t xml:space="preserve"> of ETF securities by already listed ETPs.  Exchange Traded Products are “open</w:t>
      </w:r>
      <w:r>
        <w:rPr>
          <w:rFonts w:ascii="Verdana" w:hAnsi="Verdana"/>
          <w:sz w:val="21"/>
          <w:szCs w:val="21"/>
        </w:rPr>
        <w:noBreakHyphen/>
        <w:t xml:space="preserve">ended” instruments and can therefore create or redeem new listed instruments, at any time, to meet the market demand for such products.  </w:t>
      </w:r>
    </w:p>
    <w:p w14:paraId="59D3222F" w14:textId="77777777" w:rsidR="004655E3" w:rsidRDefault="004655E3" w:rsidP="0035069F">
      <w:pPr>
        <w:spacing w:after="0" w:line="340" w:lineRule="atLeast"/>
        <w:rPr>
          <w:rFonts w:ascii="Verdana" w:hAnsi="Verdana"/>
          <w:color w:val="000000"/>
          <w:sz w:val="21"/>
          <w:szCs w:val="21"/>
        </w:rPr>
      </w:pPr>
    </w:p>
    <w:p w14:paraId="1ED28FA8" w14:textId="5A406685" w:rsidR="004655E3" w:rsidRDefault="004655E3" w:rsidP="0035069F">
      <w:pPr>
        <w:spacing w:after="0" w:line="340" w:lineRule="atLeast"/>
        <w:rPr>
          <w:rFonts w:ascii="Verdana" w:hAnsi="Verdana"/>
          <w:color w:val="000000"/>
          <w:sz w:val="21"/>
          <w:szCs w:val="21"/>
        </w:rPr>
      </w:pPr>
      <w:r>
        <w:rPr>
          <w:rFonts w:ascii="Verdana" w:hAnsi="Verdana"/>
          <w:color w:val="000000"/>
          <w:sz w:val="21"/>
          <w:szCs w:val="21"/>
        </w:rPr>
        <w:t xml:space="preserve">Table </w:t>
      </w:r>
      <w:r w:rsidR="00544530">
        <w:rPr>
          <w:rFonts w:ascii="Verdana" w:hAnsi="Verdana"/>
          <w:color w:val="000000"/>
          <w:sz w:val="21"/>
          <w:szCs w:val="21"/>
        </w:rPr>
        <w:t>C</w:t>
      </w:r>
      <w:r>
        <w:rPr>
          <w:rFonts w:ascii="Verdana" w:hAnsi="Verdana"/>
          <w:color w:val="000000"/>
          <w:sz w:val="21"/>
          <w:szCs w:val="21"/>
        </w:rPr>
        <w:t xml:space="preserve"> shows the total net new capital raised by the ETP issuing houses in the first quarter of 2024.  </w:t>
      </w:r>
    </w:p>
    <w:p w14:paraId="2211E045" w14:textId="77777777" w:rsidR="004655E3" w:rsidRPr="00B555B1" w:rsidRDefault="004655E3" w:rsidP="004655E3">
      <w:pPr>
        <w:spacing w:after="0" w:line="320" w:lineRule="atLeast"/>
        <w:rPr>
          <w:rFonts w:ascii="Verdana" w:hAnsi="Verdana"/>
          <w:color w:val="000000"/>
          <w:sz w:val="21"/>
          <w:szCs w:val="21"/>
        </w:rPr>
      </w:pPr>
    </w:p>
    <w:p w14:paraId="0EDDEC89" w14:textId="753C106D" w:rsidR="004655E3" w:rsidRPr="00B42190" w:rsidRDefault="004655E3" w:rsidP="004655E3">
      <w:pPr>
        <w:rPr>
          <w:rFonts w:ascii="Verdana" w:hAnsi="Verdana"/>
          <w:b/>
          <w:bCs/>
          <w:color w:val="000000"/>
          <w:sz w:val="21"/>
          <w:szCs w:val="21"/>
        </w:rPr>
      </w:pPr>
      <w:r w:rsidRPr="00B42190">
        <w:rPr>
          <w:rFonts w:ascii="Verdana" w:hAnsi="Verdana"/>
          <w:b/>
          <w:bCs/>
          <w:color w:val="000000"/>
          <w:sz w:val="21"/>
          <w:szCs w:val="21"/>
        </w:rPr>
        <w:t xml:space="preserve">Table </w:t>
      </w:r>
      <w:r>
        <w:rPr>
          <w:rFonts w:ascii="Verdana" w:hAnsi="Verdana"/>
          <w:b/>
          <w:bCs/>
          <w:color w:val="000000"/>
          <w:sz w:val="21"/>
          <w:szCs w:val="21"/>
        </w:rPr>
        <w:t>C</w:t>
      </w:r>
    </w:p>
    <w:tbl>
      <w:tblPr>
        <w:tblW w:w="8080"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5387"/>
        <w:gridCol w:w="1843"/>
      </w:tblGrid>
      <w:tr w:rsidR="004655E3" w:rsidRPr="00AB6CBE" w14:paraId="277690F1" w14:textId="77777777" w:rsidTr="00CA057B">
        <w:tc>
          <w:tcPr>
            <w:tcW w:w="8080" w:type="dxa"/>
            <w:gridSpan w:val="3"/>
            <w:shd w:val="clear" w:color="auto" w:fill="C00000"/>
          </w:tcPr>
          <w:p w14:paraId="72C808B3" w14:textId="77777777" w:rsidR="004655E3" w:rsidRDefault="004655E3" w:rsidP="00CA057B">
            <w:pPr>
              <w:spacing w:before="40" w:after="40" w:line="320" w:lineRule="atLeast"/>
              <w:jc w:val="center"/>
              <w:rPr>
                <w:rFonts w:ascii="Verdana" w:hAnsi="Verdana"/>
                <w:b/>
                <w:color w:val="FFFFFF"/>
                <w:sz w:val="18"/>
                <w:szCs w:val="18"/>
              </w:rPr>
            </w:pPr>
            <w:r>
              <w:rPr>
                <w:rFonts w:ascii="Verdana" w:hAnsi="Verdana"/>
                <w:b/>
                <w:color w:val="FFFFFF"/>
                <w:sz w:val="18"/>
                <w:szCs w:val="18"/>
              </w:rPr>
              <w:t>Net New Capital Raised / (Redeemed) - South African ETP Issuing Houses</w:t>
            </w:r>
          </w:p>
          <w:p w14:paraId="7F02BF6C" w14:textId="2A45C5FB" w:rsidR="004655E3" w:rsidRPr="003B4F95" w:rsidRDefault="004655E3" w:rsidP="00CA057B">
            <w:pPr>
              <w:spacing w:before="40" w:after="40" w:line="320" w:lineRule="atLeast"/>
              <w:jc w:val="center"/>
              <w:rPr>
                <w:rFonts w:ascii="Verdana" w:hAnsi="Verdana"/>
                <w:b/>
                <w:color w:val="FFFFFF"/>
                <w:sz w:val="18"/>
                <w:szCs w:val="18"/>
              </w:rPr>
            </w:pPr>
            <w:r>
              <w:rPr>
                <w:rFonts w:ascii="Verdana" w:hAnsi="Verdana"/>
                <w:b/>
                <w:color w:val="FFFFFF"/>
                <w:sz w:val="18"/>
                <w:szCs w:val="18"/>
              </w:rPr>
              <w:t xml:space="preserve">First </w:t>
            </w:r>
            <w:r w:rsidR="00D54443">
              <w:rPr>
                <w:rFonts w:ascii="Verdana" w:hAnsi="Verdana"/>
                <w:b/>
                <w:color w:val="FFFFFF"/>
                <w:sz w:val="18"/>
                <w:szCs w:val="18"/>
              </w:rPr>
              <w:t>Q</w:t>
            </w:r>
            <w:r>
              <w:rPr>
                <w:rFonts w:ascii="Verdana" w:hAnsi="Verdana"/>
                <w:b/>
                <w:color w:val="FFFFFF"/>
                <w:sz w:val="18"/>
                <w:szCs w:val="18"/>
              </w:rPr>
              <w:t>uarter 2024</w:t>
            </w:r>
          </w:p>
        </w:tc>
      </w:tr>
      <w:tr w:rsidR="004655E3" w:rsidRPr="00AB6CBE" w14:paraId="5C85BD9F" w14:textId="77777777" w:rsidTr="00CA057B">
        <w:trPr>
          <w:trHeight w:val="360"/>
        </w:trPr>
        <w:tc>
          <w:tcPr>
            <w:tcW w:w="6237" w:type="dxa"/>
            <w:gridSpan w:val="2"/>
            <w:shd w:val="clear" w:color="auto" w:fill="4C4C4C"/>
          </w:tcPr>
          <w:p w14:paraId="0AA32706" w14:textId="77777777" w:rsidR="004655E3" w:rsidRPr="003B4F95" w:rsidRDefault="004655E3" w:rsidP="00CA057B">
            <w:pPr>
              <w:spacing w:before="40" w:after="40" w:line="320" w:lineRule="atLeast"/>
              <w:rPr>
                <w:rFonts w:ascii="Verdana" w:hAnsi="Verdana"/>
                <w:b/>
                <w:color w:val="FFFFFF"/>
                <w:sz w:val="18"/>
                <w:szCs w:val="18"/>
              </w:rPr>
            </w:pPr>
            <w:r>
              <w:rPr>
                <w:rFonts w:ascii="Verdana" w:hAnsi="Verdana"/>
                <w:b/>
                <w:color w:val="FFFFFF"/>
                <w:sz w:val="18"/>
                <w:szCs w:val="18"/>
              </w:rPr>
              <w:t>Issuing House</w:t>
            </w:r>
          </w:p>
        </w:tc>
        <w:tc>
          <w:tcPr>
            <w:tcW w:w="1843" w:type="dxa"/>
            <w:shd w:val="clear" w:color="auto" w:fill="4C4C4C"/>
            <w:vAlign w:val="center"/>
          </w:tcPr>
          <w:p w14:paraId="301CD0DF" w14:textId="77777777" w:rsidR="004655E3" w:rsidRPr="003B4F95" w:rsidRDefault="004655E3" w:rsidP="00CA057B">
            <w:pPr>
              <w:spacing w:before="40" w:after="40" w:line="320" w:lineRule="atLeast"/>
              <w:jc w:val="right"/>
              <w:rPr>
                <w:rFonts w:ascii="Verdana" w:hAnsi="Verdana"/>
                <w:b/>
                <w:color w:val="FFFFFF"/>
                <w:sz w:val="18"/>
                <w:szCs w:val="18"/>
              </w:rPr>
            </w:pPr>
            <w:r>
              <w:rPr>
                <w:rFonts w:ascii="Verdana" w:hAnsi="Verdana"/>
                <w:b/>
                <w:color w:val="FFFFFF"/>
                <w:sz w:val="18"/>
                <w:szCs w:val="18"/>
              </w:rPr>
              <w:t>Total Capital (R million)</w:t>
            </w:r>
          </w:p>
        </w:tc>
      </w:tr>
      <w:tr w:rsidR="004655E3" w:rsidRPr="00AB6CBE" w14:paraId="6F194C32" w14:textId="77777777" w:rsidTr="00CA057B">
        <w:tc>
          <w:tcPr>
            <w:tcW w:w="850" w:type="dxa"/>
            <w:shd w:val="clear" w:color="auto" w:fill="auto"/>
          </w:tcPr>
          <w:p w14:paraId="27E915D5" w14:textId="77777777" w:rsidR="004655E3" w:rsidRPr="00DD1C15" w:rsidRDefault="004655E3" w:rsidP="00CA057B">
            <w:pPr>
              <w:pStyle w:val="ListParagraph"/>
              <w:numPr>
                <w:ilvl w:val="0"/>
                <w:numId w:val="21"/>
              </w:numPr>
              <w:spacing w:before="40" w:after="40" w:line="320" w:lineRule="atLeast"/>
              <w:ind w:left="357" w:hanging="357"/>
              <w:rPr>
                <w:rFonts w:ascii="Verdana" w:hAnsi="Verdana"/>
                <w:color w:val="000000"/>
                <w:sz w:val="18"/>
                <w:szCs w:val="18"/>
              </w:rPr>
            </w:pPr>
          </w:p>
        </w:tc>
        <w:tc>
          <w:tcPr>
            <w:tcW w:w="5387" w:type="dxa"/>
            <w:shd w:val="clear" w:color="auto" w:fill="auto"/>
          </w:tcPr>
          <w:p w14:paraId="33F741A7" w14:textId="77777777" w:rsidR="004655E3" w:rsidRDefault="004655E3" w:rsidP="00CA057B">
            <w:pPr>
              <w:spacing w:before="40" w:after="40" w:line="320" w:lineRule="atLeast"/>
              <w:rPr>
                <w:rFonts w:ascii="Verdana" w:hAnsi="Verdana"/>
                <w:color w:val="000000"/>
                <w:sz w:val="18"/>
                <w:szCs w:val="18"/>
              </w:rPr>
            </w:pPr>
            <w:r>
              <w:rPr>
                <w:rFonts w:ascii="Verdana" w:hAnsi="Verdana"/>
                <w:color w:val="000000"/>
                <w:sz w:val="18"/>
                <w:szCs w:val="18"/>
              </w:rPr>
              <w:t>Satrix Managers (ETFs)</w:t>
            </w:r>
          </w:p>
        </w:tc>
        <w:tc>
          <w:tcPr>
            <w:tcW w:w="1843" w:type="dxa"/>
            <w:vAlign w:val="center"/>
          </w:tcPr>
          <w:p w14:paraId="2F9E8321" w14:textId="2915DB1E" w:rsidR="004655E3" w:rsidRDefault="004655E3" w:rsidP="00CA057B">
            <w:pPr>
              <w:spacing w:before="40" w:after="40" w:line="320" w:lineRule="atLeast"/>
              <w:jc w:val="right"/>
              <w:rPr>
                <w:rFonts w:ascii="Verdana" w:hAnsi="Verdana"/>
                <w:color w:val="000000"/>
                <w:sz w:val="18"/>
                <w:szCs w:val="18"/>
              </w:rPr>
            </w:pPr>
            <w:r>
              <w:rPr>
                <w:rFonts w:ascii="Verdana" w:hAnsi="Verdana"/>
                <w:color w:val="000000"/>
                <w:sz w:val="18"/>
                <w:szCs w:val="18"/>
              </w:rPr>
              <w:t>1 570,6</w:t>
            </w:r>
          </w:p>
        </w:tc>
      </w:tr>
      <w:tr w:rsidR="004655E3" w:rsidRPr="00AB6CBE" w14:paraId="3AFE1072" w14:textId="77777777" w:rsidTr="00CA057B">
        <w:tc>
          <w:tcPr>
            <w:tcW w:w="850" w:type="dxa"/>
            <w:shd w:val="clear" w:color="auto" w:fill="auto"/>
          </w:tcPr>
          <w:p w14:paraId="6B956FA0" w14:textId="77777777" w:rsidR="004655E3" w:rsidRPr="00DD1C15" w:rsidRDefault="004655E3" w:rsidP="00CA057B">
            <w:pPr>
              <w:pStyle w:val="ListParagraph"/>
              <w:numPr>
                <w:ilvl w:val="0"/>
                <w:numId w:val="21"/>
              </w:numPr>
              <w:spacing w:before="40" w:after="40" w:line="320" w:lineRule="atLeast"/>
              <w:ind w:left="357" w:hanging="357"/>
              <w:rPr>
                <w:rFonts w:ascii="Verdana" w:hAnsi="Verdana"/>
                <w:color w:val="000000"/>
                <w:sz w:val="18"/>
                <w:szCs w:val="18"/>
              </w:rPr>
            </w:pPr>
          </w:p>
        </w:tc>
        <w:tc>
          <w:tcPr>
            <w:tcW w:w="5387" w:type="dxa"/>
            <w:shd w:val="clear" w:color="auto" w:fill="auto"/>
          </w:tcPr>
          <w:p w14:paraId="5EE84755" w14:textId="1CF92AA0" w:rsidR="004655E3" w:rsidRDefault="004655E3" w:rsidP="00CA057B">
            <w:pPr>
              <w:spacing w:before="40" w:after="40" w:line="320" w:lineRule="atLeast"/>
              <w:rPr>
                <w:rFonts w:ascii="Verdana" w:hAnsi="Verdana"/>
                <w:color w:val="000000"/>
                <w:sz w:val="18"/>
                <w:szCs w:val="18"/>
              </w:rPr>
            </w:pPr>
            <w:r>
              <w:rPr>
                <w:rFonts w:ascii="Verdana" w:hAnsi="Verdana"/>
                <w:color w:val="000000"/>
                <w:sz w:val="18"/>
                <w:szCs w:val="18"/>
              </w:rPr>
              <w:t>1nvest (ETFs)</w:t>
            </w:r>
          </w:p>
        </w:tc>
        <w:tc>
          <w:tcPr>
            <w:tcW w:w="1843" w:type="dxa"/>
            <w:vAlign w:val="center"/>
          </w:tcPr>
          <w:p w14:paraId="10056B9D" w14:textId="694199A7" w:rsidR="004655E3" w:rsidRDefault="004655E3" w:rsidP="00CA057B">
            <w:pPr>
              <w:spacing w:before="40" w:after="40" w:line="320" w:lineRule="atLeast"/>
              <w:jc w:val="right"/>
              <w:rPr>
                <w:rFonts w:ascii="Verdana" w:hAnsi="Verdana"/>
                <w:color w:val="000000"/>
                <w:sz w:val="18"/>
                <w:szCs w:val="18"/>
              </w:rPr>
            </w:pPr>
            <w:r>
              <w:rPr>
                <w:rFonts w:ascii="Verdana" w:hAnsi="Verdana"/>
                <w:color w:val="000000"/>
                <w:sz w:val="18"/>
                <w:szCs w:val="18"/>
              </w:rPr>
              <w:t>1 182,9</w:t>
            </w:r>
          </w:p>
        </w:tc>
      </w:tr>
      <w:tr w:rsidR="004655E3" w:rsidRPr="00AB6CBE" w14:paraId="25A16106" w14:textId="77777777" w:rsidTr="00CA057B">
        <w:tc>
          <w:tcPr>
            <w:tcW w:w="850" w:type="dxa"/>
            <w:shd w:val="clear" w:color="auto" w:fill="auto"/>
          </w:tcPr>
          <w:p w14:paraId="7FA24624" w14:textId="77777777" w:rsidR="004655E3" w:rsidRPr="00DD1C15" w:rsidRDefault="004655E3" w:rsidP="004655E3">
            <w:pPr>
              <w:pStyle w:val="ListParagraph"/>
              <w:numPr>
                <w:ilvl w:val="0"/>
                <w:numId w:val="21"/>
              </w:numPr>
              <w:spacing w:before="40" w:after="40" w:line="320" w:lineRule="atLeast"/>
              <w:ind w:left="357" w:hanging="357"/>
              <w:rPr>
                <w:rFonts w:ascii="Verdana" w:hAnsi="Verdana"/>
                <w:color w:val="000000"/>
                <w:sz w:val="18"/>
                <w:szCs w:val="18"/>
              </w:rPr>
            </w:pPr>
          </w:p>
        </w:tc>
        <w:tc>
          <w:tcPr>
            <w:tcW w:w="5387" w:type="dxa"/>
            <w:shd w:val="clear" w:color="auto" w:fill="auto"/>
          </w:tcPr>
          <w:p w14:paraId="0F69CD4A" w14:textId="5F65865C" w:rsidR="004655E3" w:rsidRDefault="004655E3" w:rsidP="004655E3">
            <w:pPr>
              <w:spacing w:before="40" w:after="40" w:line="320" w:lineRule="atLeast"/>
              <w:rPr>
                <w:rFonts w:ascii="Verdana" w:hAnsi="Verdana"/>
                <w:color w:val="000000"/>
                <w:sz w:val="18"/>
                <w:szCs w:val="18"/>
              </w:rPr>
            </w:pPr>
            <w:r>
              <w:rPr>
                <w:rFonts w:ascii="Verdana" w:hAnsi="Verdana"/>
                <w:color w:val="000000"/>
                <w:sz w:val="18"/>
                <w:szCs w:val="18"/>
              </w:rPr>
              <w:t>Prescient Management Company (ETFs)</w:t>
            </w:r>
          </w:p>
        </w:tc>
        <w:tc>
          <w:tcPr>
            <w:tcW w:w="1843" w:type="dxa"/>
            <w:vAlign w:val="center"/>
          </w:tcPr>
          <w:p w14:paraId="68F54D3F" w14:textId="54DCBC4C" w:rsidR="004655E3" w:rsidRDefault="004655E3" w:rsidP="004655E3">
            <w:pPr>
              <w:spacing w:before="40" w:after="40" w:line="320" w:lineRule="atLeast"/>
              <w:jc w:val="right"/>
              <w:rPr>
                <w:rFonts w:ascii="Verdana" w:hAnsi="Verdana"/>
                <w:color w:val="000000"/>
                <w:sz w:val="18"/>
                <w:szCs w:val="18"/>
              </w:rPr>
            </w:pPr>
            <w:r>
              <w:rPr>
                <w:rFonts w:ascii="Verdana" w:hAnsi="Verdana"/>
                <w:color w:val="000000"/>
                <w:sz w:val="18"/>
                <w:szCs w:val="18"/>
              </w:rPr>
              <w:t>616,5</w:t>
            </w:r>
          </w:p>
        </w:tc>
      </w:tr>
      <w:tr w:rsidR="004655E3" w:rsidRPr="00AB6CBE" w14:paraId="5E02DE80" w14:textId="77777777" w:rsidTr="00CA057B">
        <w:tc>
          <w:tcPr>
            <w:tcW w:w="850" w:type="dxa"/>
            <w:shd w:val="clear" w:color="auto" w:fill="auto"/>
          </w:tcPr>
          <w:p w14:paraId="75432B57" w14:textId="77777777" w:rsidR="004655E3" w:rsidRPr="00DD1C15" w:rsidRDefault="004655E3" w:rsidP="004655E3">
            <w:pPr>
              <w:pStyle w:val="ListParagraph"/>
              <w:numPr>
                <w:ilvl w:val="0"/>
                <w:numId w:val="21"/>
              </w:numPr>
              <w:spacing w:before="40" w:after="40" w:line="320" w:lineRule="atLeast"/>
              <w:ind w:left="357" w:hanging="357"/>
              <w:rPr>
                <w:rFonts w:ascii="Verdana" w:hAnsi="Verdana"/>
                <w:color w:val="000000"/>
                <w:sz w:val="18"/>
                <w:szCs w:val="18"/>
              </w:rPr>
            </w:pPr>
          </w:p>
        </w:tc>
        <w:tc>
          <w:tcPr>
            <w:tcW w:w="5387" w:type="dxa"/>
            <w:shd w:val="clear" w:color="auto" w:fill="auto"/>
          </w:tcPr>
          <w:p w14:paraId="2CE2A9EF" w14:textId="6A4DF324" w:rsidR="004655E3" w:rsidRDefault="004655E3" w:rsidP="004655E3">
            <w:pPr>
              <w:spacing w:before="40" w:after="40" w:line="320" w:lineRule="atLeast"/>
              <w:rPr>
                <w:rFonts w:ascii="Verdana" w:hAnsi="Verdana"/>
                <w:color w:val="000000"/>
                <w:sz w:val="18"/>
                <w:szCs w:val="18"/>
              </w:rPr>
            </w:pPr>
            <w:r>
              <w:rPr>
                <w:rFonts w:ascii="Verdana" w:hAnsi="Verdana"/>
                <w:color w:val="000000"/>
                <w:sz w:val="18"/>
                <w:szCs w:val="18"/>
              </w:rPr>
              <w:t>10X (CoreShares) (ETFs)</w:t>
            </w:r>
          </w:p>
        </w:tc>
        <w:tc>
          <w:tcPr>
            <w:tcW w:w="1843" w:type="dxa"/>
            <w:vAlign w:val="center"/>
          </w:tcPr>
          <w:p w14:paraId="0E9DFD16" w14:textId="50939C1B" w:rsidR="004655E3" w:rsidRDefault="004655E3" w:rsidP="004655E3">
            <w:pPr>
              <w:spacing w:before="40" w:after="40" w:line="320" w:lineRule="atLeast"/>
              <w:jc w:val="right"/>
              <w:rPr>
                <w:rFonts w:ascii="Verdana" w:hAnsi="Verdana"/>
                <w:color w:val="000000"/>
                <w:sz w:val="18"/>
                <w:szCs w:val="18"/>
              </w:rPr>
            </w:pPr>
            <w:r>
              <w:rPr>
                <w:rFonts w:ascii="Verdana" w:hAnsi="Verdana"/>
                <w:color w:val="000000"/>
                <w:sz w:val="18"/>
                <w:szCs w:val="18"/>
              </w:rPr>
              <w:t>544,6</w:t>
            </w:r>
          </w:p>
        </w:tc>
      </w:tr>
      <w:tr w:rsidR="004655E3" w:rsidRPr="00AB6CBE" w14:paraId="0B805F74" w14:textId="77777777" w:rsidTr="00CA057B">
        <w:tc>
          <w:tcPr>
            <w:tcW w:w="850" w:type="dxa"/>
            <w:shd w:val="clear" w:color="auto" w:fill="auto"/>
          </w:tcPr>
          <w:p w14:paraId="2223B135" w14:textId="77777777" w:rsidR="004655E3" w:rsidRPr="00DD1C15" w:rsidRDefault="004655E3" w:rsidP="004655E3">
            <w:pPr>
              <w:pStyle w:val="ListParagraph"/>
              <w:numPr>
                <w:ilvl w:val="0"/>
                <w:numId w:val="21"/>
              </w:numPr>
              <w:spacing w:before="40" w:after="40" w:line="320" w:lineRule="atLeast"/>
              <w:ind w:left="357" w:hanging="357"/>
              <w:rPr>
                <w:rFonts w:ascii="Verdana" w:hAnsi="Verdana"/>
                <w:color w:val="000000"/>
                <w:sz w:val="18"/>
                <w:szCs w:val="18"/>
              </w:rPr>
            </w:pPr>
          </w:p>
        </w:tc>
        <w:tc>
          <w:tcPr>
            <w:tcW w:w="5387" w:type="dxa"/>
            <w:shd w:val="clear" w:color="auto" w:fill="auto"/>
          </w:tcPr>
          <w:p w14:paraId="4E52116C" w14:textId="5FAC14D7" w:rsidR="004655E3" w:rsidRDefault="004655E3" w:rsidP="004655E3">
            <w:pPr>
              <w:spacing w:before="40" w:after="40" w:line="320" w:lineRule="atLeast"/>
              <w:rPr>
                <w:rFonts w:ascii="Verdana" w:hAnsi="Verdana"/>
                <w:color w:val="000000"/>
                <w:sz w:val="18"/>
                <w:szCs w:val="18"/>
              </w:rPr>
            </w:pPr>
            <w:r>
              <w:rPr>
                <w:rFonts w:ascii="Verdana" w:hAnsi="Verdana"/>
                <w:color w:val="000000"/>
                <w:sz w:val="18"/>
                <w:szCs w:val="18"/>
              </w:rPr>
              <w:t>Standard Bank (AMCs)</w:t>
            </w:r>
          </w:p>
        </w:tc>
        <w:tc>
          <w:tcPr>
            <w:tcW w:w="1843" w:type="dxa"/>
            <w:vAlign w:val="center"/>
          </w:tcPr>
          <w:p w14:paraId="3D734DE7" w14:textId="4F491195" w:rsidR="004655E3" w:rsidRDefault="004655E3" w:rsidP="004655E3">
            <w:pPr>
              <w:spacing w:before="40" w:after="40" w:line="320" w:lineRule="atLeast"/>
              <w:jc w:val="right"/>
              <w:rPr>
                <w:rFonts w:ascii="Verdana" w:hAnsi="Verdana"/>
                <w:color w:val="000000"/>
                <w:sz w:val="18"/>
                <w:szCs w:val="18"/>
              </w:rPr>
            </w:pPr>
            <w:r>
              <w:rPr>
                <w:rFonts w:ascii="Verdana" w:hAnsi="Verdana"/>
                <w:color w:val="000000"/>
                <w:sz w:val="18"/>
                <w:szCs w:val="18"/>
              </w:rPr>
              <w:t>500,0</w:t>
            </w:r>
          </w:p>
        </w:tc>
      </w:tr>
      <w:tr w:rsidR="004655E3" w:rsidRPr="00AB6CBE" w14:paraId="2D25748E" w14:textId="77777777" w:rsidTr="00CA057B">
        <w:tc>
          <w:tcPr>
            <w:tcW w:w="850" w:type="dxa"/>
            <w:shd w:val="clear" w:color="auto" w:fill="auto"/>
          </w:tcPr>
          <w:p w14:paraId="7AA5C007" w14:textId="77777777" w:rsidR="004655E3" w:rsidRPr="00DD1C15" w:rsidRDefault="004655E3" w:rsidP="004655E3">
            <w:pPr>
              <w:pStyle w:val="ListParagraph"/>
              <w:numPr>
                <w:ilvl w:val="0"/>
                <w:numId w:val="21"/>
              </w:numPr>
              <w:spacing w:before="40" w:after="40" w:line="320" w:lineRule="atLeast"/>
              <w:ind w:left="357" w:hanging="357"/>
              <w:rPr>
                <w:rFonts w:ascii="Verdana" w:hAnsi="Verdana"/>
                <w:color w:val="000000"/>
                <w:sz w:val="18"/>
                <w:szCs w:val="18"/>
              </w:rPr>
            </w:pPr>
          </w:p>
        </w:tc>
        <w:tc>
          <w:tcPr>
            <w:tcW w:w="5387" w:type="dxa"/>
            <w:shd w:val="clear" w:color="auto" w:fill="auto"/>
          </w:tcPr>
          <w:p w14:paraId="43C4B8E4" w14:textId="728B742F" w:rsidR="004655E3" w:rsidRDefault="004655E3" w:rsidP="004655E3">
            <w:pPr>
              <w:spacing w:before="40" w:after="40" w:line="320" w:lineRule="atLeast"/>
              <w:rPr>
                <w:rFonts w:ascii="Verdana" w:hAnsi="Verdana"/>
                <w:color w:val="000000"/>
                <w:sz w:val="18"/>
                <w:szCs w:val="18"/>
              </w:rPr>
            </w:pPr>
            <w:r>
              <w:rPr>
                <w:rFonts w:ascii="Verdana" w:hAnsi="Verdana"/>
                <w:color w:val="000000"/>
                <w:sz w:val="18"/>
                <w:szCs w:val="18"/>
              </w:rPr>
              <w:t>Sygnia Itrix (ETFs)</w:t>
            </w:r>
          </w:p>
        </w:tc>
        <w:tc>
          <w:tcPr>
            <w:tcW w:w="1843" w:type="dxa"/>
            <w:vAlign w:val="center"/>
          </w:tcPr>
          <w:p w14:paraId="6CF5CF7A" w14:textId="0B6FD63B" w:rsidR="004655E3" w:rsidRDefault="004655E3" w:rsidP="004655E3">
            <w:pPr>
              <w:spacing w:before="40" w:after="40" w:line="320" w:lineRule="atLeast"/>
              <w:jc w:val="right"/>
              <w:rPr>
                <w:rFonts w:ascii="Verdana" w:hAnsi="Verdana"/>
                <w:color w:val="000000"/>
                <w:sz w:val="18"/>
                <w:szCs w:val="18"/>
              </w:rPr>
            </w:pPr>
            <w:r>
              <w:rPr>
                <w:rFonts w:ascii="Verdana" w:hAnsi="Verdana"/>
                <w:color w:val="000000"/>
                <w:sz w:val="18"/>
                <w:szCs w:val="18"/>
              </w:rPr>
              <w:t>214,6</w:t>
            </w:r>
          </w:p>
        </w:tc>
      </w:tr>
      <w:tr w:rsidR="004655E3" w:rsidRPr="00AB6CBE" w14:paraId="5D933856" w14:textId="77777777" w:rsidTr="00CA057B">
        <w:tc>
          <w:tcPr>
            <w:tcW w:w="850" w:type="dxa"/>
            <w:shd w:val="clear" w:color="auto" w:fill="auto"/>
          </w:tcPr>
          <w:p w14:paraId="388D17BF" w14:textId="77777777" w:rsidR="004655E3" w:rsidRPr="00DD1C15" w:rsidRDefault="004655E3" w:rsidP="004655E3">
            <w:pPr>
              <w:pStyle w:val="ListParagraph"/>
              <w:numPr>
                <w:ilvl w:val="0"/>
                <w:numId w:val="21"/>
              </w:numPr>
              <w:spacing w:before="40" w:after="40" w:line="320" w:lineRule="atLeast"/>
              <w:ind w:left="357" w:hanging="357"/>
              <w:rPr>
                <w:rFonts w:ascii="Verdana" w:hAnsi="Verdana"/>
                <w:color w:val="000000"/>
                <w:sz w:val="18"/>
                <w:szCs w:val="18"/>
              </w:rPr>
            </w:pPr>
          </w:p>
        </w:tc>
        <w:tc>
          <w:tcPr>
            <w:tcW w:w="5387" w:type="dxa"/>
            <w:shd w:val="clear" w:color="auto" w:fill="auto"/>
          </w:tcPr>
          <w:p w14:paraId="17D4BE59" w14:textId="77777777" w:rsidR="004655E3" w:rsidRDefault="004655E3" w:rsidP="004655E3">
            <w:pPr>
              <w:spacing w:before="40" w:after="40" w:line="320" w:lineRule="atLeast"/>
              <w:rPr>
                <w:rFonts w:ascii="Verdana" w:hAnsi="Verdana"/>
                <w:color w:val="000000"/>
                <w:sz w:val="18"/>
                <w:szCs w:val="18"/>
              </w:rPr>
            </w:pPr>
            <w:r>
              <w:rPr>
                <w:rFonts w:ascii="Verdana" w:hAnsi="Verdana"/>
                <w:color w:val="000000"/>
                <w:sz w:val="18"/>
                <w:szCs w:val="18"/>
              </w:rPr>
              <w:t>Union Bank of Switzerland (AMCs)</w:t>
            </w:r>
          </w:p>
        </w:tc>
        <w:tc>
          <w:tcPr>
            <w:tcW w:w="1843" w:type="dxa"/>
            <w:vAlign w:val="center"/>
          </w:tcPr>
          <w:p w14:paraId="57972C81" w14:textId="6823114F" w:rsidR="004655E3" w:rsidRDefault="004655E3" w:rsidP="004655E3">
            <w:pPr>
              <w:spacing w:before="40" w:after="40" w:line="320" w:lineRule="atLeast"/>
              <w:jc w:val="right"/>
              <w:rPr>
                <w:rFonts w:ascii="Verdana" w:hAnsi="Verdana"/>
                <w:color w:val="000000"/>
                <w:sz w:val="18"/>
                <w:szCs w:val="18"/>
              </w:rPr>
            </w:pPr>
            <w:r>
              <w:rPr>
                <w:rFonts w:ascii="Verdana" w:hAnsi="Verdana"/>
                <w:color w:val="000000"/>
                <w:sz w:val="18"/>
                <w:szCs w:val="18"/>
              </w:rPr>
              <w:t>100,0</w:t>
            </w:r>
          </w:p>
        </w:tc>
      </w:tr>
      <w:tr w:rsidR="004655E3" w:rsidRPr="00AB6CBE" w14:paraId="028494AF" w14:textId="77777777" w:rsidTr="00CA057B">
        <w:tc>
          <w:tcPr>
            <w:tcW w:w="850" w:type="dxa"/>
            <w:shd w:val="clear" w:color="auto" w:fill="auto"/>
          </w:tcPr>
          <w:p w14:paraId="73E53586" w14:textId="77777777" w:rsidR="004655E3" w:rsidRPr="00DD1C15" w:rsidRDefault="004655E3" w:rsidP="004655E3">
            <w:pPr>
              <w:pStyle w:val="ListParagraph"/>
              <w:numPr>
                <w:ilvl w:val="0"/>
                <w:numId w:val="21"/>
              </w:numPr>
              <w:spacing w:before="40" w:after="40" w:line="320" w:lineRule="atLeast"/>
              <w:ind w:left="357" w:hanging="357"/>
              <w:rPr>
                <w:rFonts w:ascii="Verdana" w:hAnsi="Verdana"/>
                <w:color w:val="000000"/>
                <w:sz w:val="18"/>
                <w:szCs w:val="18"/>
              </w:rPr>
            </w:pPr>
          </w:p>
        </w:tc>
        <w:tc>
          <w:tcPr>
            <w:tcW w:w="5387" w:type="dxa"/>
            <w:shd w:val="clear" w:color="auto" w:fill="auto"/>
          </w:tcPr>
          <w:p w14:paraId="3B43404E" w14:textId="70125C67" w:rsidR="004655E3" w:rsidRDefault="004655E3" w:rsidP="004655E3">
            <w:pPr>
              <w:spacing w:before="40" w:after="40" w:line="320" w:lineRule="atLeast"/>
              <w:rPr>
                <w:rFonts w:ascii="Verdana" w:hAnsi="Verdana"/>
                <w:color w:val="000000"/>
                <w:sz w:val="18"/>
                <w:szCs w:val="18"/>
              </w:rPr>
            </w:pPr>
            <w:r>
              <w:rPr>
                <w:rFonts w:ascii="Verdana" w:hAnsi="Verdana"/>
                <w:color w:val="000000"/>
                <w:sz w:val="18"/>
                <w:szCs w:val="18"/>
              </w:rPr>
              <w:t>Union Bank of Switzerland (ETNs)</w:t>
            </w:r>
          </w:p>
        </w:tc>
        <w:tc>
          <w:tcPr>
            <w:tcW w:w="1843" w:type="dxa"/>
            <w:vAlign w:val="center"/>
          </w:tcPr>
          <w:p w14:paraId="1E06B619" w14:textId="3EC35CE2" w:rsidR="004655E3" w:rsidRDefault="004655E3" w:rsidP="004655E3">
            <w:pPr>
              <w:spacing w:before="40" w:after="40" w:line="320" w:lineRule="atLeast"/>
              <w:jc w:val="right"/>
              <w:rPr>
                <w:rFonts w:ascii="Verdana" w:hAnsi="Verdana"/>
                <w:color w:val="000000"/>
                <w:sz w:val="18"/>
                <w:szCs w:val="18"/>
              </w:rPr>
            </w:pPr>
            <w:r>
              <w:rPr>
                <w:rFonts w:ascii="Verdana" w:hAnsi="Verdana"/>
                <w:color w:val="000000"/>
                <w:sz w:val="18"/>
                <w:szCs w:val="18"/>
              </w:rPr>
              <w:t>23,1</w:t>
            </w:r>
          </w:p>
        </w:tc>
      </w:tr>
      <w:tr w:rsidR="004655E3" w:rsidRPr="00AB6CBE" w14:paraId="3D21EDF3" w14:textId="77777777" w:rsidTr="00CA057B">
        <w:tc>
          <w:tcPr>
            <w:tcW w:w="850" w:type="dxa"/>
            <w:shd w:val="clear" w:color="auto" w:fill="auto"/>
          </w:tcPr>
          <w:p w14:paraId="68DA29AE" w14:textId="77777777" w:rsidR="004655E3" w:rsidRPr="00DD1C15" w:rsidRDefault="004655E3" w:rsidP="004655E3">
            <w:pPr>
              <w:pStyle w:val="ListParagraph"/>
              <w:numPr>
                <w:ilvl w:val="0"/>
                <w:numId w:val="21"/>
              </w:numPr>
              <w:spacing w:before="40" w:after="40" w:line="320" w:lineRule="atLeast"/>
              <w:ind w:left="357" w:hanging="357"/>
              <w:rPr>
                <w:rFonts w:ascii="Verdana" w:hAnsi="Verdana"/>
                <w:color w:val="000000"/>
                <w:sz w:val="18"/>
                <w:szCs w:val="18"/>
              </w:rPr>
            </w:pPr>
          </w:p>
        </w:tc>
        <w:tc>
          <w:tcPr>
            <w:tcW w:w="5387" w:type="dxa"/>
            <w:shd w:val="clear" w:color="auto" w:fill="auto"/>
          </w:tcPr>
          <w:p w14:paraId="147DE3F6" w14:textId="4377F4E9" w:rsidR="004655E3" w:rsidRDefault="004655E3" w:rsidP="004655E3">
            <w:pPr>
              <w:spacing w:before="40" w:after="40" w:line="320" w:lineRule="atLeast"/>
              <w:rPr>
                <w:rFonts w:ascii="Verdana" w:hAnsi="Verdana"/>
                <w:color w:val="000000"/>
                <w:sz w:val="18"/>
                <w:szCs w:val="18"/>
              </w:rPr>
            </w:pPr>
            <w:r>
              <w:rPr>
                <w:rFonts w:ascii="Verdana" w:hAnsi="Verdana"/>
                <w:color w:val="000000"/>
                <w:sz w:val="18"/>
                <w:szCs w:val="18"/>
              </w:rPr>
              <w:t>FNB (ETNs)</w:t>
            </w:r>
          </w:p>
        </w:tc>
        <w:tc>
          <w:tcPr>
            <w:tcW w:w="1843" w:type="dxa"/>
            <w:vAlign w:val="center"/>
          </w:tcPr>
          <w:p w14:paraId="3C9F0F7C" w14:textId="32F13193" w:rsidR="004655E3" w:rsidRDefault="004655E3" w:rsidP="004655E3">
            <w:pPr>
              <w:spacing w:before="40" w:after="40" w:line="320" w:lineRule="atLeast"/>
              <w:jc w:val="right"/>
              <w:rPr>
                <w:rFonts w:ascii="Verdana" w:hAnsi="Verdana"/>
                <w:color w:val="000000"/>
                <w:sz w:val="18"/>
                <w:szCs w:val="18"/>
              </w:rPr>
            </w:pPr>
            <w:r>
              <w:rPr>
                <w:rFonts w:ascii="Verdana" w:hAnsi="Verdana"/>
                <w:color w:val="000000"/>
                <w:sz w:val="18"/>
                <w:szCs w:val="18"/>
              </w:rPr>
              <w:t>20,0</w:t>
            </w:r>
          </w:p>
        </w:tc>
      </w:tr>
      <w:tr w:rsidR="004655E3" w:rsidRPr="00AB6CBE" w14:paraId="0E0EB7C4" w14:textId="77777777" w:rsidTr="00CA057B">
        <w:tc>
          <w:tcPr>
            <w:tcW w:w="850" w:type="dxa"/>
            <w:shd w:val="clear" w:color="auto" w:fill="auto"/>
          </w:tcPr>
          <w:p w14:paraId="5D05010E" w14:textId="77777777" w:rsidR="004655E3" w:rsidRPr="00DD1C15" w:rsidRDefault="004655E3" w:rsidP="004655E3">
            <w:pPr>
              <w:pStyle w:val="ListParagraph"/>
              <w:numPr>
                <w:ilvl w:val="0"/>
                <w:numId w:val="21"/>
              </w:numPr>
              <w:spacing w:before="40" w:after="40" w:line="320" w:lineRule="atLeast"/>
              <w:ind w:left="357" w:hanging="357"/>
              <w:rPr>
                <w:rFonts w:ascii="Verdana" w:hAnsi="Verdana"/>
                <w:color w:val="000000"/>
                <w:sz w:val="18"/>
                <w:szCs w:val="18"/>
              </w:rPr>
            </w:pPr>
          </w:p>
        </w:tc>
        <w:tc>
          <w:tcPr>
            <w:tcW w:w="5387" w:type="dxa"/>
            <w:shd w:val="clear" w:color="auto" w:fill="auto"/>
          </w:tcPr>
          <w:p w14:paraId="240663EF" w14:textId="284B7E8E" w:rsidR="004655E3" w:rsidRDefault="004655E3" w:rsidP="004655E3">
            <w:pPr>
              <w:spacing w:before="40" w:after="40" w:line="320" w:lineRule="atLeast"/>
              <w:rPr>
                <w:rFonts w:ascii="Verdana" w:hAnsi="Verdana"/>
                <w:color w:val="000000"/>
                <w:sz w:val="18"/>
                <w:szCs w:val="18"/>
              </w:rPr>
            </w:pPr>
            <w:r>
              <w:rPr>
                <w:rFonts w:ascii="Verdana" w:hAnsi="Verdana"/>
                <w:color w:val="000000"/>
                <w:sz w:val="18"/>
                <w:szCs w:val="18"/>
              </w:rPr>
              <w:t>FNB (ETFs)</w:t>
            </w:r>
          </w:p>
        </w:tc>
        <w:tc>
          <w:tcPr>
            <w:tcW w:w="1843" w:type="dxa"/>
            <w:vAlign w:val="center"/>
          </w:tcPr>
          <w:p w14:paraId="2434863E" w14:textId="535F7B0D" w:rsidR="004655E3" w:rsidRDefault="004655E3" w:rsidP="004655E3">
            <w:pPr>
              <w:spacing w:before="40" w:after="40" w:line="320" w:lineRule="atLeast"/>
              <w:jc w:val="right"/>
              <w:rPr>
                <w:rFonts w:ascii="Verdana" w:hAnsi="Verdana"/>
                <w:color w:val="000000"/>
                <w:sz w:val="18"/>
                <w:szCs w:val="18"/>
              </w:rPr>
            </w:pPr>
            <w:r>
              <w:rPr>
                <w:rFonts w:ascii="Verdana" w:hAnsi="Verdana"/>
                <w:color w:val="000000"/>
                <w:sz w:val="18"/>
                <w:szCs w:val="18"/>
              </w:rPr>
              <w:t>11,0</w:t>
            </w:r>
          </w:p>
        </w:tc>
      </w:tr>
      <w:tr w:rsidR="004655E3" w:rsidRPr="00AB6CBE" w14:paraId="1226CFA2" w14:textId="77777777" w:rsidTr="00CA057B">
        <w:tc>
          <w:tcPr>
            <w:tcW w:w="850" w:type="dxa"/>
            <w:shd w:val="clear" w:color="auto" w:fill="auto"/>
          </w:tcPr>
          <w:p w14:paraId="65AC995E" w14:textId="77777777" w:rsidR="004655E3" w:rsidRPr="00DD1C15" w:rsidRDefault="004655E3" w:rsidP="004655E3">
            <w:pPr>
              <w:pStyle w:val="ListParagraph"/>
              <w:numPr>
                <w:ilvl w:val="0"/>
                <w:numId w:val="21"/>
              </w:numPr>
              <w:spacing w:before="40" w:after="40" w:line="320" w:lineRule="atLeast"/>
              <w:ind w:left="357" w:hanging="357"/>
              <w:rPr>
                <w:rFonts w:ascii="Verdana" w:hAnsi="Verdana"/>
                <w:color w:val="000000"/>
                <w:sz w:val="18"/>
                <w:szCs w:val="18"/>
              </w:rPr>
            </w:pPr>
          </w:p>
        </w:tc>
        <w:tc>
          <w:tcPr>
            <w:tcW w:w="5387" w:type="dxa"/>
            <w:shd w:val="clear" w:color="auto" w:fill="auto"/>
          </w:tcPr>
          <w:p w14:paraId="298489B6" w14:textId="77777777" w:rsidR="004655E3" w:rsidRDefault="004655E3" w:rsidP="004655E3">
            <w:pPr>
              <w:spacing w:before="40" w:after="40" w:line="320" w:lineRule="atLeast"/>
              <w:rPr>
                <w:rFonts w:ascii="Verdana" w:hAnsi="Verdana"/>
                <w:color w:val="000000"/>
                <w:sz w:val="18"/>
                <w:szCs w:val="18"/>
              </w:rPr>
            </w:pPr>
            <w:r>
              <w:rPr>
                <w:rFonts w:ascii="Verdana" w:hAnsi="Verdana"/>
                <w:color w:val="000000"/>
                <w:sz w:val="18"/>
                <w:szCs w:val="18"/>
              </w:rPr>
              <w:t>Absa Capital (NewWave ETNs)</w:t>
            </w:r>
          </w:p>
        </w:tc>
        <w:tc>
          <w:tcPr>
            <w:tcW w:w="1843" w:type="dxa"/>
            <w:vAlign w:val="center"/>
          </w:tcPr>
          <w:p w14:paraId="5CA3C76F" w14:textId="2E416150" w:rsidR="004655E3" w:rsidRDefault="00D50380" w:rsidP="004655E3">
            <w:pPr>
              <w:spacing w:before="40" w:after="40" w:line="320" w:lineRule="atLeast"/>
              <w:jc w:val="right"/>
              <w:rPr>
                <w:rFonts w:ascii="Verdana" w:hAnsi="Verdana"/>
                <w:color w:val="000000"/>
                <w:sz w:val="18"/>
                <w:szCs w:val="18"/>
              </w:rPr>
            </w:pPr>
            <w:r>
              <w:rPr>
                <w:rFonts w:ascii="Verdana" w:hAnsi="Verdana"/>
                <w:color w:val="000000"/>
                <w:sz w:val="18"/>
                <w:szCs w:val="18"/>
              </w:rPr>
              <w:t>3,1</w:t>
            </w:r>
          </w:p>
        </w:tc>
      </w:tr>
      <w:tr w:rsidR="004655E3" w:rsidRPr="00AB6CBE" w14:paraId="63639E6C" w14:textId="77777777" w:rsidTr="00CA057B">
        <w:tc>
          <w:tcPr>
            <w:tcW w:w="850" w:type="dxa"/>
            <w:shd w:val="clear" w:color="auto" w:fill="auto"/>
          </w:tcPr>
          <w:p w14:paraId="75F83950" w14:textId="77777777" w:rsidR="004655E3" w:rsidRPr="00DD1C15" w:rsidRDefault="004655E3" w:rsidP="004655E3">
            <w:pPr>
              <w:pStyle w:val="ListParagraph"/>
              <w:numPr>
                <w:ilvl w:val="0"/>
                <w:numId w:val="21"/>
              </w:numPr>
              <w:spacing w:before="40" w:after="40" w:line="320" w:lineRule="atLeast"/>
              <w:ind w:left="357" w:hanging="357"/>
              <w:rPr>
                <w:rFonts w:ascii="Verdana" w:hAnsi="Verdana"/>
                <w:color w:val="000000"/>
                <w:sz w:val="18"/>
                <w:szCs w:val="18"/>
              </w:rPr>
            </w:pPr>
          </w:p>
        </w:tc>
        <w:tc>
          <w:tcPr>
            <w:tcW w:w="5387" w:type="dxa"/>
            <w:shd w:val="clear" w:color="auto" w:fill="auto"/>
          </w:tcPr>
          <w:p w14:paraId="4EBBAC7F" w14:textId="77777777" w:rsidR="004655E3" w:rsidRDefault="004655E3" w:rsidP="004655E3">
            <w:pPr>
              <w:spacing w:before="40" w:after="40" w:line="320" w:lineRule="atLeast"/>
              <w:rPr>
                <w:rFonts w:ascii="Verdana" w:hAnsi="Verdana"/>
                <w:color w:val="000000"/>
                <w:sz w:val="18"/>
                <w:szCs w:val="18"/>
              </w:rPr>
            </w:pPr>
            <w:r>
              <w:rPr>
                <w:rFonts w:ascii="Verdana" w:hAnsi="Verdana"/>
                <w:color w:val="000000"/>
                <w:sz w:val="18"/>
                <w:szCs w:val="18"/>
              </w:rPr>
              <w:t>Absa Capital (NewFunds ETFs, NewGold ETFs)</w:t>
            </w:r>
          </w:p>
        </w:tc>
        <w:tc>
          <w:tcPr>
            <w:tcW w:w="1843" w:type="dxa"/>
            <w:vAlign w:val="center"/>
          </w:tcPr>
          <w:p w14:paraId="10D5567C" w14:textId="4B6C221D" w:rsidR="004655E3" w:rsidRDefault="00D50380" w:rsidP="004655E3">
            <w:pPr>
              <w:spacing w:before="40" w:after="40" w:line="320" w:lineRule="atLeast"/>
              <w:jc w:val="right"/>
              <w:rPr>
                <w:rFonts w:ascii="Verdana" w:hAnsi="Verdana"/>
                <w:color w:val="000000"/>
                <w:sz w:val="18"/>
                <w:szCs w:val="18"/>
              </w:rPr>
            </w:pPr>
            <w:r>
              <w:rPr>
                <w:rFonts w:ascii="Verdana" w:hAnsi="Verdana"/>
                <w:color w:val="000000"/>
                <w:sz w:val="18"/>
                <w:szCs w:val="18"/>
              </w:rPr>
              <w:t>(196,4)</w:t>
            </w:r>
          </w:p>
        </w:tc>
      </w:tr>
      <w:tr w:rsidR="004655E3" w:rsidRPr="00DD1C15" w14:paraId="79260ADD" w14:textId="77777777" w:rsidTr="00CA057B">
        <w:tc>
          <w:tcPr>
            <w:tcW w:w="6237" w:type="dxa"/>
            <w:gridSpan w:val="2"/>
            <w:shd w:val="clear" w:color="auto" w:fill="auto"/>
          </w:tcPr>
          <w:p w14:paraId="23CB4637" w14:textId="77777777" w:rsidR="004655E3" w:rsidRPr="00DD1C15" w:rsidRDefault="004655E3" w:rsidP="004655E3">
            <w:pPr>
              <w:spacing w:before="40" w:after="40" w:line="320" w:lineRule="atLeast"/>
              <w:rPr>
                <w:rFonts w:ascii="Verdana" w:hAnsi="Verdana"/>
                <w:b/>
                <w:bCs/>
                <w:color w:val="000000"/>
                <w:sz w:val="18"/>
                <w:szCs w:val="18"/>
              </w:rPr>
            </w:pPr>
            <w:r>
              <w:rPr>
                <w:rFonts w:ascii="Verdana" w:hAnsi="Verdana"/>
                <w:b/>
                <w:bCs/>
                <w:color w:val="000000"/>
                <w:sz w:val="18"/>
                <w:szCs w:val="18"/>
              </w:rPr>
              <w:t>Total</w:t>
            </w:r>
          </w:p>
        </w:tc>
        <w:tc>
          <w:tcPr>
            <w:tcW w:w="1843" w:type="dxa"/>
            <w:vAlign w:val="center"/>
          </w:tcPr>
          <w:p w14:paraId="48517C9A" w14:textId="3BAE133E" w:rsidR="004655E3" w:rsidRPr="00DD1C15" w:rsidRDefault="00D50380" w:rsidP="004655E3">
            <w:pPr>
              <w:spacing w:before="40" w:after="40" w:line="320" w:lineRule="atLeast"/>
              <w:jc w:val="right"/>
              <w:rPr>
                <w:rFonts w:ascii="Verdana" w:hAnsi="Verdana"/>
                <w:b/>
                <w:bCs/>
                <w:color w:val="000000"/>
                <w:sz w:val="18"/>
                <w:szCs w:val="18"/>
              </w:rPr>
            </w:pPr>
            <w:r>
              <w:rPr>
                <w:rFonts w:ascii="Verdana" w:hAnsi="Verdana"/>
                <w:b/>
                <w:bCs/>
                <w:color w:val="000000"/>
                <w:sz w:val="18"/>
                <w:szCs w:val="18"/>
              </w:rPr>
              <w:t>4 566,9</w:t>
            </w:r>
          </w:p>
        </w:tc>
      </w:tr>
      <w:tr w:rsidR="004655E3" w:rsidRPr="006015AB" w14:paraId="7EBC5FE8" w14:textId="77777777" w:rsidTr="00CA057B">
        <w:trPr>
          <w:trHeight w:val="217"/>
        </w:trPr>
        <w:tc>
          <w:tcPr>
            <w:tcW w:w="8080" w:type="dxa"/>
            <w:gridSpan w:val="3"/>
            <w:shd w:val="clear" w:color="auto" w:fill="auto"/>
            <w:vAlign w:val="center"/>
          </w:tcPr>
          <w:p w14:paraId="437BC835" w14:textId="1861771C" w:rsidR="004655E3" w:rsidRPr="006015AB" w:rsidRDefault="004655E3" w:rsidP="004655E3">
            <w:pPr>
              <w:spacing w:after="40" w:line="280" w:lineRule="atLeast"/>
              <w:rPr>
                <w:rFonts w:ascii="Verdana" w:hAnsi="Verdana"/>
                <w:i/>
                <w:color w:val="000000"/>
                <w:sz w:val="14"/>
                <w:szCs w:val="14"/>
              </w:rPr>
            </w:pPr>
            <w:r w:rsidRPr="006015AB">
              <w:rPr>
                <w:rFonts w:ascii="Verdana" w:hAnsi="Verdana"/>
                <w:i/>
                <w:color w:val="000000"/>
                <w:sz w:val="14"/>
                <w:szCs w:val="14"/>
              </w:rPr>
              <w:t>Source: etfSA.co.za Quarterly S</w:t>
            </w:r>
            <w:r>
              <w:rPr>
                <w:rFonts w:ascii="Verdana" w:hAnsi="Verdana"/>
                <w:i/>
                <w:color w:val="000000"/>
                <w:sz w:val="14"/>
                <w:szCs w:val="14"/>
              </w:rPr>
              <w:t>ecurities in Issue and New Capital Raised Survey (Mar 2024).</w:t>
            </w:r>
          </w:p>
        </w:tc>
      </w:tr>
    </w:tbl>
    <w:p w14:paraId="1BB85280" w14:textId="77777777" w:rsidR="004655E3" w:rsidRDefault="004655E3" w:rsidP="00F42FE0">
      <w:pPr>
        <w:spacing w:after="0" w:line="320" w:lineRule="atLeast"/>
        <w:rPr>
          <w:rFonts w:ascii="Verdana" w:hAnsi="Verdana"/>
          <w:sz w:val="21"/>
          <w:szCs w:val="21"/>
        </w:rPr>
      </w:pPr>
    </w:p>
    <w:p w14:paraId="206562D6" w14:textId="3EFA05C0" w:rsidR="00F42FE0" w:rsidRDefault="00F42FE0" w:rsidP="0035069F">
      <w:pPr>
        <w:spacing w:after="0" w:line="340" w:lineRule="atLeast"/>
        <w:rPr>
          <w:rFonts w:ascii="Verdana" w:hAnsi="Verdana"/>
          <w:sz w:val="21"/>
          <w:szCs w:val="21"/>
        </w:rPr>
      </w:pPr>
      <w:r>
        <w:rPr>
          <w:rFonts w:ascii="Verdana" w:hAnsi="Verdana"/>
          <w:sz w:val="21"/>
          <w:szCs w:val="21"/>
        </w:rPr>
        <w:t xml:space="preserve">Although the </w:t>
      </w:r>
      <w:r w:rsidR="00544530">
        <w:rPr>
          <w:rFonts w:ascii="Verdana" w:hAnsi="Verdana"/>
          <w:sz w:val="21"/>
          <w:szCs w:val="21"/>
        </w:rPr>
        <w:t xml:space="preserve">capital raising </w:t>
      </w:r>
      <w:r>
        <w:rPr>
          <w:rFonts w:ascii="Verdana" w:hAnsi="Verdana"/>
          <w:sz w:val="21"/>
          <w:szCs w:val="21"/>
        </w:rPr>
        <w:t xml:space="preserve">analysis covers only a short period of 3 months, so is not really representative, </w:t>
      </w:r>
      <w:r>
        <w:rPr>
          <w:rFonts w:ascii="Verdana" w:hAnsi="Verdana"/>
          <w:b/>
          <w:bCs/>
          <w:sz w:val="21"/>
          <w:szCs w:val="21"/>
        </w:rPr>
        <w:t>Satrix Managers</w:t>
      </w:r>
      <w:r>
        <w:rPr>
          <w:rFonts w:ascii="Verdana" w:hAnsi="Verdana"/>
          <w:sz w:val="21"/>
          <w:szCs w:val="21"/>
        </w:rPr>
        <w:t>, which raised R1 570,6 million in new capital, is clearly ahead of its rivals</w:t>
      </w:r>
      <w:r w:rsidR="00544530">
        <w:rPr>
          <w:rFonts w:ascii="Verdana" w:hAnsi="Verdana"/>
          <w:sz w:val="21"/>
          <w:szCs w:val="21"/>
        </w:rPr>
        <w:t xml:space="preserve"> in bringing fresh capital to the JSE</w:t>
      </w:r>
      <w:r>
        <w:rPr>
          <w:rFonts w:ascii="Verdana" w:hAnsi="Verdana"/>
          <w:sz w:val="21"/>
          <w:szCs w:val="21"/>
        </w:rPr>
        <w:t xml:space="preserve">.  </w:t>
      </w:r>
    </w:p>
    <w:p w14:paraId="41CA9A37" w14:textId="77777777" w:rsidR="00F42FE0" w:rsidRDefault="00F42FE0" w:rsidP="0035069F">
      <w:pPr>
        <w:spacing w:after="0" w:line="340" w:lineRule="atLeast"/>
        <w:rPr>
          <w:rFonts w:ascii="Verdana" w:hAnsi="Verdana"/>
          <w:sz w:val="21"/>
          <w:szCs w:val="21"/>
        </w:rPr>
      </w:pPr>
    </w:p>
    <w:p w14:paraId="3629C1C5" w14:textId="53CB4418" w:rsidR="00F42FE0" w:rsidRDefault="00F42FE0" w:rsidP="0035069F">
      <w:pPr>
        <w:spacing w:after="0" w:line="340" w:lineRule="atLeast"/>
        <w:rPr>
          <w:rFonts w:ascii="Verdana" w:hAnsi="Verdana"/>
          <w:sz w:val="21"/>
          <w:szCs w:val="21"/>
        </w:rPr>
      </w:pPr>
      <w:r>
        <w:rPr>
          <w:rFonts w:ascii="Verdana" w:hAnsi="Verdana"/>
          <w:b/>
          <w:bCs/>
          <w:sz w:val="21"/>
          <w:szCs w:val="21"/>
        </w:rPr>
        <w:t>1nvest</w:t>
      </w:r>
      <w:r>
        <w:rPr>
          <w:rFonts w:ascii="Verdana" w:hAnsi="Verdana"/>
          <w:sz w:val="21"/>
          <w:szCs w:val="21"/>
        </w:rPr>
        <w:t xml:space="preserve">, which issued R629,2 million new 1nvest Gold ETPs, as investors looked to benefit from the rise in the US dollar gold prices, raised R1 182,9 million in total across </w:t>
      </w:r>
      <w:r w:rsidR="00544530">
        <w:rPr>
          <w:rFonts w:ascii="Verdana" w:hAnsi="Verdana"/>
          <w:sz w:val="21"/>
          <w:szCs w:val="21"/>
        </w:rPr>
        <w:t>its</w:t>
      </w:r>
      <w:r>
        <w:rPr>
          <w:rFonts w:ascii="Verdana" w:hAnsi="Verdana"/>
          <w:sz w:val="21"/>
          <w:szCs w:val="21"/>
        </w:rPr>
        <w:t xml:space="preserve"> whole group. </w:t>
      </w:r>
    </w:p>
    <w:p w14:paraId="1AE78714" w14:textId="77777777" w:rsidR="00F42FE0" w:rsidRDefault="00F42FE0" w:rsidP="0035069F">
      <w:pPr>
        <w:spacing w:after="0" w:line="340" w:lineRule="atLeast"/>
        <w:rPr>
          <w:rFonts w:ascii="Verdana" w:hAnsi="Verdana"/>
          <w:sz w:val="21"/>
          <w:szCs w:val="21"/>
        </w:rPr>
      </w:pPr>
    </w:p>
    <w:p w14:paraId="0B4FB89D" w14:textId="45E05A24" w:rsidR="00F42FE0" w:rsidRPr="00F42FE0" w:rsidRDefault="00F42FE0" w:rsidP="0035069F">
      <w:pPr>
        <w:spacing w:after="0" w:line="340" w:lineRule="atLeast"/>
        <w:rPr>
          <w:rFonts w:ascii="Verdana" w:hAnsi="Verdana"/>
          <w:sz w:val="21"/>
          <w:szCs w:val="21"/>
        </w:rPr>
      </w:pPr>
      <w:r>
        <w:rPr>
          <w:rFonts w:ascii="Verdana" w:hAnsi="Verdana"/>
          <w:b/>
          <w:bCs/>
          <w:sz w:val="21"/>
          <w:szCs w:val="21"/>
        </w:rPr>
        <w:t>Prescient Management Company</w:t>
      </w:r>
      <w:r>
        <w:rPr>
          <w:rFonts w:ascii="Verdana" w:hAnsi="Verdana"/>
          <w:sz w:val="21"/>
          <w:szCs w:val="21"/>
        </w:rPr>
        <w:t xml:space="preserve">, with its offering of Reitway global property ETFs and 2 new income AMETFs, was a surprise </w:t>
      </w:r>
      <w:r w:rsidR="00544530">
        <w:rPr>
          <w:rFonts w:ascii="Verdana" w:hAnsi="Verdana"/>
          <w:sz w:val="21"/>
          <w:szCs w:val="21"/>
        </w:rPr>
        <w:t>attractor of funds</w:t>
      </w:r>
      <w:r>
        <w:rPr>
          <w:rFonts w:ascii="Verdana" w:hAnsi="Verdana"/>
          <w:sz w:val="21"/>
          <w:szCs w:val="21"/>
        </w:rPr>
        <w:t xml:space="preserve">, with R616,5 million new capital raised.  </w:t>
      </w:r>
    </w:p>
    <w:p w14:paraId="75637028" w14:textId="3914B5AC" w:rsidR="0035069F" w:rsidRDefault="0035069F">
      <w:pPr>
        <w:rPr>
          <w:rFonts w:ascii="Verdana" w:hAnsi="Verdana"/>
          <w:sz w:val="21"/>
          <w:szCs w:val="21"/>
        </w:rPr>
      </w:pPr>
      <w:r>
        <w:rPr>
          <w:rFonts w:ascii="Verdana" w:hAnsi="Verdana"/>
          <w:sz w:val="21"/>
          <w:szCs w:val="21"/>
        </w:rPr>
        <w:br w:type="page"/>
      </w:r>
    </w:p>
    <w:p w14:paraId="3B125A68" w14:textId="77777777" w:rsidR="0035069F" w:rsidRDefault="0035069F" w:rsidP="0035069F">
      <w:pPr>
        <w:spacing w:before="100" w:after="0" w:line="320" w:lineRule="atLeast"/>
        <w:jc w:val="both"/>
        <w:rPr>
          <w:rFonts w:ascii="Verdana" w:hAnsi="Verdana"/>
          <w:color w:val="000000"/>
          <w:sz w:val="21"/>
          <w:szCs w:val="21"/>
        </w:rPr>
      </w:pPr>
    </w:p>
    <w:p w14:paraId="4A23169B" w14:textId="77777777" w:rsidR="0035069F" w:rsidRPr="004544E3" w:rsidRDefault="0035069F" w:rsidP="0035069F">
      <w:pPr>
        <w:pStyle w:val="ListParagraph"/>
        <w:spacing w:after="0" w:line="320" w:lineRule="atLeast"/>
        <w:jc w:val="center"/>
        <w:rPr>
          <w:rFonts w:ascii="Verdana" w:hAnsi="Verdana"/>
          <w:b/>
          <w:bCs/>
          <w:color w:val="C00000"/>
        </w:rPr>
      </w:pPr>
      <w:r>
        <w:rPr>
          <w:rFonts w:ascii="Verdana" w:hAnsi="Verdana"/>
          <w:b/>
          <w:bCs/>
          <w:color w:val="C00000"/>
        </w:rPr>
        <w:t>INDIVIDUAL ISSUING HOUSES</w:t>
      </w:r>
    </w:p>
    <w:p w14:paraId="551CFC0D" w14:textId="2B6C52E7" w:rsidR="00126756" w:rsidRDefault="0035069F" w:rsidP="0035069F">
      <w:pPr>
        <w:spacing w:before="200" w:after="40" w:line="340" w:lineRule="atLeast"/>
        <w:jc w:val="both"/>
        <w:rPr>
          <w:rFonts w:ascii="Verdana" w:hAnsi="Verdana"/>
          <w:color w:val="000000"/>
          <w:sz w:val="21"/>
          <w:szCs w:val="21"/>
        </w:rPr>
      </w:pPr>
      <w:r w:rsidRPr="006C0C1F">
        <w:rPr>
          <w:rFonts w:ascii="Verdana" w:hAnsi="Verdana"/>
          <w:b/>
          <w:bCs/>
          <w:color w:val="C00000"/>
          <w:sz w:val="21"/>
          <w:szCs w:val="21"/>
        </w:rPr>
        <w:t>Satrix Managers</w:t>
      </w:r>
      <w:r w:rsidRPr="006C0C1F">
        <w:rPr>
          <w:rFonts w:ascii="Verdana" w:hAnsi="Verdana"/>
          <w:color w:val="C00000"/>
          <w:sz w:val="21"/>
          <w:szCs w:val="21"/>
        </w:rPr>
        <w:t xml:space="preserve"> </w:t>
      </w:r>
      <w:r w:rsidRPr="003E6D07">
        <w:rPr>
          <w:rFonts w:ascii="Verdana" w:hAnsi="Verdana"/>
          <w:color w:val="000000"/>
          <w:sz w:val="21"/>
          <w:szCs w:val="21"/>
        </w:rPr>
        <w:t>–</w:t>
      </w:r>
      <w:r>
        <w:rPr>
          <w:rFonts w:ascii="Verdana" w:hAnsi="Verdana"/>
          <w:color w:val="000000"/>
          <w:sz w:val="21"/>
          <w:szCs w:val="21"/>
        </w:rPr>
        <w:t xml:space="preserve"> after </w:t>
      </w:r>
      <w:r w:rsidR="00126756">
        <w:rPr>
          <w:rFonts w:ascii="Verdana" w:hAnsi="Verdana"/>
          <w:color w:val="000000"/>
          <w:sz w:val="21"/>
          <w:szCs w:val="21"/>
        </w:rPr>
        <w:t>spending 2023 consolidating and clea</w:t>
      </w:r>
      <w:r w:rsidR="00544530">
        <w:rPr>
          <w:rFonts w:ascii="Verdana" w:hAnsi="Verdana"/>
          <w:color w:val="000000"/>
          <w:sz w:val="21"/>
          <w:szCs w:val="21"/>
        </w:rPr>
        <w:t>n</w:t>
      </w:r>
      <w:r w:rsidR="00126756">
        <w:rPr>
          <w:rFonts w:ascii="Verdana" w:hAnsi="Verdana"/>
          <w:color w:val="000000"/>
          <w:sz w:val="21"/>
          <w:szCs w:val="21"/>
        </w:rPr>
        <w:t>ing up the ETFs in</w:t>
      </w:r>
      <w:r w:rsidR="00544530">
        <w:rPr>
          <w:rFonts w:ascii="Verdana" w:hAnsi="Verdana"/>
          <w:color w:val="000000"/>
          <w:sz w:val="21"/>
          <w:szCs w:val="21"/>
        </w:rPr>
        <w:t xml:space="preserve">herited </w:t>
      </w:r>
      <w:r w:rsidR="00126756">
        <w:rPr>
          <w:rFonts w:ascii="Verdana" w:hAnsi="Verdana"/>
          <w:color w:val="000000"/>
          <w:sz w:val="21"/>
          <w:szCs w:val="21"/>
        </w:rPr>
        <w:t xml:space="preserve">from Absa Capital, Satrix has delisted three of these former Absa ETFs in the first quarter of 2024, by amalgamating them with Satrix ETFs covering the same indices.  </w:t>
      </w:r>
    </w:p>
    <w:p w14:paraId="5F02E4B5" w14:textId="2971CA18" w:rsidR="00126756" w:rsidRDefault="00126756" w:rsidP="0035069F">
      <w:pPr>
        <w:spacing w:before="200" w:after="40" w:line="340" w:lineRule="atLeast"/>
        <w:jc w:val="both"/>
        <w:rPr>
          <w:rFonts w:ascii="Verdana" w:hAnsi="Verdana"/>
          <w:color w:val="000000"/>
          <w:sz w:val="21"/>
          <w:szCs w:val="21"/>
        </w:rPr>
      </w:pPr>
      <w:r>
        <w:rPr>
          <w:rFonts w:ascii="Verdana" w:hAnsi="Verdana"/>
          <w:color w:val="000000"/>
          <w:sz w:val="21"/>
          <w:szCs w:val="21"/>
        </w:rPr>
        <w:t>In addition, Satrix issued two new ETFs in March 2024</w:t>
      </w:r>
      <w:r w:rsidR="00544530">
        <w:rPr>
          <w:rFonts w:ascii="Verdana" w:hAnsi="Verdana"/>
          <w:color w:val="000000"/>
          <w:sz w:val="21"/>
          <w:szCs w:val="21"/>
        </w:rPr>
        <w:t>.  T</w:t>
      </w:r>
      <w:r>
        <w:rPr>
          <w:rFonts w:ascii="Verdana" w:hAnsi="Verdana"/>
          <w:color w:val="000000"/>
          <w:sz w:val="21"/>
          <w:szCs w:val="21"/>
        </w:rPr>
        <w:t xml:space="preserve">he Satrix ACWI (All Country World Index) ETF, and the Satrix JSE Global Equity ETF.  The latter product invests in the FTSE/JSE Global Equity Index, which constitutes the </w:t>
      </w:r>
      <w:r w:rsidR="00544530">
        <w:rPr>
          <w:rFonts w:ascii="Verdana" w:hAnsi="Verdana"/>
          <w:color w:val="000000"/>
          <w:sz w:val="21"/>
          <w:szCs w:val="21"/>
        </w:rPr>
        <w:t>T</w:t>
      </w:r>
      <w:r>
        <w:rPr>
          <w:rFonts w:ascii="Verdana" w:hAnsi="Verdana"/>
          <w:color w:val="000000"/>
          <w:sz w:val="21"/>
          <w:szCs w:val="21"/>
        </w:rPr>
        <w:t xml:space="preserve">op 50 JSE companies, by global market cap, </w:t>
      </w:r>
      <w:r w:rsidR="00D54443">
        <w:rPr>
          <w:rFonts w:ascii="Verdana" w:hAnsi="Verdana"/>
          <w:color w:val="000000"/>
          <w:sz w:val="21"/>
          <w:szCs w:val="21"/>
        </w:rPr>
        <w:t>that have</w:t>
      </w:r>
      <w:r>
        <w:rPr>
          <w:rFonts w:ascii="Verdana" w:hAnsi="Verdana"/>
          <w:color w:val="000000"/>
          <w:sz w:val="21"/>
          <w:szCs w:val="21"/>
        </w:rPr>
        <w:t xml:space="preserve"> a high</w:t>
      </w:r>
      <w:r w:rsidR="00EF1FD4">
        <w:rPr>
          <w:rFonts w:ascii="Verdana" w:hAnsi="Verdana"/>
          <w:color w:val="000000"/>
          <w:sz w:val="21"/>
          <w:szCs w:val="21"/>
        </w:rPr>
        <w:t xml:space="preserve"> proportion of earnings from </w:t>
      </w:r>
      <w:r w:rsidR="00D54443">
        <w:rPr>
          <w:rFonts w:ascii="Verdana" w:hAnsi="Verdana"/>
          <w:color w:val="000000"/>
          <w:sz w:val="21"/>
          <w:szCs w:val="21"/>
        </w:rPr>
        <w:t>offshore</w:t>
      </w:r>
      <w:r w:rsidR="00EF1FD4">
        <w:rPr>
          <w:rFonts w:ascii="Verdana" w:hAnsi="Verdana"/>
          <w:color w:val="000000"/>
          <w:sz w:val="21"/>
          <w:szCs w:val="21"/>
        </w:rPr>
        <w:t xml:space="preserve">.  As such, it </w:t>
      </w:r>
      <w:r w:rsidR="00544530">
        <w:rPr>
          <w:rFonts w:ascii="Verdana" w:hAnsi="Verdana"/>
          <w:color w:val="000000"/>
          <w:sz w:val="21"/>
          <w:szCs w:val="21"/>
        </w:rPr>
        <w:t>add</w:t>
      </w:r>
      <w:r w:rsidR="00EF1FD4">
        <w:rPr>
          <w:rFonts w:ascii="Verdana" w:hAnsi="Verdana"/>
          <w:color w:val="000000"/>
          <w:sz w:val="21"/>
          <w:szCs w:val="21"/>
        </w:rPr>
        <w:t xml:space="preserve">s a rand hedge </w:t>
      </w:r>
      <w:r w:rsidR="00544530">
        <w:rPr>
          <w:rFonts w:ascii="Verdana" w:hAnsi="Verdana"/>
          <w:color w:val="000000"/>
          <w:sz w:val="21"/>
          <w:szCs w:val="21"/>
        </w:rPr>
        <w:t xml:space="preserve">focus </w:t>
      </w:r>
      <w:r w:rsidR="00EF1FD4">
        <w:rPr>
          <w:rFonts w:ascii="Verdana" w:hAnsi="Verdana"/>
          <w:color w:val="000000"/>
          <w:sz w:val="21"/>
          <w:szCs w:val="21"/>
        </w:rPr>
        <w:t xml:space="preserve">to local </w:t>
      </w:r>
      <w:r w:rsidR="00D54443">
        <w:rPr>
          <w:rFonts w:ascii="Verdana" w:hAnsi="Verdana"/>
          <w:color w:val="000000"/>
          <w:sz w:val="21"/>
          <w:szCs w:val="21"/>
        </w:rPr>
        <w:t>equity</w:t>
      </w:r>
      <w:r w:rsidR="00EF1FD4">
        <w:rPr>
          <w:rFonts w:ascii="Verdana" w:hAnsi="Verdana"/>
          <w:color w:val="000000"/>
          <w:sz w:val="21"/>
          <w:szCs w:val="21"/>
        </w:rPr>
        <w:t xml:space="preserve"> indices.  </w:t>
      </w:r>
    </w:p>
    <w:p w14:paraId="668E0F43" w14:textId="2BE2FA0B" w:rsidR="0035069F" w:rsidRDefault="0035069F" w:rsidP="0035069F">
      <w:pPr>
        <w:spacing w:before="200" w:after="40" w:line="340" w:lineRule="atLeast"/>
        <w:jc w:val="both"/>
        <w:rPr>
          <w:rFonts w:ascii="Verdana" w:hAnsi="Verdana"/>
          <w:color w:val="000000"/>
          <w:sz w:val="21"/>
          <w:szCs w:val="21"/>
        </w:rPr>
      </w:pPr>
      <w:r w:rsidRPr="006C0C1F">
        <w:rPr>
          <w:rFonts w:ascii="Verdana" w:hAnsi="Verdana"/>
          <w:b/>
          <w:bCs/>
          <w:color w:val="C00000"/>
          <w:sz w:val="21"/>
          <w:szCs w:val="21"/>
        </w:rPr>
        <w:t>Sygnia Itrix</w:t>
      </w:r>
      <w:r w:rsidRPr="006C0C1F">
        <w:rPr>
          <w:rFonts w:ascii="Verdana" w:hAnsi="Verdana"/>
          <w:color w:val="C00000"/>
          <w:sz w:val="21"/>
          <w:szCs w:val="21"/>
        </w:rPr>
        <w:t xml:space="preserve"> </w:t>
      </w:r>
      <w:r w:rsidRPr="00DE7139">
        <w:rPr>
          <w:rFonts w:ascii="Verdana" w:hAnsi="Verdana"/>
          <w:color w:val="000000"/>
          <w:sz w:val="21"/>
          <w:szCs w:val="21"/>
        </w:rPr>
        <w:t>–</w:t>
      </w:r>
      <w:r>
        <w:rPr>
          <w:rFonts w:ascii="Verdana" w:hAnsi="Verdana"/>
          <w:color w:val="000000"/>
          <w:sz w:val="21"/>
          <w:szCs w:val="21"/>
        </w:rPr>
        <w:t xml:space="preserve">  </w:t>
      </w:r>
      <w:r w:rsidR="00EF1FD4">
        <w:rPr>
          <w:rFonts w:ascii="Verdana" w:hAnsi="Verdana"/>
          <w:color w:val="000000"/>
          <w:sz w:val="21"/>
          <w:szCs w:val="21"/>
        </w:rPr>
        <w:t>having experienced a ne</w:t>
      </w:r>
      <w:r w:rsidR="00544530">
        <w:rPr>
          <w:rFonts w:ascii="Verdana" w:hAnsi="Verdana"/>
          <w:color w:val="000000"/>
          <w:sz w:val="21"/>
          <w:szCs w:val="21"/>
        </w:rPr>
        <w:t>t</w:t>
      </w:r>
      <w:r w:rsidR="00EF1FD4">
        <w:rPr>
          <w:rFonts w:ascii="Verdana" w:hAnsi="Verdana"/>
          <w:color w:val="000000"/>
          <w:sz w:val="21"/>
          <w:szCs w:val="21"/>
        </w:rPr>
        <w:t xml:space="preserve"> outflow of capital from redemptions of its ETFs in  2023, Sygnia returned to a positive inflow of new capital to its products </w:t>
      </w:r>
      <w:r w:rsidR="00544530">
        <w:rPr>
          <w:rFonts w:ascii="Verdana" w:hAnsi="Verdana"/>
          <w:color w:val="000000"/>
          <w:sz w:val="21"/>
          <w:szCs w:val="21"/>
        </w:rPr>
        <w:t xml:space="preserve">in the first quarter of 2024 </w:t>
      </w:r>
      <w:r w:rsidR="00EF1FD4">
        <w:rPr>
          <w:rFonts w:ascii="Verdana" w:hAnsi="Verdana"/>
          <w:color w:val="000000"/>
          <w:sz w:val="21"/>
          <w:szCs w:val="21"/>
        </w:rPr>
        <w:t xml:space="preserve">(R214,6 million).  The main contribution came from the </w:t>
      </w:r>
      <w:r w:rsidR="00D54443">
        <w:rPr>
          <w:rFonts w:ascii="Verdana" w:hAnsi="Verdana"/>
          <w:color w:val="000000"/>
          <w:sz w:val="21"/>
          <w:szCs w:val="21"/>
        </w:rPr>
        <w:t>Sygnia</w:t>
      </w:r>
      <w:r w:rsidR="00EF1FD4">
        <w:rPr>
          <w:rFonts w:ascii="Verdana" w:hAnsi="Verdana"/>
          <w:color w:val="000000"/>
          <w:sz w:val="21"/>
          <w:szCs w:val="21"/>
        </w:rPr>
        <w:t xml:space="preserve"> Itrix FANG.AI ETF, which was listed late in 2023 and which issued </w:t>
      </w:r>
      <w:r w:rsidR="00544530">
        <w:rPr>
          <w:rFonts w:ascii="Verdana" w:hAnsi="Verdana"/>
          <w:color w:val="000000"/>
          <w:sz w:val="21"/>
          <w:szCs w:val="21"/>
        </w:rPr>
        <w:t xml:space="preserve">a further </w:t>
      </w:r>
      <w:r w:rsidR="00EF1FD4">
        <w:rPr>
          <w:rFonts w:ascii="Verdana" w:hAnsi="Verdana"/>
          <w:color w:val="000000"/>
          <w:sz w:val="21"/>
          <w:szCs w:val="21"/>
        </w:rPr>
        <w:t xml:space="preserve">R693,1 new securities in the first quarter of 2024, to meet market demand for this high-tech </w:t>
      </w:r>
      <w:r w:rsidR="00D54443">
        <w:rPr>
          <w:rFonts w:ascii="Verdana" w:hAnsi="Verdana"/>
          <w:color w:val="000000"/>
          <w:sz w:val="21"/>
          <w:szCs w:val="21"/>
        </w:rPr>
        <w:t>denominated</w:t>
      </w:r>
      <w:r w:rsidR="00EF1FD4">
        <w:rPr>
          <w:rFonts w:ascii="Verdana" w:hAnsi="Verdana"/>
          <w:color w:val="000000"/>
          <w:sz w:val="21"/>
          <w:szCs w:val="21"/>
        </w:rPr>
        <w:t xml:space="preserve"> ETF.  The FANG portfolio is actively managed and focuses on companies which use new technologies such as artificial intelligence, </w:t>
      </w:r>
      <w:r w:rsidR="00544530">
        <w:rPr>
          <w:rFonts w:ascii="Verdana" w:hAnsi="Verdana"/>
          <w:color w:val="000000"/>
          <w:sz w:val="21"/>
          <w:szCs w:val="21"/>
        </w:rPr>
        <w:t xml:space="preserve">large </w:t>
      </w:r>
      <w:r w:rsidR="00EF1FD4">
        <w:rPr>
          <w:rFonts w:ascii="Verdana" w:hAnsi="Verdana"/>
          <w:color w:val="000000"/>
          <w:sz w:val="21"/>
          <w:szCs w:val="21"/>
        </w:rPr>
        <w:t>language models, clo</w:t>
      </w:r>
      <w:r w:rsidR="00544530">
        <w:rPr>
          <w:rFonts w:ascii="Verdana" w:hAnsi="Verdana"/>
          <w:color w:val="000000"/>
          <w:sz w:val="21"/>
          <w:szCs w:val="21"/>
        </w:rPr>
        <w:t>u</w:t>
      </w:r>
      <w:r w:rsidR="00EF1FD4">
        <w:rPr>
          <w:rFonts w:ascii="Verdana" w:hAnsi="Verdana"/>
          <w:color w:val="000000"/>
          <w:sz w:val="21"/>
          <w:szCs w:val="21"/>
        </w:rPr>
        <w:t xml:space="preserve">d storage, big data, </w:t>
      </w:r>
      <w:r w:rsidR="00D54443">
        <w:rPr>
          <w:rFonts w:ascii="Verdana" w:hAnsi="Verdana"/>
          <w:color w:val="000000"/>
          <w:sz w:val="21"/>
          <w:szCs w:val="21"/>
        </w:rPr>
        <w:t>social</w:t>
      </w:r>
      <w:r w:rsidR="00EF1FD4">
        <w:rPr>
          <w:rFonts w:ascii="Verdana" w:hAnsi="Verdana"/>
          <w:color w:val="000000"/>
          <w:sz w:val="21"/>
          <w:szCs w:val="21"/>
        </w:rPr>
        <w:t xml:space="preserve"> media and e-commerce tools.  The “magnificent seven” companies contribute about 60</w:t>
      </w:r>
      <w:r w:rsidR="00544530">
        <w:rPr>
          <w:rFonts w:ascii="Verdana" w:hAnsi="Verdana"/>
          <w:color w:val="000000"/>
          <w:sz w:val="21"/>
          <w:szCs w:val="21"/>
        </w:rPr>
        <w:t>%</w:t>
      </w:r>
      <w:r w:rsidR="00EF1FD4">
        <w:rPr>
          <w:rFonts w:ascii="Verdana" w:hAnsi="Verdana"/>
          <w:color w:val="000000"/>
          <w:sz w:val="21"/>
          <w:szCs w:val="21"/>
        </w:rPr>
        <w:t xml:space="preserve"> of the index basket, but there are other global </w:t>
      </w:r>
      <w:r w:rsidR="00544530">
        <w:rPr>
          <w:rFonts w:ascii="Verdana" w:hAnsi="Verdana"/>
          <w:color w:val="000000"/>
          <w:sz w:val="21"/>
          <w:szCs w:val="21"/>
        </w:rPr>
        <w:t xml:space="preserve">high-tech </w:t>
      </w:r>
      <w:r w:rsidR="00D54443">
        <w:rPr>
          <w:rFonts w:ascii="Verdana" w:hAnsi="Verdana"/>
          <w:color w:val="000000"/>
          <w:sz w:val="21"/>
          <w:szCs w:val="21"/>
        </w:rPr>
        <w:t>companies that</w:t>
      </w:r>
      <w:r w:rsidR="00EF1FD4">
        <w:rPr>
          <w:rFonts w:ascii="Verdana" w:hAnsi="Verdana"/>
          <w:color w:val="000000"/>
          <w:sz w:val="21"/>
          <w:szCs w:val="21"/>
        </w:rPr>
        <w:t xml:space="preserve"> are covered by this product.  This new AMETF diverts from the other listed ETPs on the JSE</w:t>
      </w:r>
      <w:r w:rsidR="00544530">
        <w:rPr>
          <w:rFonts w:ascii="Verdana" w:hAnsi="Verdana"/>
          <w:color w:val="000000"/>
          <w:sz w:val="21"/>
          <w:szCs w:val="21"/>
        </w:rPr>
        <w:t>,</w:t>
      </w:r>
      <w:r w:rsidR="00EF1FD4">
        <w:rPr>
          <w:rFonts w:ascii="Verdana" w:hAnsi="Verdana"/>
          <w:color w:val="000000"/>
          <w:sz w:val="21"/>
          <w:szCs w:val="21"/>
        </w:rPr>
        <w:t xml:space="preserve"> by allowing </w:t>
      </w:r>
      <w:r w:rsidR="00544530">
        <w:rPr>
          <w:rFonts w:ascii="Verdana" w:hAnsi="Verdana"/>
          <w:color w:val="000000"/>
          <w:sz w:val="21"/>
          <w:szCs w:val="21"/>
        </w:rPr>
        <w:t xml:space="preserve">for </w:t>
      </w:r>
      <w:r w:rsidR="00EF1FD4">
        <w:rPr>
          <w:rFonts w:ascii="Verdana" w:hAnsi="Verdana"/>
          <w:color w:val="000000"/>
          <w:sz w:val="21"/>
          <w:szCs w:val="21"/>
        </w:rPr>
        <w:t xml:space="preserve">the charge of 20% performance fee, if it outperforms the benchmark – the NYSE FANG index.  </w:t>
      </w:r>
    </w:p>
    <w:p w14:paraId="0BE69817" w14:textId="7C837260" w:rsidR="00EF1FD4" w:rsidRDefault="00EF1FD4" w:rsidP="00EF1FD4">
      <w:pPr>
        <w:spacing w:before="200" w:after="40" w:line="340" w:lineRule="atLeast"/>
        <w:jc w:val="both"/>
        <w:rPr>
          <w:rFonts w:ascii="Verdana" w:hAnsi="Verdana"/>
          <w:color w:val="000000"/>
          <w:sz w:val="21"/>
          <w:szCs w:val="21"/>
        </w:rPr>
      </w:pPr>
      <w:r>
        <w:rPr>
          <w:rFonts w:ascii="Verdana" w:hAnsi="Verdana"/>
          <w:b/>
          <w:bCs/>
          <w:color w:val="C00000"/>
          <w:sz w:val="21"/>
          <w:szCs w:val="21"/>
        </w:rPr>
        <w:t>1nvest</w:t>
      </w:r>
      <w:r w:rsidR="0035069F" w:rsidRPr="006C0C1F">
        <w:rPr>
          <w:rFonts w:ascii="Verdana" w:hAnsi="Verdana"/>
          <w:color w:val="C00000"/>
          <w:sz w:val="21"/>
          <w:szCs w:val="21"/>
        </w:rPr>
        <w:t xml:space="preserve"> </w:t>
      </w:r>
      <w:r w:rsidR="0035069F" w:rsidRPr="00944E04">
        <w:rPr>
          <w:rFonts w:ascii="Verdana" w:hAnsi="Verdana"/>
          <w:color w:val="000000"/>
          <w:sz w:val="21"/>
          <w:szCs w:val="21"/>
        </w:rPr>
        <w:t>–</w:t>
      </w:r>
      <w:r>
        <w:rPr>
          <w:rFonts w:ascii="Verdana" w:hAnsi="Verdana"/>
          <w:color w:val="000000"/>
          <w:sz w:val="21"/>
          <w:szCs w:val="21"/>
        </w:rPr>
        <w:t xml:space="preserve"> the rise in the gold price, from just over US$2 000 per ounce in early 2024 to over US$2 300 at present, </w:t>
      </w:r>
      <w:r w:rsidR="00544530">
        <w:rPr>
          <w:rFonts w:ascii="Verdana" w:hAnsi="Verdana"/>
          <w:color w:val="000000"/>
          <w:sz w:val="21"/>
          <w:szCs w:val="21"/>
        </w:rPr>
        <w:t xml:space="preserve">has </w:t>
      </w:r>
      <w:r>
        <w:rPr>
          <w:rFonts w:ascii="Verdana" w:hAnsi="Verdana"/>
          <w:color w:val="000000"/>
          <w:sz w:val="21"/>
          <w:szCs w:val="21"/>
        </w:rPr>
        <w:t xml:space="preserve">attracted investors to commodity ETFs </w:t>
      </w:r>
      <w:r w:rsidR="00544530">
        <w:rPr>
          <w:rFonts w:ascii="Verdana" w:hAnsi="Verdana"/>
          <w:color w:val="000000"/>
          <w:sz w:val="21"/>
          <w:szCs w:val="21"/>
        </w:rPr>
        <w:t xml:space="preserve">for </w:t>
      </w:r>
      <w:r>
        <w:rPr>
          <w:rFonts w:ascii="Verdana" w:hAnsi="Verdana"/>
          <w:color w:val="000000"/>
          <w:sz w:val="21"/>
          <w:szCs w:val="21"/>
        </w:rPr>
        <w:t xml:space="preserve">directly </w:t>
      </w:r>
      <w:r w:rsidR="00D54443">
        <w:rPr>
          <w:rFonts w:ascii="Verdana" w:hAnsi="Verdana"/>
          <w:color w:val="000000"/>
          <w:sz w:val="21"/>
          <w:szCs w:val="21"/>
        </w:rPr>
        <w:t>invest</w:t>
      </w:r>
      <w:r w:rsidR="00544530">
        <w:rPr>
          <w:rFonts w:ascii="Verdana" w:hAnsi="Verdana"/>
          <w:color w:val="000000"/>
          <w:sz w:val="21"/>
          <w:szCs w:val="21"/>
        </w:rPr>
        <w:t>ing</w:t>
      </w:r>
      <w:r w:rsidR="00D54443">
        <w:rPr>
          <w:rFonts w:ascii="Verdana" w:hAnsi="Verdana"/>
          <w:color w:val="000000"/>
          <w:sz w:val="21"/>
          <w:szCs w:val="21"/>
        </w:rPr>
        <w:t xml:space="preserve"> in</w:t>
      </w:r>
      <w:r>
        <w:rPr>
          <w:rFonts w:ascii="Verdana" w:hAnsi="Verdana"/>
          <w:color w:val="000000"/>
          <w:sz w:val="21"/>
          <w:szCs w:val="21"/>
        </w:rPr>
        <w:t xml:space="preserve"> gold bullion</w:t>
      </w:r>
      <w:r w:rsidR="00544530">
        <w:rPr>
          <w:rFonts w:ascii="Verdana" w:hAnsi="Verdana"/>
          <w:color w:val="000000"/>
          <w:sz w:val="21"/>
          <w:szCs w:val="21"/>
        </w:rPr>
        <w:t xml:space="preserve">.  </w:t>
      </w:r>
      <w:r>
        <w:rPr>
          <w:rFonts w:ascii="Verdana" w:hAnsi="Verdana"/>
          <w:color w:val="000000"/>
          <w:sz w:val="21"/>
          <w:szCs w:val="21"/>
        </w:rPr>
        <w:t xml:space="preserve">1nvest </w:t>
      </w:r>
      <w:r w:rsidR="00D54443">
        <w:rPr>
          <w:rFonts w:ascii="Verdana" w:hAnsi="Verdana"/>
          <w:color w:val="000000"/>
          <w:sz w:val="21"/>
          <w:szCs w:val="21"/>
        </w:rPr>
        <w:t>issued</w:t>
      </w:r>
      <w:r>
        <w:rPr>
          <w:rFonts w:ascii="Verdana" w:hAnsi="Verdana"/>
          <w:color w:val="000000"/>
          <w:sz w:val="21"/>
          <w:szCs w:val="21"/>
        </w:rPr>
        <w:t xml:space="preserve"> R629,2 million new securities in the 1nvest Gold ETF during the first 3 months of this year. </w:t>
      </w:r>
    </w:p>
    <w:p w14:paraId="1A2CAE4E" w14:textId="6595780D" w:rsidR="00EF1FD4" w:rsidRDefault="00EF1FD4" w:rsidP="00EF1FD4">
      <w:pPr>
        <w:spacing w:before="200" w:after="40" w:line="340" w:lineRule="atLeast"/>
        <w:jc w:val="both"/>
        <w:rPr>
          <w:rFonts w:ascii="Verdana" w:hAnsi="Verdana"/>
          <w:color w:val="000000"/>
          <w:sz w:val="21"/>
          <w:szCs w:val="21"/>
        </w:rPr>
      </w:pPr>
      <w:r>
        <w:rPr>
          <w:rFonts w:ascii="Verdana" w:hAnsi="Verdana"/>
          <w:color w:val="000000"/>
          <w:sz w:val="21"/>
          <w:szCs w:val="21"/>
        </w:rPr>
        <w:t xml:space="preserve">Strangely, NewGold, which also issues a gold bullion tracking ETF, failed to attract any new capital over the same period. </w:t>
      </w:r>
    </w:p>
    <w:p w14:paraId="4AD3DF66" w14:textId="59C7D073" w:rsidR="00EF1FD4" w:rsidRDefault="00EF1FD4" w:rsidP="00EF1FD4">
      <w:pPr>
        <w:spacing w:before="200" w:after="40" w:line="340" w:lineRule="atLeast"/>
        <w:jc w:val="both"/>
        <w:rPr>
          <w:rFonts w:ascii="Verdana" w:hAnsi="Verdana"/>
          <w:color w:val="000000"/>
          <w:sz w:val="21"/>
          <w:szCs w:val="21"/>
        </w:rPr>
      </w:pPr>
      <w:r>
        <w:rPr>
          <w:rFonts w:ascii="Verdana" w:hAnsi="Verdana"/>
          <w:color w:val="000000"/>
          <w:sz w:val="21"/>
          <w:szCs w:val="21"/>
        </w:rPr>
        <w:t>The 1nvest SA Property ETF (R130,7</w:t>
      </w:r>
      <w:r w:rsidR="004E0B1E">
        <w:rPr>
          <w:rFonts w:ascii="Verdana" w:hAnsi="Verdana"/>
          <w:color w:val="000000"/>
          <w:sz w:val="21"/>
          <w:szCs w:val="21"/>
        </w:rPr>
        <w:t xml:space="preserve"> million) and the 1nvest S&amp;P 500 ETF (R159,8 million) also issued significant new capital during the first quarter. </w:t>
      </w:r>
    </w:p>
    <w:p w14:paraId="3821A9D8" w14:textId="34C89DE2" w:rsidR="0035069F" w:rsidRDefault="004E0B1E" w:rsidP="0035069F">
      <w:pPr>
        <w:spacing w:before="200" w:after="40" w:line="320" w:lineRule="atLeast"/>
        <w:jc w:val="both"/>
        <w:rPr>
          <w:rFonts w:ascii="Verdana" w:hAnsi="Verdana"/>
          <w:color w:val="000000"/>
          <w:sz w:val="21"/>
          <w:szCs w:val="21"/>
        </w:rPr>
      </w:pPr>
      <w:r>
        <w:rPr>
          <w:rFonts w:ascii="Verdana" w:hAnsi="Verdana"/>
          <w:b/>
          <w:bCs/>
          <w:color w:val="C00000"/>
          <w:sz w:val="21"/>
          <w:szCs w:val="21"/>
        </w:rPr>
        <w:t>10X</w:t>
      </w:r>
      <w:r w:rsidRPr="006C0C1F">
        <w:rPr>
          <w:rFonts w:ascii="Verdana" w:hAnsi="Verdana"/>
          <w:color w:val="C00000"/>
          <w:sz w:val="21"/>
          <w:szCs w:val="21"/>
        </w:rPr>
        <w:t xml:space="preserve"> </w:t>
      </w:r>
      <w:r w:rsidRPr="00944E04">
        <w:rPr>
          <w:rFonts w:ascii="Verdana" w:hAnsi="Verdana"/>
          <w:color w:val="000000"/>
          <w:sz w:val="21"/>
          <w:szCs w:val="21"/>
        </w:rPr>
        <w:t>–</w:t>
      </w:r>
      <w:r>
        <w:rPr>
          <w:rFonts w:ascii="Verdana" w:hAnsi="Verdana"/>
          <w:color w:val="000000"/>
          <w:sz w:val="21"/>
          <w:szCs w:val="21"/>
        </w:rPr>
        <w:t xml:space="preserve"> the new Wealth Top 20 Capped ETF and the Wealth Next 40 Equally Weighted ETF, which gives access to the JSE’s </w:t>
      </w:r>
      <w:r w:rsidR="004247D9">
        <w:rPr>
          <w:rFonts w:ascii="Verdana" w:hAnsi="Verdana"/>
          <w:color w:val="000000"/>
          <w:sz w:val="21"/>
          <w:szCs w:val="21"/>
        </w:rPr>
        <w:t xml:space="preserve">twenty </w:t>
      </w:r>
      <w:r>
        <w:rPr>
          <w:rFonts w:ascii="Verdana" w:hAnsi="Verdana"/>
          <w:color w:val="000000"/>
          <w:sz w:val="21"/>
          <w:szCs w:val="21"/>
        </w:rPr>
        <w:t xml:space="preserve">largest cap companies and the next 40 companies, by market cap, on the JSE All Share, attracted steady new capital in early 2024.  Also issuing significant new </w:t>
      </w:r>
      <w:r w:rsidR="00D54443">
        <w:rPr>
          <w:rFonts w:ascii="Verdana" w:hAnsi="Verdana"/>
          <w:color w:val="000000"/>
          <w:sz w:val="21"/>
          <w:szCs w:val="21"/>
        </w:rPr>
        <w:t>securities</w:t>
      </w:r>
      <w:r>
        <w:rPr>
          <w:rFonts w:ascii="Verdana" w:hAnsi="Verdana"/>
          <w:color w:val="000000"/>
          <w:sz w:val="21"/>
          <w:szCs w:val="21"/>
        </w:rPr>
        <w:t xml:space="preserve"> was the 10X Total World (Global) ETF, which invests in both developed and emerging market stockmarkets.  </w:t>
      </w:r>
    </w:p>
    <w:p w14:paraId="2E46FCBB" w14:textId="202418BA" w:rsidR="004E0B1E" w:rsidRDefault="004E0B1E" w:rsidP="0035069F">
      <w:pPr>
        <w:spacing w:before="200" w:after="40" w:line="340" w:lineRule="atLeast"/>
        <w:jc w:val="both"/>
        <w:rPr>
          <w:rFonts w:ascii="Verdana" w:hAnsi="Verdana"/>
          <w:color w:val="000000"/>
          <w:sz w:val="21"/>
          <w:szCs w:val="21"/>
        </w:rPr>
      </w:pPr>
      <w:r>
        <w:rPr>
          <w:rFonts w:ascii="Verdana" w:hAnsi="Verdana"/>
          <w:b/>
          <w:bCs/>
          <w:color w:val="C00000"/>
          <w:sz w:val="21"/>
          <w:szCs w:val="21"/>
        </w:rPr>
        <w:t>Prescient</w:t>
      </w:r>
      <w:r w:rsidR="0035069F" w:rsidRPr="006C0C1F">
        <w:rPr>
          <w:rFonts w:ascii="Verdana" w:hAnsi="Verdana"/>
          <w:color w:val="C00000"/>
          <w:sz w:val="21"/>
          <w:szCs w:val="21"/>
        </w:rPr>
        <w:t xml:space="preserve"> </w:t>
      </w:r>
      <w:r w:rsidR="0035069F">
        <w:rPr>
          <w:rFonts w:ascii="Verdana" w:hAnsi="Verdana"/>
          <w:color w:val="000000"/>
          <w:sz w:val="21"/>
          <w:szCs w:val="21"/>
        </w:rPr>
        <w:t>–</w:t>
      </w:r>
      <w:r>
        <w:rPr>
          <w:rFonts w:ascii="Verdana" w:hAnsi="Verdana"/>
          <w:color w:val="000000"/>
          <w:sz w:val="21"/>
          <w:szCs w:val="21"/>
        </w:rPr>
        <w:t xml:space="preserve">as a newcomer </w:t>
      </w:r>
      <w:r w:rsidR="00D54443">
        <w:rPr>
          <w:rFonts w:ascii="Verdana" w:hAnsi="Verdana"/>
          <w:color w:val="000000"/>
          <w:sz w:val="21"/>
          <w:szCs w:val="21"/>
        </w:rPr>
        <w:t>to</w:t>
      </w:r>
      <w:r>
        <w:rPr>
          <w:rFonts w:ascii="Verdana" w:hAnsi="Verdana"/>
          <w:color w:val="000000"/>
          <w:sz w:val="21"/>
          <w:szCs w:val="21"/>
        </w:rPr>
        <w:t xml:space="preserve"> the ETP industry in South Africa, Prescient Management Company has been very active and now has 7 ETFs listed on the JSE, three of which are actively managed.  R616,5 million new </w:t>
      </w:r>
      <w:r w:rsidR="00D54443">
        <w:rPr>
          <w:rFonts w:ascii="Verdana" w:hAnsi="Verdana"/>
          <w:color w:val="000000"/>
          <w:sz w:val="21"/>
          <w:szCs w:val="21"/>
        </w:rPr>
        <w:t>securities</w:t>
      </w:r>
      <w:r>
        <w:rPr>
          <w:rFonts w:ascii="Verdana" w:hAnsi="Verdana"/>
          <w:color w:val="000000"/>
          <w:sz w:val="21"/>
          <w:szCs w:val="21"/>
        </w:rPr>
        <w:t xml:space="preserve"> were listed by Prescient in the first 3 months of 2024 and it is believed that a number of additional ETP products are in the pipeline.  </w:t>
      </w:r>
    </w:p>
    <w:p w14:paraId="5F331868" w14:textId="463C3E06" w:rsidR="004E0B1E" w:rsidRDefault="004E0B1E">
      <w:pPr>
        <w:rPr>
          <w:rFonts w:ascii="Verdana" w:hAnsi="Verdana"/>
          <w:color w:val="000000"/>
          <w:sz w:val="21"/>
          <w:szCs w:val="21"/>
        </w:rPr>
      </w:pPr>
      <w:r>
        <w:rPr>
          <w:rFonts w:ascii="Verdana" w:hAnsi="Verdana"/>
          <w:color w:val="000000"/>
          <w:sz w:val="21"/>
          <w:szCs w:val="21"/>
        </w:rPr>
        <w:br w:type="page"/>
      </w:r>
    </w:p>
    <w:p w14:paraId="102449C5" w14:textId="77777777" w:rsidR="004E0B1E" w:rsidRDefault="004E0B1E" w:rsidP="004247D9">
      <w:pPr>
        <w:spacing w:after="0" w:line="340" w:lineRule="atLeast"/>
        <w:jc w:val="both"/>
        <w:rPr>
          <w:rFonts w:ascii="Verdana" w:hAnsi="Verdana"/>
          <w:color w:val="000000"/>
          <w:sz w:val="21"/>
          <w:szCs w:val="21"/>
        </w:rPr>
      </w:pPr>
    </w:p>
    <w:p w14:paraId="4A78F7D7" w14:textId="6719CEDA" w:rsidR="004E0B1E" w:rsidRDefault="004E0B1E" w:rsidP="004247D9">
      <w:pPr>
        <w:spacing w:after="0" w:line="340" w:lineRule="atLeast"/>
        <w:jc w:val="both"/>
        <w:rPr>
          <w:rFonts w:ascii="Verdana" w:hAnsi="Verdana"/>
          <w:color w:val="000000"/>
          <w:sz w:val="21"/>
          <w:szCs w:val="21"/>
        </w:rPr>
      </w:pPr>
      <w:r>
        <w:rPr>
          <w:rFonts w:ascii="Verdana" w:hAnsi="Verdana"/>
          <w:b/>
          <w:bCs/>
          <w:color w:val="C00000"/>
          <w:sz w:val="21"/>
          <w:szCs w:val="21"/>
        </w:rPr>
        <w:t>Standard Bank</w:t>
      </w:r>
      <w:r w:rsidR="0035069F" w:rsidRPr="006C0C1F">
        <w:rPr>
          <w:rFonts w:ascii="Verdana" w:hAnsi="Verdana"/>
          <w:color w:val="C00000"/>
          <w:sz w:val="21"/>
          <w:szCs w:val="21"/>
        </w:rPr>
        <w:t xml:space="preserve"> </w:t>
      </w:r>
      <w:r w:rsidR="0035069F">
        <w:rPr>
          <w:rFonts w:ascii="Verdana" w:hAnsi="Verdana"/>
          <w:color w:val="000000"/>
          <w:sz w:val="21"/>
          <w:szCs w:val="21"/>
        </w:rPr>
        <w:t>–</w:t>
      </w:r>
      <w:r>
        <w:rPr>
          <w:rFonts w:ascii="Verdana" w:hAnsi="Verdana"/>
          <w:color w:val="000000"/>
          <w:sz w:val="21"/>
          <w:szCs w:val="21"/>
        </w:rPr>
        <w:t xml:space="preserve">issues Actively Managed Certificates (AMCs) under </w:t>
      </w:r>
      <w:r w:rsidR="00D54443">
        <w:rPr>
          <w:rFonts w:ascii="Verdana" w:hAnsi="Verdana"/>
          <w:color w:val="000000"/>
          <w:sz w:val="21"/>
          <w:szCs w:val="21"/>
        </w:rPr>
        <w:t>its</w:t>
      </w:r>
      <w:r>
        <w:rPr>
          <w:rFonts w:ascii="Verdana" w:hAnsi="Verdana"/>
          <w:color w:val="000000"/>
          <w:sz w:val="21"/>
          <w:szCs w:val="21"/>
        </w:rPr>
        <w:t xml:space="preserve"> balance sheet, which use a range of asset managers to manage the AMC </w:t>
      </w:r>
      <w:r w:rsidR="00D54443">
        <w:rPr>
          <w:rFonts w:ascii="Verdana" w:hAnsi="Verdana"/>
          <w:color w:val="000000"/>
          <w:sz w:val="21"/>
          <w:szCs w:val="21"/>
        </w:rPr>
        <w:t>portfolios</w:t>
      </w:r>
      <w:r>
        <w:rPr>
          <w:rFonts w:ascii="Verdana" w:hAnsi="Verdana"/>
          <w:color w:val="000000"/>
          <w:sz w:val="21"/>
          <w:szCs w:val="21"/>
        </w:rPr>
        <w:t xml:space="preserve"> listed.  One new product (AMC013) was issued by Standard Bank in January 2024, the Kudala Wealth Honey Badger AMC, which tracks an actively managed portfolio of global and local securities (R100 million).  </w:t>
      </w:r>
    </w:p>
    <w:p w14:paraId="4B1AD866" w14:textId="2D73D926" w:rsidR="00851336" w:rsidRDefault="004E0B1E" w:rsidP="0035069F">
      <w:pPr>
        <w:spacing w:before="200" w:after="40" w:line="340" w:lineRule="atLeast"/>
        <w:jc w:val="both"/>
        <w:rPr>
          <w:rFonts w:ascii="Verdana" w:hAnsi="Verdana"/>
          <w:color w:val="000000"/>
          <w:sz w:val="21"/>
          <w:szCs w:val="21"/>
        </w:rPr>
      </w:pPr>
      <w:r>
        <w:rPr>
          <w:rFonts w:ascii="Verdana" w:hAnsi="Verdana"/>
          <w:color w:val="000000"/>
          <w:sz w:val="21"/>
          <w:szCs w:val="21"/>
        </w:rPr>
        <w:t xml:space="preserve">The already listed AMC012, </w:t>
      </w:r>
      <w:r w:rsidR="004247D9">
        <w:rPr>
          <w:rFonts w:ascii="Verdana" w:hAnsi="Verdana"/>
          <w:color w:val="000000"/>
          <w:sz w:val="21"/>
          <w:szCs w:val="21"/>
        </w:rPr>
        <w:t xml:space="preserve">equity </w:t>
      </w:r>
      <w:r>
        <w:rPr>
          <w:rFonts w:ascii="Verdana" w:hAnsi="Verdana"/>
          <w:color w:val="000000"/>
          <w:sz w:val="21"/>
          <w:szCs w:val="21"/>
        </w:rPr>
        <w:t xml:space="preserve">global portfolio, managed by Nvest, issued a further R400 </w:t>
      </w:r>
      <w:r w:rsidR="00D54443">
        <w:rPr>
          <w:rFonts w:ascii="Verdana" w:hAnsi="Verdana"/>
          <w:color w:val="000000"/>
          <w:sz w:val="21"/>
          <w:szCs w:val="21"/>
        </w:rPr>
        <w:t>million</w:t>
      </w:r>
      <w:r>
        <w:rPr>
          <w:rFonts w:ascii="Verdana" w:hAnsi="Verdana"/>
          <w:color w:val="000000"/>
          <w:sz w:val="21"/>
          <w:szCs w:val="21"/>
        </w:rPr>
        <w:t xml:space="preserve"> of its securities.  </w:t>
      </w:r>
    </w:p>
    <w:p w14:paraId="790C35E5" w14:textId="3B4BA3F8" w:rsidR="00851336" w:rsidRDefault="00851336" w:rsidP="0035069F">
      <w:pPr>
        <w:spacing w:before="200" w:after="40" w:line="340" w:lineRule="atLeast"/>
        <w:jc w:val="both"/>
        <w:rPr>
          <w:rFonts w:ascii="Verdana" w:hAnsi="Verdana"/>
          <w:color w:val="000000"/>
          <w:sz w:val="21"/>
          <w:szCs w:val="21"/>
        </w:rPr>
      </w:pPr>
      <w:r>
        <w:rPr>
          <w:rFonts w:ascii="Verdana" w:hAnsi="Verdana"/>
          <w:b/>
          <w:bCs/>
          <w:color w:val="C00000"/>
          <w:sz w:val="21"/>
          <w:szCs w:val="21"/>
        </w:rPr>
        <w:t>UBS</w:t>
      </w:r>
      <w:r w:rsidR="0035069F" w:rsidRPr="006C0C1F">
        <w:rPr>
          <w:rFonts w:ascii="Verdana" w:hAnsi="Verdana"/>
          <w:color w:val="C00000"/>
          <w:sz w:val="21"/>
          <w:szCs w:val="21"/>
        </w:rPr>
        <w:t xml:space="preserve"> </w:t>
      </w:r>
      <w:r w:rsidR="0035069F">
        <w:rPr>
          <w:rFonts w:ascii="Verdana" w:hAnsi="Verdana"/>
          <w:color w:val="000000"/>
          <w:sz w:val="21"/>
          <w:szCs w:val="21"/>
        </w:rPr>
        <w:t>–</w:t>
      </w:r>
      <w:r>
        <w:rPr>
          <w:rFonts w:ascii="Verdana" w:hAnsi="Verdana"/>
          <w:color w:val="000000"/>
          <w:sz w:val="21"/>
          <w:szCs w:val="21"/>
        </w:rPr>
        <w:t xml:space="preserve"> the wide range of AMC and index tracking notes issued by UBS, often provide unique exposure to sectors of the global </w:t>
      </w:r>
      <w:r w:rsidR="004247D9">
        <w:rPr>
          <w:rFonts w:ascii="Verdana" w:hAnsi="Verdana"/>
          <w:color w:val="000000"/>
          <w:sz w:val="21"/>
          <w:szCs w:val="21"/>
        </w:rPr>
        <w:t xml:space="preserve">equity </w:t>
      </w:r>
      <w:r>
        <w:rPr>
          <w:rFonts w:ascii="Verdana" w:hAnsi="Verdana"/>
          <w:color w:val="000000"/>
          <w:sz w:val="21"/>
          <w:szCs w:val="21"/>
        </w:rPr>
        <w:t>market, particularly the high-tech sectors</w:t>
      </w:r>
      <w:r w:rsidR="004247D9">
        <w:rPr>
          <w:rFonts w:ascii="Verdana" w:hAnsi="Verdana"/>
          <w:color w:val="000000"/>
          <w:sz w:val="21"/>
          <w:szCs w:val="21"/>
        </w:rPr>
        <w:t>,</w:t>
      </w:r>
      <w:r>
        <w:rPr>
          <w:rFonts w:ascii="Verdana" w:hAnsi="Verdana"/>
          <w:color w:val="000000"/>
          <w:sz w:val="21"/>
          <w:szCs w:val="21"/>
        </w:rPr>
        <w:t xml:space="preserve"> and appear</w:t>
      </w:r>
      <w:r w:rsidR="004247D9">
        <w:rPr>
          <w:rFonts w:ascii="Verdana" w:hAnsi="Verdana"/>
          <w:color w:val="000000"/>
          <w:sz w:val="21"/>
          <w:szCs w:val="21"/>
        </w:rPr>
        <w:t>s</w:t>
      </w:r>
      <w:r>
        <w:rPr>
          <w:rFonts w:ascii="Verdana" w:hAnsi="Verdana"/>
          <w:color w:val="000000"/>
          <w:sz w:val="21"/>
          <w:szCs w:val="21"/>
        </w:rPr>
        <w:t xml:space="preserve"> to be attracting </w:t>
      </w:r>
      <w:r w:rsidR="00D54443">
        <w:rPr>
          <w:rFonts w:ascii="Verdana" w:hAnsi="Verdana"/>
          <w:color w:val="000000"/>
          <w:sz w:val="21"/>
          <w:szCs w:val="21"/>
        </w:rPr>
        <w:t>growing</w:t>
      </w:r>
      <w:r>
        <w:rPr>
          <w:rFonts w:ascii="Verdana" w:hAnsi="Verdana"/>
          <w:color w:val="000000"/>
          <w:sz w:val="21"/>
          <w:szCs w:val="21"/>
        </w:rPr>
        <w:t xml:space="preserve"> interest from investors. </w:t>
      </w:r>
    </w:p>
    <w:p w14:paraId="14E87898" w14:textId="389E0C3D" w:rsidR="0035069F" w:rsidRDefault="00851336" w:rsidP="0035069F">
      <w:pPr>
        <w:spacing w:before="200" w:after="40" w:line="340" w:lineRule="atLeast"/>
        <w:jc w:val="both"/>
        <w:rPr>
          <w:rFonts w:ascii="Verdana" w:hAnsi="Verdana"/>
          <w:color w:val="000000"/>
          <w:sz w:val="21"/>
          <w:szCs w:val="21"/>
        </w:rPr>
      </w:pPr>
      <w:r>
        <w:rPr>
          <w:rFonts w:ascii="Verdana" w:hAnsi="Verdana"/>
          <w:color w:val="000000"/>
          <w:sz w:val="21"/>
          <w:szCs w:val="21"/>
        </w:rPr>
        <w:t xml:space="preserve">The total market </w:t>
      </w:r>
      <w:r w:rsidR="00D54443">
        <w:rPr>
          <w:rFonts w:ascii="Verdana" w:hAnsi="Verdana"/>
          <w:color w:val="000000"/>
          <w:sz w:val="21"/>
          <w:szCs w:val="21"/>
        </w:rPr>
        <w:t>capitalisation</w:t>
      </w:r>
      <w:r>
        <w:rPr>
          <w:rFonts w:ascii="Verdana" w:hAnsi="Verdana"/>
          <w:color w:val="000000"/>
          <w:sz w:val="21"/>
          <w:szCs w:val="21"/>
        </w:rPr>
        <w:t xml:space="preserve"> of all 5</w:t>
      </w:r>
      <w:r w:rsidR="004247D9">
        <w:rPr>
          <w:rFonts w:ascii="Verdana" w:hAnsi="Verdana"/>
          <w:color w:val="000000"/>
          <w:sz w:val="21"/>
          <w:szCs w:val="21"/>
        </w:rPr>
        <w:t>5</w:t>
      </w:r>
      <w:r>
        <w:rPr>
          <w:rFonts w:ascii="Verdana" w:hAnsi="Verdana"/>
          <w:color w:val="000000"/>
          <w:sz w:val="21"/>
          <w:szCs w:val="21"/>
        </w:rPr>
        <w:t xml:space="preserve"> UBS notes </w:t>
      </w:r>
      <w:r w:rsidR="00D54443">
        <w:rPr>
          <w:rFonts w:ascii="Verdana" w:hAnsi="Verdana"/>
          <w:color w:val="000000"/>
          <w:sz w:val="21"/>
          <w:szCs w:val="21"/>
        </w:rPr>
        <w:t>listed</w:t>
      </w:r>
      <w:r>
        <w:rPr>
          <w:rFonts w:ascii="Verdana" w:hAnsi="Verdana"/>
          <w:color w:val="000000"/>
          <w:sz w:val="21"/>
          <w:szCs w:val="21"/>
        </w:rPr>
        <w:t xml:space="preserve"> on the JSE n</w:t>
      </w:r>
      <w:r w:rsidR="004247D9">
        <w:rPr>
          <w:rFonts w:ascii="Verdana" w:hAnsi="Verdana"/>
          <w:color w:val="000000"/>
          <w:sz w:val="21"/>
          <w:szCs w:val="21"/>
        </w:rPr>
        <w:t>o</w:t>
      </w:r>
      <w:r>
        <w:rPr>
          <w:rFonts w:ascii="Verdana" w:hAnsi="Verdana"/>
          <w:color w:val="000000"/>
          <w:sz w:val="21"/>
          <w:szCs w:val="21"/>
        </w:rPr>
        <w:t xml:space="preserve">w </w:t>
      </w:r>
      <w:r w:rsidR="004247D9">
        <w:rPr>
          <w:rFonts w:ascii="Verdana" w:hAnsi="Verdana"/>
          <w:color w:val="000000"/>
          <w:sz w:val="21"/>
          <w:szCs w:val="21"/>
        </w:rPr>
        <w:t xml:space="preserve">amounts to </w:t>
      </w:r>
      <w:r>
        <w:rPr>
          <w:rFonts w:ascii="Verdana" w:hAnsi="Verdana"/>
          <w:color w:val="000000"/>
          <w:sz w:val="21"/>
          <w:szCs w:val="21"/>
        </w:rPr>
        <w:t xml:space="preserve">R9 976,6 </w:t>
      </w:r>
      <w:r w:rsidR="00D54443">
        <w:rPr>
          <w:rFonts w:ascii="Verdana" w:hAnsi="Verdana"/>
          <w:color w:val="000000"/>
          <w:sz w:val="21"/>
          <w:szCs w:val="21"/>
        </w:rPr>
        <w:t>million</w:t>
      </w:r>
      <w:r>
        <w:rPr>
          <w:rFonts w:ascii="Verdana" w:hAnsi="Verdana"/>
          <w:color w:val="000000"/>
          <w:sz w:val="21"/>
          <w:szCs w:val="21"/>
        </w:rPr>
        <w:t>, which makes it the 6</w:t>
      </w:r>
      <w:r w:rsidRPr="00851336">
        <w:rPr>
          <w:rFonts w:ascii="Verdana" w:hAnsi="Verdana"/>
          <w:color w:val="000000"/>
          <w:sz w:val="21"/>
          <w:szCs w:val="21"/>
          <w:vertAlign w:val="superscript"/>
        </w:rPr>
        <w:t>th</w:t>
      </w:r>
      <w:r>
        <w:rPr>
          <w:rFonts w:ascii="Verdana" w:hAnsi="Verdana"/>
          <w:color w:val="000000"/>
          <w:sz w:val="21"/>
          <w:szCs w:val="21"/>
        </w:rPr>
        <w:t xml:space="preserve"> largest issuing house of ETPs on the JSE.  </w:t>
      </w:r>
      <w:r w:rsidR="0035069F">
        <w:rPr>
          <w:rFonts w:ascii="Verdana" w:hAnsi="Verdana"/>
          <w:color w:val="000000"/>
          <w:sz w:val="21"/>
          <w:szCs w:val="21"/>
        </w:rPr>
        <w:t xml:space="preserve">. </w:t>
      </w:r>
    </w:p>
    <w:p w14:paraId="4DB4094A" w14:textId="77777777" w:rsidR="00AF4229" w:rsidRDefault="00AF4229" w:rsidP="00AF4229">
      <w:pPr>
        <w:pBdr>
          <w:bottom w:val="single" w:sz="12" w:space="1" w:color="C00000"/>
        </w:pBdr>
        <w:rPr>
          <w:rFonts w:ascii="Verdana" w:hAnsi="Verdana"/>
          <w:b/>
          <w:bCs/>
          <w:color w:val="C00000"/>
        </w:rPr>
      </w:pPr>
    </w:p>
    <w:p w14:paraId="4D8B79D7" w14:textId="77777777" w:rsidR="00851336" w:rsidRDefault="00851336" w:rsidP="00851336">
      <w:pPr>
        <w:spacing w:after="0" w:line="360" w:lineRule="atLeast"/>
        <w:rPr>
          <w:rFonts w:ascii="Verdana" w:hAnsi="Verdana"/>
          <w:b/>
          <w:bCs/>
          <w:color w:val="C00000"/>
          <w:sz w:val="21"/>
          <w:szCs w:val="21"/>
        </w:rPr>
      </w:pPr>
    </w:p>
    <w:p w14:paraId="3094944C" w14:textId="7ACDFA94" w:rsidR="00F13A0B" w:rsidRPr="00602DDF" w:rsidRDefault="00602DDF" w:rsidP="00851336">
      <w:pPr>
        <w:spacing w:after="0" w:line="360" w:lineRule="atLeast"/>
        <w:rPr>
          <w:rFonts w:ascii="Verdana" w:hAnsi="Verdana"/>
          <w:color w:val="000000" w:themeColor="text1"/>
          <w:sz w:val="21"/>
          <w:szCs w:val="21"/>
        </w:rPr>
      </w:pPr>
      <w:r>
        <w:rPr>
          <w:rFonts w:ascii="Verdana" w:hAnsi="Verdana"/>
          <w:b/>
          <w:bCs/>
          <w:color w:val="C00000"/>
          <w:sz w:val="21"/>
          <w:szCs w:val="21"/>
        </w:rPr>
        <w:t>Note:</w:t>
      </w:r>
      <w:r>
        <w:rPr>
          <w:rFonts w:ascii="Verdana" w:hAnsi="Verdana"/>
          <w:color w:val="000000" w:themeColor="text1"/>
          <w:sz w:val="21"/>
          <w:szCs w:val="21"/>
        </w:rPr>
        <w:t xml:space="preserve"> full details for each Exchange Traded </w:t>
      </w:r>
      <w:r w:rsidR="00FE5D24">
        <w:rPr>
          <w:rFonts w:ascii="Verdana" w:hAnsi="Verdana"/>
          <w:color w:val="000000" w:themeColor="text1"/>
          <w:sz w:val="21"/>
          <w:szCs w:val="21"/>
        </w:rPr>
        <w:t>Product</w:t>
      </w:r>
      <w:r>
        <w:rPr>
          <w:rFonts w:ascii="Verdana" w:hAnsi="Verdana"/>
          <w:color w:val="000000" w:themeColor="text1"/>
          <w:sz w:val="21"/>
          <w:szCs w:val="21"/>
        </w:rPr>
        <w:t xml:space="preserve"> </w:t>
      </w:r>
      <w:r w:rsidR="00FE5D24">
        <w:rPr>
          <w:rFonts w:ascii="Verdana" w:hAnsi="Verdana"/>
          <w:color w:val="000000" w:themeColor="text1"/>
          <w:sz w:val="21"/>
          <w:szCs w:val="21"/>
        </w:rPr>
        <w:t>is</w:t>
      </w:r>
      <w:r>
        <w:rPr>
          <w:rFonts w:ascii="Verdana" w:hAnsi="Verdana"/>
          <w:color w:val="000000" w:themeColor="text1"/>
          <w:sz w:val="21"/>
          <w:szCs w:val="21"/>
        </w:rPr>
        <w:t xml:space="preserve"> available on the quarterly reports available on the etfSA website: </w:t>
      </w:r>
      <w:hyperlink r:id="rId10" w:history="1">
        <w:r w:rsidRPr="00CF484B">
          <w:rPr>
            <w:rStyle w:val="Hyperlink"/>
            <w:rFonts w:ascii="Verdana" w:hAnsi="Verdana"/>
            <w:sz w:val="21"/>
            <w:szCs w:val="21"/>
          </w:rPr>
          <w:t>www.etfsa.co.za</w:t>
        </w:r>
      </w:hyperlink>
      <w:r>
        <w:rPr>
          <w:rFonts w:ascii="Verdana" w:hAnsi="Verdana"/>
          <w:color w:val="000000" w:themeColor="text1"/>
          <w:sz w:val="21"/>
          <w:szCs w:val="21"/>
        </w:rPr>
        <w:t xml:space="preserve">: </w:t>
      </w:r>
    </w:p>
    <w:p w14:paraId="49F297F9" w14:textId="1ED10A64" w:rsidR="00F13A0B" w:rsidRDefault="00F13A0B" w:rsidP="008156F5">
      <w:pPr>
        <w:spacing w:after="0" w:line="280" w:lineRule="atLeast"/>
        <w:jc w:val="both"/>
        <w:rPr>
          <w:rFonts w:ascii="Verdana" w:hAnsi="Verdana"/>
          <w:sz w:val="21"/>
          <w:szCs w:val="21"/>
        </w:rPr>
      </w:pPr>
    </w:p>
    <w:p w14:paraId="54885B65" w14:textId="0D6C2976" w:rsidR="00602DDF" w:rsidRDefault="00602DDF" w:rsidP="008156F5">
      <w:pPr>
        <w:pStyle w:val="ListParagraph"/>
        <w:numPr>
          <w:ilvl w:val="0"/>
          <w:numId w:val="17"/>
        </w:numPr>
        <w:spacing w:after="0" w:line="280" w:lineRule="atLeast"/>
        <w:jc w:val="both"/>
        <w:rPr>
          <w:rFonts w:ascii="Verdana" w:hAnsi="Verdana"/>
          <w:sz w:val="21"/>
          <w:szCs w:val="21"/>
        </w:rPr>
      </w:pPr>
      <w:r>
        <w:rPr>
          <w:rFonts w:ascii="Verdana" w:hAnsi="Verdana"/>
          <w:sz w:val="21"/>
          <w:szCs w:val="21"/>
        </w:rPr>
        <w:t>All South African ETFs</w:t>
      </w:r>
      <w:r w:rsidR="005D7F7B">
        <w:rPr>
          <w:rFonts w:ascii="Verdana" w:hAnsi="Verdana"/>
          <w:sz w:val="21"/>
          <w:szCs w:val="21"/>
        </w:rPr>
        <w:t>,</w:t>
      </w:r>
      <w:r>
        <w:rPr>
          <w:rFonts w:ascii="Verdana" w:hAnsi="Verdana"/>
          <w:sz w:val="21"/>
          <w:szCs w:val="21"/>
        </w:rPr>
        <w:t xml:space="preserve"> ETNs</w:t>
      </w:r>
      <w:r w:rsidR="005D7F7B">
        <w:rPr>
          <w:rFonts w:ascii="Verdana" w:hAnsi="Verdana"/>
          <w:sz w:val="21"/>
          <w:szCs w:val="21"/>
        </w:rPr>
        <w:t xml:space="preserve"> &amp; AMCs</w:t>
      </w:r>
      <w:r>
        <w:rPr>
          <w:rFonts w:ascii="Verdana" w:hAnsi="Verdana"/>
          <w:sz w:val="21"/>
          <w:szCs w:val="21"/>
        </w:rPr>
        <w:t xml:space="preserve"> – Market Capitalisation </w:t>
      </w:r>
      <w:r w:rsidR="00A37F02">
        <w:rPr>
          <w:rFonts w:ascii="Verdana" w:hAnsi="Verdana"/>
          <w:sz w:val="21"/>
          <w:szCs w:val="21"/>
        </w:rPr>
        <w:t>Totals</w:t>
      </w:r>
      <w:r>
        <w:rPr>
          <w:rFonts w:ascii="Verdana" w:hAnsi="Verdana"/>
          <w:sz w:val="21"/>
          <w:szCs w:val="21"/>
        </w:rPr>
        <w:t xml:space="preserve"> – December 20</w:t>
      </w:r>
      <w:r w:rsidR="00580F19">
        <w:rPr>
          <w:rFonts w:ascii="Verdana" w:hAnsi="Verdana"/>
          <w:sz w:val="21"/>
          <w:szCs w:val="21"/>
        </w:rPr>
        <w:t>13</w:t>
      </w:r>
      <w:r>
        <w:rPr>
          <w:rFonts w:ascii="Verdana" w:hAnsi="Verdana"/>
          <w:sz w:val="21"/>
          <w:szCs w:val="21"/>
        </w:rPr>
        <w:t xml:space="preserve"> to </w:t>
      </w:r>
      <w:r w:rsidR="00851336">
        <w:rPr>
          <w:rFonts w:ascii="Verdana" w:hAnsi="Verdana"/>
          <w:sz w:val="21"/>
          <w:szCs w:val="21"/>
        </w:rPr>
        <w:t>March 2024</w:t>
      </w:r>
      <w:r>
        <w:rPr>
          <w:rFonts w:ascii="Verdana" w:hAnsi="Verdana"/>
          <w:sz w:val="21"/>
          <w:szCs w:val="21"/>
        </w:rPr>
        <w:t xml:space="preserve">. </w:t>
      </w:r>
    </w:p>
    <w:p w14:paraId="687B4DFB" w14:textId="77777777" w:rsidR="0025163D" w:rsidRDefault="0025163D" w:rsidP="008156F5">
      <w:pPr>
        <w:pStyle w:val="ListParagraph"/>
        <w:spacing w:after="0" w:line="280" w:lineRule="atLeast"/>
        <w:jc w:val="both"/>
        <w:rPr>
          <w:rFonts w:ascii="Verdana" w:hAnsi="Verdana"/>
          <w:sz w:val="21"/>
          <w:szCs w:val="21"/>
        </w:rPr>
      </w:pPr>
    </w:p>
    <w:p w14:paraId="045E74ED" w14:textId="0DD9BB8C" w:rsidR="00602DDF" w:rsidRPr="00602DDF" w:rsidRDefault="00602DDF" w:rsidP="008156F5">
      <w:pPr>
        <w:pStyle w:val="ListParagraph"/>
        <w:numPr>
          <w:ilvl w:val="0"/>
          <w:numId w:val="17"/>
        </w:numPr>
        <w:spacing w:after="0" w:line="280" w:lineRule="atLeast"/>
        <w:jc w:val="both"/>
        <w:rPr>
          <w:rFonts w:ascii="Verdana" w:hAnsi="Verdana"/>
          <w:sz w:val="21"/>
          <w:szCs w:val="21"/>
        </w:rPr>
      </w:pPr>
      <w:r>
        <w:rPr>
          <w:rFonts w:ascii="Verdana" w:hAnsi="Verdana"/>
          <w:sz w:val="21"/>
          <w:szCs w:val="21"/>
        </w:rPr>
        <w:t>ET</w:t>
      </w:r>
      <w:r w:rsidR="005D7F7B">
        <w:rPr>
          <w:rFonts w:ascii="Verdana" w:hAnsi="Verdana"/>
          <w:sz w:val="21"/>
          <w:szCs w:val="21"/>
        </w:rPr>
        <w:t>P</w:t>
      </w:r>
      <w:r>
        <w:rPr>
          <w:rFonts w:ascii="Verdana" w:hAnsi="Verdana"/>
          <w:sz w:val="21"/>
          <w:szCs w:val="21"/>
        </w:rPr>
        <w:t xml:space="preserve"> survey – Securities in Issue and New Capital Raised/Redeemed (for period ended </w:t>
      </w:r>
      <w:r w:rsidR="00E61ABF">
        <w:rPr>
          <w:rFonts w:ascii="Verdana" w:hAnsi="Verdana"/>
          <w:sz w:val="21"/>
          <w:szCs w:val="21"/>
        </w:rPr>
        <w:t>2</w:t>
      </w:r>
      <w:r w:rsidR="00851336">
        <w:rPr>
          <w:rFonts w:ascii="Verdana" w:hAnsi="Verdana"/>
          <w:sz w:val="21"/>
          <w:szCs w:val="21"/>
        </w:rPr>
        <w:t>8</w:t>
      </w:r>
      <w:r>
        <w:rPr>
          <w:rFonts w:ascii="Verdana" w:hAnsi="Verdana"/>
          <w:sz w:val="21"/>
          <w:szCs w:val="21"/>
        </w:rPr>
        <w:t xml:space="preserve"> </w:t>
      </w:r>
      <w:r w:rsidR="00851336">
        <w:rPr>
          <w:rFonts w:ascii="Verdana" w:hAnsi="Verdana"/>
          <w:sz w:val="21"/>
          <w:szCs w:val="21"/>
        </w:rPr>
        <w:t>March 2024</w:t>
      </w:r>
      <w:r>
        <w:rPr>
          <w:rFonts w:ascii="Verdana" w:hAnsi="Verdana"/>
          <w:sz w:val="21"/>
          <w:szCs w:val="21"/>
        </w:rPr>
        <w:t xml:space="preserve">). </w:t>
      </w:r>
    </w:p>
    <w:p w14:paraId="542E835E" w14:textId="77777777" w:rsidR="001470DA" w:rsidRDefault="001470DA" w:rsidP="008156F5">
      <w:pPr>
        <w:pBdr>
          <w:bottom w:val="single" w:sz="12" w:space="1" w:color="C00000"/>
        </w:pBdr>
        <w:spacing w:after="0" w:line="280" w:lineRule="atLeast"/>
        <w:jc w:val="both"/>
        <w:rPr>
          <w:rFonts w:ascii="Verdana" w:hAnsi="Verdana"/>
          <w:sz w:val="21"/>
          <w:szCs w:val="21"/>
        </w:rPr>
      </w:pPr>
    </w:p>
    <w:p w14:paraId="5E44360E" w14:textId="77777777" w:rsidR="00AF4229" w:rsidRDefault="00AF4229" w:rsidP="00DB4A11">
      <w:pPr>
        <w:spacing w:after="0" w:line="320" w:lineRule="atLeast"/>
        <w:jc w:val="both"/>
        <w:rPr>
          <w:rFonts w:ascii="Verdana" w:hAnsi="Verdana"/>
          <w:sz w:val="21"/>
          <w:szCs w:val="21"/>
        </w:rPr>
      </w:pPr>
    </w:p>
    <w:p w14:paraId="5766412D" w14:textId="1F70D688" w:rsidR="0048656A" w:rsidRDefault="00DA4A8E" w:rsidP="00DA4A8E">
      <w:pPr>
        <w:spacing w:after="0" w:line="320" w:lineRule="atLeast"/>
        <w:jc w:val="center"/>
        <w:rPr>
          <w:rFonts w:ascii="Verdana" w:hAnsi="Verdana"/>
          <w:sz w:val="21"/>
          <w:szCs w:val="21"/>
        </w:rPr>
      </w:pPr>
      <w:r>
        <w:rPr>
          <w:rFonts w:ascii="Verdana" w:hAnsi="Verdana"/>
          <w:noProof/>
          <w:sz w:val="21"/>
          <w:szCs w:val="21"/>
        </w:rPr>
        <w:drawing>
          <wp:inline distT="0" distB="0" distL="0" distR="0" wp14:anchorId="46E2E7DD" wp14:editId="09E5D591">
            <wp:extent cx="5943600" cy="1485900"/>
            <wp:effectExtent l="0" t="0" r="0" b="0"/>
            <wp:docPr id="8" name="Picture 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943600" cy="1485900"/>
                    </a:xfrm>
                    <a:prstGeom prst="rect">
                      <a:avLst/>
                    </a:prstGeom>
                  </pic:spPr>
                </pic:pic>
              </a:graphicData>
            </a:graphic>
          </wp:inline>
        </w:drawing>
      </w:r>
    </w:p>
    <w:p w14:paraId="5B45E591" w14:textId="6E75A140" w:rsidR="00A9509E" w:rsidRDefault="00A9509E" w:rsidP="00DB4A11">
      <w:pPr>
        <w:spacing w:after="0" w:line="320" w:lineRule="atLeast"/>
        <w:jc w:val="both"/>
        <w:rPr>
          <w:rFonts w:ascii="Verdana" w:hAnsi="Verdana"/>
          <w:sz w:val="21"/>
          <w:szCs w:val="21"/>
        </w:rPr>
      </w:pPr>
    </w:p>
    <w:p w14:paraId="31B7FFA0" w14:textId="798E2CD9" w:rsidR="00561B5C" w:rsidRPr="00AF4229" w:rsidRDefault="00D60E6B" w:rsidP="004247D9">
      <w:pPr>
        <w:spacing w:before="240" w:after="0" w:line="320" w:lineRule="atLeast"/>
        <w:jc w:val="center"/>
        <w:rPr>
          <w:rStyle w:val="Hyperlink"/>
          <w:rFonts w:ascii="Verdana" w:hAnsi="Verdana"/>
          <w:b/>
          <w:bCs/>
          <w:color w:val="C00000"/>
          <w:sz w:val="32"/>
          <w:szCs w:val="32"/>
          <w:u w:val="none"/>
        </w:rPr>
      </w:pPr>
      <w:hyperlink r:id="rId12" w:history="1">
        <w:r w:rsidR="00C43C49" w:rsidRPr="00AF4229">
          <w:rPr>
            <w:rStyle w:val="Hyperlink"/>
            <w:rFonts w:ascii="Verdana" w:hAnsi="Verdana"/>
            <w:b/>
            <w:bCs/>
            <w:color w:val="C00000"/>
            <w:sz w:val="32"/>
            <w:szCs w:val="32"/>
            <w:u w:val="none"/>
          </w:rPr>
          <w:t>www.etfsa.co.za</w:t>
        </w:r>
      </w:hyperlink>
    </w:p>
    <w:p w14:paraId="302EE78E" w14:textId="77777777" w:rsidR="007D7A8F" w:rsidRDefault="007D7A8F" w:rsidP="00DB4A11">
      <w:pPr>
        <w:spacing w:after="0" w:line="320" w:lineRule="atLeast"/>
        <w:jc w:val="both"/>
        <w:rPr>
          <w:rFonts w:ascii="Verdana" w:hAnsi="Verdana"/>
          <w:sz w:val="16"/>
          <w:szCs w:val="16"/>
        </w:rPr>
      </w:pPr>
    </w:p>
    <w:p w14:paraId="73CA6972" w14:textId="77777777" w:rsidR="007F321D" w:rsidRPr="008156F5" w:rsidRDefault="007F321D" w:rsidP="00DB4A11">
      <w:pPr>
        <w:spacing w:after="0" w:line="320" w:lineRule="atLeast"/>
        <w:jc w:val="both"/>
        <w:rPr>
          <w:rFonts w:ascii="Verdana" w:hAnsi="Verdana"/>
          <w:sz w:val="16"/>
          <w:szCs w:val="16"/>
        </w:rPr>
      </w:pPr>
    </w:p>
    <w:p w14:paraId="348057A5" w14:textId="77777777" w:rsidR="00C6212D" w:rsidRPr="008156F5" w:rsidRDefault="00C6212D" w:rsidP="00B53F4B">
      <w:pPr>
        <w:pBdr>
          <w:top w:val="single" w:sz="4" w:space="1" w:color="auto"/>
        </w:pBdr>
        <w:spacing w:after="0" w:line="240" w:lineRule="auto"/>
        <w:jc w:val="both"/>
        <w:rPr>
          <w:sz w:val="14"/>
          <w:szCs w:val="14"/>
          <w:lang w:eastAsia="en-ZA"/>
        </w:rPr>
      </w:pPr>
      <w:r w:rsidRPr="008156F5">
        <w:rPr>
          <w:rFonts w:ascii="Arial" w:hAnsi="Arial"/>
          <w:b/>
          <w:i/>
          <w:color w:val="0F0D35"/>
          <w:sz w:val="14"/>
          <w:szCs w:val="14"/>
        </w:rPr>
        <w:t xml:space="preserve">Disclaimer: </w:t>
      </w:r>
      <w:r w:rsidRPr="008156F5">
        <w:rPr>
          <w:rFonts w:ascii="Arial" w:hAnsi="Arial"/>
          <w:color w:val="000000"/>
          <w:sz w:val="14"/>
          <w:szCs w:val="14"/>
          <w:shd w:val="clear" w:color="auto" w:fill="FFFFFF"/>
          <w:lang w:eastAsia="en-ZA"/>
        </w:rPr>
        <w:t>The Exchange Traded Products (ETPs) contained herein are mainly Collective Investment Schemes in Securities (CIS) and other listed securities which are generally medium to long-term investments that contain elements of risk and can be affected by market values, interest rates, exchange rates, volatility, dividend yields and issuer credit ratings. ETPs are listed on the Johannesburg, or other Stock Exchanges, and trade at ruling prices on such Exchanges.</w:t>
      </w:r>
    </w:p>
    <w:p w14:paraId="3AAF1E99" w14:textId="341D3584" w:rsidR="00C6212D" w:rsidRPr="008156F5" w:rsidRDefault="00C6212D" w:rsidP="00B53F4B">
      <w:pPr>
        <w:pBdr>
          <w:bottom w:val="single" w:sz="4" w:space="1" w:color="auto"/>
        </w:pBdr>
        <w:shd w:val="clear" w:color="auto" w:fill="FFFFFF"/>
        <w:spacing w:after="0" w:line="240" w:lineRule="auto"/>
        <w:jc w:val="both"/>
        <w:rPr>
          <w:rFonts w:ascii="Arial" w:hAnsi="Arial"/>
          <w:color w:val="000000"/>
          <w:sz w:val="14"/>
          <w:szCs w:val="14"/>
          <w:lang w:eastAsia="en-ZA"/>
        </w:rPr>
      </w:pPr>
      <w:r w:rsidRPr="008156F5">
        <w:rPr>
          <w:rFonts w:ascii="Arial" w:hAnsi="Arial"/>
          <w:color w:val="000000"/>
          <w:sz w:val="14"/>
          <w:szCs w:val="14"/>
          <w:lang w:eastAsia="en-ZA"/>
        </w:rPr>
        <w:t>The price of ETPs can go up as well as down and past performance is not necessarily a guide to the future. The ETP's herein are listed on the Johannesburg Stock Exchange Limited and trading in ETP securities will incur trading and settlement costs. ETF securities are traded at ruling prices and can engage in scrip lending.</w:t>
      </w:r>
    </w:p>
    <w:p w14:paraId="6B359C43" w14:textId="77777777" w:rsidR="00C6212D" w:rsidRPr="008156F5" w:rsidRDefault="00C6212D" w:rsidP="00B53F4B">
      <w:pPr>
        <w:pBdr>
          <w:bottom w:val="single" w:sz="4" w:space="1" w:color="auto"/>
        </w:pBdr>
        <w:shd w:val="clear" w:color="auto" w:fill="FFFFFF"/>
        <w:spacing w:after="0" w:line="240" w:lineRule="auto"/>
        <w:jc w:val="both"/>
        <w:rPr>
          <w:rFonts w:ascii="Arial" w:hAnsi="Arial"/>
          <w:color w:val="000000"/>
          <w:sz w:val="14"/>
          <w:szCs w:val="14"/>
          <w:lang w:eastAsia="en-ZA"/>
        </w:rPr>
      </w:pPr>
      <w:r w:rsidRPr="008156F5">
        <w:rPr>
          <w:rFonts w:ascii="Arial" w:hAnsi="Arial"/>
          <w:color w:val="000000"/>
          <w:sz w:val="14"/>
          <w:szCs w:val="14"/>
          <w:lang w:eastAsia="en-ZA"/>
        </w:rPr>
        <w:t>The information and opinions provided herein are of a general nature and do not constitute investment advice. Whilst every care has been taken, no representation, warranty or undertaking, expressed or implied, is given as to the accuracy or completeness thereof.</w:t>
      </w:r>
    </w:p>
    <w:p w14:paraId="02B89787" w14:textId="179796E9" w:rsidR="00C6212D" w:rsidRPr="008156F5" w:rsidRDefault="00C6212D" w:rsidP="00B53F4B">
      <w:pPr>
        <w:pBdr>
          <w:bottom w:val="single" w:sz="4" w:space="1" w:color="auto"/>
        </w:pBdr>
        <w:shd w:val="clear" w:color="auto" w:fill="FFFFFF"/>
        <w:spacing w:after="0" w:line="240" w:lineRule="auto"/>
        <w:jc w:val="both"/>
        <w:rPr>
          <w:rFonts w:ascii="Arial" w:hAnsi="Arial"/>
          <w:color w:val="000000"/>
          <w:sz w:val="14"/>
          <w:szCs w:val="14"/>
          <w:lang w:eastAsia="en-ZA"/>
        </w:rPr>
      </w:pPr>
      <w:r w:rsidRPr="008156F5">
        <w:rPr>
          <w:rFonts w:ascii="Arial" w:hAnsi="Arial"/>
          <w:color w:val="000000"/>
          <w:sz w:val="14"/>
          <w:szCs w:val="14"/>
          <w:lang w:eastAsia="en-ZA"/>
        </w:rPr>
        <w:t xml:space="preserve">etfSA.co.za is managed by M F Brown, who is a registered financial services provider (FSP No. 39217). M F Brown has Professional Indemnity Insurance as required by FAIS. The etfSA </w:t>
      </w:r>
      <w:r w:rsidR="00CD6927" w:rsidRPr="008156F5">
        <w:rPr>
          <w:rFonts w:ascii="Arial" w:hAnsi="Arial"/>
          <w:color w:val="000000"/>
          <w:sz w:val="14"/>
          <w:szCs w:val="14"/>
          <w:lang w:eastAsia="en-ZA"/>
        </w:rPr>
        <w:t>Portfolio Management Company</w:t>
      </w:r>
      <w:r w:rsidRPr="008156F5">
        <w:rPr>
          <w:rFonts w:ascii="Arial" w:hAnsi="Arial"/>
          <w:color w:val="000000"/>
          <w:sz w:val="14"/>
          <w:szCs w:val="14"/>
          <w:lang w:eastAsia="en-ZA"/>
        </w:rPr>
        <w:t xml:space="preserve"> (Pty) Ltd (FSP No </w:t>
      </w:r>
      <w:r w:rsidR="00CD6927" w:rsidRPr="008156F5">
        <w:rPr>
          <w:rFonts w:ascii="Arial" w:hAnsi="Arial"/>
          <w:color w:val="000000"/>
          <w:sz w:val="14"/>
          <w:szCs w:val="14"/>
          <w:lang w:eastAsia="en-ZA"/>
        </w:rPr>
        <w:t>5</w:t>
      </w:r>
      <w:r w:rsidR="00CC181B" w:rsidRPr="008156F5">
        <w:rPr>
          <w:rFonts w:ascii="Arial" w:hAnsi="Arial"/>
          <w:color w:val="000000"/>
          <w:sz w:val="14"/>
          <w:szCs w:val="14"/>
          <w:lang w:eastAsia="en-ZA"/>
        </w:rPr>
        <w:t>23</w:t>
      </w:r>
      <w:r w:rsidR="00CD6927" w:rsidRPr="008156F5">
        <w:rPr>
          <w:rFonts w:ascii="Arial" w:hAnsi="Arial"/>
          <w:color w:val="000000"/>
          <w:sz w:val="14"/>
          <w:szCs w:val="14"/>
          <w:lang w:eastAsia="en-ZA"/>
        </w:rPr>
        <w:t>14</w:t>
      </w:r>
      <w:r w:rsidRPr="008156F5">
        <w:rPr>
          <w:rFonts w:ascii="Arial" w:hAnsi="Arial"/>
          <w:color w:val="000000"/>
          <w:sz w:val="14"/>
          <w:szCs w:val="14"/>
          <w:lang w:eastAsia="en-ZA"/>
        </w:rPr>
        <w:t>) provides asset management as well as financial intermediary and advice services. It uses Exchange Traded Products to construct portfolios for use in Retirement Annuity, Tax Free and Discretionary investments. It holds Professional Indemnity insurance and Fidelity Guarantee insurance as required by FAIS.</w:t>
      </w:r>
    </w:p>
    <w:p w14:paraId="0E9485D7" w14:textId="64A3D211" w:rsidR="00407678" w:rsidRPr="008156F5" w:rsidRDefault="00C6212D" w:rsidP="00B53F4B">
      <w:pPr>
        <w:pBdr>
          <w:bottom w:val="single" w:sz="4" w:space="1" w:color="auto"/>
        </w:pBdr>
        <w:shd w:val="clear" w:color="auto" w:fill="FFFFFF"/>
        <w:spacing w:after="0" w:line="240" w:lineRule="auto"/>
        <w:jc w:val="both"/>
        <w:rPr>
          <w:rFonts w:ascii="Arial" w:hAnsi="Arial"/>
          <w:color w:val="000000"/>
          <w:sz w:val="14"/>
          <w:szCs w:val="14"/>
          <w:lang w:eastAsia="en-ZA"/>
        </w:rPr>
      </w:pPr>
      <w:r w:rsidRPr="008156F5">
        <w:rPr>
          <w:rFonts w:ascii="Arial" w:hAnsi="Arial"/>
          <w:color w:val="000000"/>
          <w:sz w:val="14"/>
          <w:szCs w:val="14"/>
          <w:lang w:eastAsia="en-ZA"/>
        </w:rPr>
        <w:t>All opinions and information on this website may be changed at any time without notice. Redistribution, reproduction, the resale or transmission to any third party of the contents of this website, whether by email, newsletter, internet or website, is only possible with the written permission of etfSA. etfSA.co.za, its sponsors, administrators, contributors and product providers disclaim any liability for any loss, damage, or expense that might occur from the use of or reliance on the data and services provided through this website. etfSA.co.za® and etfSA The Home of Exchange Traded Funds® are registered trademarks in the Republic of South Africa.</w:t>
      </w:r>
    </w:p>
    <w:sectPr w:rsidR="00407678" w:rsidRPr="008156F5" w:rsidSect="00281835">
      <w:footerReference w:type="default" r:id="rId13"/>
      <w:pgSz w:w="11906" w:h="16838" w:code="9"/>
      <w:pgMar w:top="851" w:right="851" w:bottom="567" w:left="851" w:header="709" w:footer="567" w:gutter="0"/>
      <w:pgBorders w:offsetFrom="page">
        <w:top w:val="single" w:sz="18" w:space="24" w:color="C00000"/>
        <w:left w:val="single" w:sz="18" w:space="24" w:color="C00000"/>
        <w:bottom w:val="single" w:sz="18" w:space="24" w:color="C00000"/>
        <w:right w:val="single" w:sz="18" w:space="24"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45C01" w14:textId="77777777" w:rsidR="00EE2080" w:rsidRDefault="00EE2080" w:rsidP="001860C2">
      <w:pPr>
        <w:spacing w:after="0" w:line="240" w:lineRule="auto"/>
      </w:pPr>
      <w:r>
        <w:separator/>
      </w:r>
    </w:p>
  </w:endnote>
  <w:endnote w:type="continuationSeparator" w:id="0">
    <w:p w14:paraId="3CF9A0A3" w14:textId="77777777" w:rsidR="00EE2080" w:rsidRDefault="00EE2080" w:rsidP="00186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8959353"/>
      <w:docPartObj>
        <w:docPartGallery w:val="Page Numbers (Bottom of Page)"/>
        <w:docPartUnique/>
      </w:docPartObj>
    </w:sdtPr>
    <w:sdtEndPr>
      <w:rPr>
        <w:rFonts w:ascii="Verdana" w:hAnsi="Verdana"/>
        <w:noProof/>
        <w:sz w:val="18"/>
        <w:szCs w:val="18"/>
      </w:rPr>
    </w:sdtEndPr>
    <w:sdtContent>
      <w:p w14:paraId="72DBEA49" w14:textId="73AF9B02" w:rsidR="002F19B0" w:rsidRPr="001860C2" w:rsidRDefault="002F19B0" w:rsidP="001860C2">
        <w:pPr>
          <w:pStyle w:val="Footer"/>
          <w:jc w:val="center"/>
          <w:rPr>
            <w:rFonts w:ascii="Verdana" w:hAnsi="Verdana"/>
            <w:sz w:val="18"/>
            <w:szCs w:val="18"/>
          </w:rPr>
        </w:pPr>
        <w:r w:rsidRPr="001860C2">
          <w:rPr>
            <w:rFonts w:ascii="Verdana" w:hAnsi="Verdana"/>
            <w:sz w:val="18"/>
            <w:szCs w:val="18"/>
          </w:rPr>
          <w:fldChar w:fldCharType="begin"/>
        </w:r>
        <w:r w:rsidRPr="001860C2">
          <w:rPr>
            <w:rFonts w:ascii="Verdana" w:hAnsi="Verdana"/>
            <w:sz w:val="18"/>
            <w:szCs w:val="18"/>
          </w:rPr>
          <w:instrText xml:space="preserve"> PAGE   \* MERGEFORMAT </w:instrText>
        </w:r>
        <w:r w:rsidRPr="001860C2">
          <w:rPr>
            <w:rFonts w:ascii="Verdana" w:hAnsi="Verdana"/>
            <w:sz w:val="18"/>
            <w:szCs w:val="18"/>
          </w:rPr>
          <w:fldChar w:fldCharType="separate"/>
        </w:r>
        <w:r>
          <w:rPr>
            <w:rFonts w:ascii="Verdana" w:hAnsi="Verdana"/>
            <w:noProof/>
            <w:sz w:val="18"/>
            <w:szCs w:val="18"/>
          </w:rPr>
          <w:t>3</w:t>
        </w:r>
        <w:r w:rsidRPr="001860C2">
          <w:rPr>
            <w:rFonts w:ascii="Verdana" w:hAnsi="Verdana"/>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D9F9B" w14:textId="77777777" w:rsidR="00EE2080" w:rsidRDefault="00EE2080" w:rsidP="001860C2">
      <w:pPr>
        <w:spacing w:after="0" w:line="240" w:lineRule="auto"/>
      </w:pPr>
      <w:r>
        <w:separator/>
      </w:r>
    </w:p>
  </w:footnote>
  <w:footnote w:type="continuationSeparator" w:id="0">
    <w:p w14:paraId="1ADD33A2" w14:textId="77777777" w:rsidR="00EE2080" w:rsidRDefault="00EE2080" w:rsidP="001860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305D0"/>
    <w:multiLevelType w:val="hybridMultilevel"/>
    <w:tmpl w:val="5734E8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11D651D"/>
    <w:multiLevelType w:val="hybridMultilevel"/>
    <w:tmpl w:val="9504678E"/>
    <w:lvl w:ilvl="0" w:tplc="1C090001">
      <w:start w:val="1"/>
      <w:numFmt w:val="bullet"/>
      <w:lvlText w:val=""/>
      <w:lvlJc w:val="left"/>
      <w:pPr>
        <w:ind w:left="1778" w:hanging="360"/>
      </w:pPr>
      <w:rPr>
        <w:rFonts w:ascii="Symbol" w:hAnsi="Symbol" w:hint="default"/>
      </w:rPr>
    </w:lvl>
    <w:lvl w:ilvl="1" w:tplc="1C090003" w:tentative="1">
      <w:start w:val="1"/>
      <w:numFmt w:val="bullet"/>
      <w:lvlText w:val="o"/>
      <w:lvlJc w:val="left"/>
      <w:pPr>
        <w:ind w:left="2498" w:hanging="360"/>
      </w:pPr>
      <w:rPr>
        <w:rFonts w:ascii="Courier New" w:hAnsi="Courier New" w:cs="Courier New" w:hint="default"/>
      </w:rPr>
    </w:lvl>
    <w:lvl w:ilvl="2" w:tplc="1C090005" w:tentative="1">
      <w:start w:val="1"/>
      <w:numFmt w:val="bullet"/>
      <w:lvlText w:val=""/>
      <w:lvlJc w:val="left"/>
      <w:pPr>
        <w:ind w:left="3218" w:hanging="360"/>
      </w:pPr>
      <w:rPr>
        <w:rFonts w:ascii="Wingdings" w:hAnsi="Wingdings" w:hint="default"/>
      </w:rPr>
    </w:lvl>
    <w:lvl w:ilvl="3" w:tplc="1C090001" w:tentative="1">
      <w:start w:val="1"/>
      <w:numFmt w:val="bullet"/>
      <w:lvlText w:val=""/>
      <w:lvlJc w:val="left"/>
      <w:pPr>
        <w:ind w:left="3938" w:hanging="360"/>
      </w:pPr>
      <w:rPr>
        <w:rFonts w:ascii="Symbol" w:hAnsi="Symbol" w:hint="default"/>
      </w:rPr>
    </w:lvl>
    <w:lvl w:ilvl="4" w:tplc="1C090003" w:tentative="1">
      <w:start w:val="1"/>
      <w:numFmt w:val="bullet"/>
      <w:lvlText w:val="o"/>
      <w:lvlJc w:val="left"/>
      <w:pPr>
        <w:ind w:left="4658" w:hanging="360"/>
      </w:pPr>
      <w:rPr>
        <w:rFonts w:ascii="Courier New" w:hAnsi="Courier New" w:cs="Courier New" w:hint="default"/>
      </w:rPr>
    </w:lvl>
    <w:lvl w:ilvl="5" w:tplc="1C090005" w:tentative="1">
      <w:start w:val="1"/>
      <w:numFmt w:val="bullet"/>
      <w:lvlText w:val=""/>
      <w:lvlJc w:val="left"/>
      <w:pPr>
        <w:ind w:left="5378" w:hanging="360"/>
      </w:pPr>
      <w:rPr>
        <w:rFonts w:ascii="Wingdings" w:hAnsi="Wingdings" w:hint="default"/>
      </w:rPr>
    </w:lvl>
    <w:lvl w:ilvl="6" w:tplc="1C090001" w:tentative="1">
      <w:start w:val="1"/>
      <w:numFmt w:val="bullet"/>
      <w:lvlText w:val=""/>
      <w:lvlJc w:val="left"/>
      <w:pPr>
        <w:ind w:left="6098" w:hanging="360"/>
      </w:pPr>
      <w:rPr>
        <w:rFonts w:ascii="Symbol" w:hAnsi="Symbol" w:hint="default"/>
      </w:rPr>
    </w:lvl>
    <w:lvl w:ilvl="7" w:tplc="1C090003" w:tentative="1">
      <w:start w:val="1"/>
      <w:numFmt w:val="bullet"/>
      <w:lvlText w:val="o"/>
      <w:lvlJc w:val="left"/>
      <w:pPr>
        <w:ind w:left="6818" w:hanging="360"/>
      </w:pPr>
      <w:rPr>
        <w:rFonts w:ascii="Courier New" w:hAnsi="Courier New" w:cs="Courier New" w:hint="default"/>
      </w:rPr>
    </w:lvl>
    <w:lvl w:ilvl="8" w:tplc="1C090005" w:tentative="1">
      <w:start w:val="1"/>
      <w:numFmt w:val="bullet"/>
      <w:lvlText w:val=""/>
      <w:lvlJc w:val="left"/>
      <w:pPr>
        <w:ind w:left="7538" w:hanging="360"/>
      </w:pPr>
      <w:rPr>
        <w:rFonts w:ascii="Wingdings" w:hAnsi="Wingdings" w:hint="default"/>
      </w:rPr>
    </w:lvl>
  </w:abstractNum>
  <w:abstractNum w:abstractNumId="2" w15:restartNumberingAfterBreak="0">
    <w:nsid w:val="01234321"/>
    <w:multiLevelType w:val="hybridMultilevel"/>
    <w:tmpl w:val="2A1607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7E51D4C"/>
    <w:multiLevelType w:val="hybridMultilevel"/>
    <w:tmpl w:val="0AB075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8D32FE3"/>
    <w:multiLevelType w:val="hybridMultilevel"/>
    <w:tmpl w:val="9604C43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C5F3D08"/>
    <w:multiLevelType w:val="hybridMultilevel"/>
    <w:tmpl w:val="D2406A56"/>
    <w:lvl w:ilvl="0" w:tplc="D35AD9A0">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E260B28"/>
    <w:multiLevelType w:val="hybridMultilevel"/>
    <w:tmpl w:val="6F627B6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D627895"/>
    <w:multiLevelType w:val="hybridMultilevel"/>
    <w:tmpl w:val="873A4B54"/>
    <w:lvl w:ilvl="0" w:tplc="D35AD9A0">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F5E1355"/>
    <w:multiLevelType w:val="hybridMultilevel"/>
    <w:tmpl w:val="888E11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09E0A22"/>
    <w:multiLevelType w:val="hybridMultilevel"/>
    <w:tmpl w:val="D29C33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29D1321"/>
    <w:multiLevelType w:val="hybridMultilevel"/>
    <w:tmpl w:val="FDD09F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40D369B"/>
    <w:multiLevelType w:val="hybridMultilevel"/>
    <w:tmpl w:val="401834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48B1364"/>
    <w:multiLevelType w:val="hybridMultilevel"/>
    <w:tmpl w:val="FFE6E3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33D94606"/>
    <w:multiLevelType w:val="hybridMultilevel"/>
    <w:tmpl w:val="1C3470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7086E3A"/>
    <w:multiLevelType w:val="hybridMultilevel"/>
    <w:tmpl w:val="D7A8CC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B5A29A1"/>
    <w:multiLevelType w:val="hybridMultilevel"/>
    <w:tmpl w:val="66A8A16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E767678"/>
    <w:multiLevelType w:val="hybridMultilevel"/>
    <w:tmpl w:val="D33E81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41B17352"/>
    <w:multiLevelType w:val="hybridMultilevel"/>
    <w:tmpl w:val="E4EE44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49A03C17"/>
    <w:multiLevelType w:val="hybridMultilevel"/>
    <w:tmpl w:val="FD4C19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4CD962CA"/>
    <w:multiLevelType w:val="hybridMultilevel"/>
    <w:tmpl w:val="855A38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4D0578FC"/>
    <w:multiLevelType w:val="hybridMultilevel"/>
    <w:tmpl w:val="6C464D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4EC76903"/>
    <w:multiLevelType w:val="hybridMultilevel"/>
    <w:tmpl w:val="E9E6E2D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57BC0492"/>
    <w:multiLevelType w:val="hybridMultilevel"/>
    <w:tmpl w:val="0050554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5BAC30ED"/>
    <w:multiLevelType w:val="hybridMultilevel"/>
    <w:tmpl w:val="6E22AEB4"/>
    <w:lvl w:ilvl="0" w:tplc="29085DB0">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5EE24671"/>
    <w:multiLevelType w:val="hybridMultilevel"/>
    <w:tmpl w:val="80326BA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614D04BD"/>
    <w:multiLevelType w:val="hybridMultilevel"/>
    <w:tmpl w:val="ECFC3C7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64ED2A13"/>
    <w:multiLevelType w:val="hybridMultilevel"/>
    <w:tmpl w:val="8F46E78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69F471E4"/>
    <w:multiLevelType w:val="hybridMultilevel"/>
    <w:tmpl w:val="9E5CD8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5923930"/>
    <w:multiLevelType w:val="hybridMultilevel"/>
    <w:tmpl w:val="A5566AD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791332C4"/>
    <w:multiLevelType w:val="hybridMultilevel"/>
    <w:tmpl w:val="74541E3A"/>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30" w15:restartNumberingAfterBreak="0">
    <w:nsid w:val="7AF55A25"/>
    <w:multiLevelType w:val="hybridMultilevel"/>
    <w:tmpl w:val="20629F2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761097734">
    <w:abstractNumId w:val="19"/>
  </w:num>
  <w:num w:numId="2" w16cid:durableId="17001586">
    <w:abstractNumId w:val="1"/>
  </w:num>
  <w:num w:numId="3" w16cid:durableId="2038045481">
    <w:abstractNumId w:val="13"/>
  </w:num>
  <w:num w:numId="4" w16cid:durableId="795762004">
    <w:abstractNumId w:val="10"/>
  </w:num>
  <w:num w:numId="5" w16cid:durableId="371735613">
    <w:abstractNumId w:val="2"/>
  </w:num>
  <w:num w:numId="6" w16cid:durableId="517550290">
    <w:abstractNumId w:val="22"/>
  </w:num>
  <w:num w:numId="7" w16cid:durableId="1561330142">
    <w:abstractNumId w:val="8"/>
  </w:num>
  <w:num w:numId="8" w16cid:durableId="348874987">
    <w:abstractNumId w:val="11"/>
  </w:num>
  <w:num w:numId="9" w16cid:durableId="2114863552">
    <w:abstractNumId w:val="3"/>
  </w:num>
  <w:num w:numId="10" w16cid:durableId="4289105">
    <w:abstractNumId w:val="12"/>
  </w:num>
  <w:num w:numId="11" w16cid:durableId="379133763">
    <w:abstractNumId w:val="14"/>
  </w:num>
  <w:num w:numId="12" w16cid:durableId="611714100">
    <w:abstractNumId w:val="18"/>
  </w:num>
  <w:num w:numId="13" w16cid:durableId="1294755904">
    <w:abstractNumId w:val="15"/>
  </w:num>
  <w:num w:numId="14" w16cid:durableId="968047313">
    <w:abstractNumId w:val="29"/>
  </w:num>
  <w:num w:numId="15" w16cid:durableId="825977546">
    <w:abstractNumId w:val="30"/>
  </w:num>
  <w:num w:numId="16" w16cid:durableId="2069525158">
    <w:abstractNumId w:val="25"/>
  </w:num>
  <w:num w:numId="17" w16cid:durableId="1090082934">
    <w:abstractNumId w:val="6"/>
  </w:num>
  <w:num w:numId="18" w16cid:durableId="667833823">
    <w:abstractNumId w:val="28"/>
  </w:num>
  <w:num w:numId="19" w16cid:durableId="1101994540">
    <w:abstractNumId w:val="26"/>
  </w:num>
  <w:num w:numId="20" w16cid:durableId="962422017">
    <w:abstractNumId w:val="23"/>
  </w:num>
  <w:num w:numId="21" w16cid:durableId="673382833">
    <w:abstractNumId w:val="4"/>
  </w:num>
  <w:num w:numId="22" w16cid:durableId="229968107">
    <w:abstractNumId w:val="0"/>
  </w:num>
  <w:num w:numId="23" w16cid:durableId="1523741481">
    <w:abstractNumId w:val="9"/>
  </w:num>
  <w:num w:numId="24" w16cid:durableId="1352487742">
    <w:abstractNumId w:val="27"/>
  </w:num>
  <w:num w:numId="25" w16cid:durableId="490101877">
    <w:abstractNumId w:val="20"/>
  </w:num>
  <w:num w:numId="26" w16cid:durableId="177739802">
    <w:abstractNumId w:val="21"/>
  </w:num>
  <w:num w:numId="27" w16cid:durableId="37557070">
    <w:abstractNumId w:val="24"/>
  </w:num>
  <w:num w:numId="28" w16cid:durableId="438109862">
    <w:abstractNumId w:val="17"/>
  </w:num>
  <w:num w:numId="29" w16cid:durableId="1878855447">
    <w:abstractNumId w:val="7"/>
  </w:num>
  <w:num w:numId="30" w16cid:durableId="251282986">
    <w:abstractNumId w:val="5"/>
  </w:num>
  <w:num w:numId="31" w16cid:durableId="147043860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637"/>
    <w:rsid w:val="0000086A"/>
    <w:rsid w:val="0000238B"/>
    <w:rsid w:val="000144B3"/>
    <w:rsid w:val="00014D0C"/>
    <w:rsid w:val="00016006"/>
    <w:rsid w:val="000204F0"/>
    <w:rsid w:val="00023812"/>
    <w:rsid w:val="00034E06"/>
    <w:rsid w:val="00042250"/>
    <w:rsid w:val="00042BE4"/>
    <w:rsid w:val="000435BE"/>
    <w:rsid w:val="00043FCA"/>
    <w:rsid w:val="00046AC3"/>
    <w:rsid w:val="00050A63"/>
    <w:rsid w:val="00051559"/>
    <w:rsid w:val="0005247E"/>
    <w:rsid w:val="000542DC"/>
    <w:rsid w:val="0005437D"/>
    <w:rsid w:val="00054445"/>
    <w:rsid w:val="00057C02"/>
    <w:rsid w:val="00063719"/>
    <w:rsid w:val="000637AD"/>
    <w:rsid w:val="00064D86"/>
    <w:rsid w:val="0006568F"/>
    <w:rsid w:val="00065FC4"/>
    <w:rsid w:val="00067065"/>
    <w:rsid w:val="00072FB5"/>
    <w:rsid w:val="000734C3"/>
    <w:rsid w:val="000736A9"/>
    <w:rsid w:val="0007371D"/>
    <w:rsid w:val="000752F6"/>
    <w:rsid w:val="000802B7"/>
    <w:rsid w:val="00080314"/>
    <w:rsid w:val="000822C5"/>
    <w:rsid w:val="0008356F"/>
    <w:rsid w:val="00083E17"/>
    <w:rsid w:val="0008652A"/>
    <w:rsid w:val="00086ECE"/>
    <w:rsid w:val="000871E0"/>
    <w:rsid w:val="00093396"/>
    <w:rsid w:val="0009342B"/>
    <w:rsid w:val="00093886"/>
    <w:rsid w:val="000A23EE"/>
    <w:rsid w:val="000A2715"/>
    <w:rsid w:val="000A3329"/>
    <w:rsid w:val="000A5E4A"/>
    <w:rsid w:val="000A6521"/>
    <w:rsid w:val="000B1353"/>
    <w:rsid w:val="000B189D"/>
    <w:rsid w:val="000B1900"/>
    <w:rsid w:val="000B77EA"/>
    <w:rsid w:val="000C024A"/>
    <w:rsid w:val="000C1ACB"/>
    <w:rsid w:val="000C2A04"/>
    <w:rsid w:val="000C74EB"/>
    <w:rsid w:val="000D0FF5"/>
    <w:rsid w:val="000D5C7D"/>
    <w:rsid w:val="000E7CE2"/>
    <w:rsid w:val="000F1A9D"/>
    <w:rsid w:val="000F2E19"/>
    <w:rsid w:val="000F3F0B"/>
    <w:rsid w:val="000F4D11"/>
    <w:rsid w:val="000F676D"/>
    <w:rsid w:val="000F7310"/>
    <w:rsid w:val="000F77F8"/>
    <w:rsid w:val="001004CA"/>
    <w:rsid w:val="00100BC7"/>
    <w:rsid w:val="001011BA"/>
    <w:rsid w:val="00105881"/>
    <w:rsid w:val="00110027"/>
    <w:rsid w:val="001113DA"/>
    <w:rsid w:val="001113EA"/>
    <w:rsid w:val="001118CB"/>
    <w:rsid w:val="00111B11"/>
    <w:rsid w:val="00112914"/>
    <w:rsid w:val="001149F4"/>
    <w:rsid w:val="001161FE"/>
    <w:rsid w:val="001169ED"/>
    <w:rsid w:val="001204A0"/>
    <w:rsid w:val="00121080"/>
    <w:rsid w:val="00121661"/>
    <w:rsid w:val="00122449"/>
    <w:rsid w:val="0012529E"/>
    <w:rsid w:val="001255EF"/>
    <w:rsid w:val="00126756"/>
    <w:rsid w:val="0013147F"/>
    <w:rsid w:val="0013275D"/>
    <w:rsid w:val="00137500"/>
    <w:rsid w:val="00141CB8"/>
    <w:rsid w:val="001435C1"/>
    <w:rsid w:val="00143C23"/>
    <w:rsid w:val="00145C7E"/>
    <w:rsid w:val="001470DA"/>
    <w:rsid w:val="00147712"/>
    <w:rsid w:val="00154CA3"/>
    <w:rsid w:val="00161566"/>
    <w:rsid w:val="0016315C"/>
    <w:rsid w:val="00164CDA"/>
    <w:rsid w:val="0016524A"/>
    <w:rsid w:val="0017124F"/>
    <w:rsid w:val="001723F2"/>
    <w:rsid w:val="00175BD4"/>
    <w:rsid w:val="0018165B"/>
    <w:rsid w:val="00181E64"/>
    <w:rsid w:val="00185009"/>
    <w:rsid w:val="001860C2"/>
    <w:rsid w:val="00187148"/>
    <w:rsid w:val="00193608"/>
    <w:rsid w:val="0019419C"/>
    <w:rsid w:val="001945CA"/>
    <w:rsid w:val="001951A8"/>
    <w:rsid w:val="001976A7"/>
    <w:rsid w:val="00197B1E"/>
    <w:rsid w:val="001A0812"/>
    <w:rsid w:val="001A0C85"/>
    <w:rsid w:val="001A440E"/>
    <w:rsid w:val="001A5982"/>
    <w:rsid w:val="001A631C"/>
    <w:rsid w:val="001A6952"/>
    <w:rsid w:val="001A7023"/>
    <w:rsid w:val="001B0316"/>
    <w:rsid w:val="001B09C4"/>
    <w:rsid w:val="001B0CAA"/>
    <w:rsid w:val="001B2714"/>
    <w:rsid w:val="001B3A67"/>
    <w:rsid w:val="001B5446"/>
    <w:rsid w:val="001C419C"/>
    <w:rsid w:val="001C426E"/>
    <w:rsid w:val="001C48EF"/>
    <w:rsid w:val="001D0D90"/>
    <w:rsid w:val="001D1426"/>
    <w:rsid w:val="001D145F"/>
    <w:rsid w:val="001D296F"/>
    <w:rsid w:val="001D3AD8"/>
    <w:rsid w:val="001D4816"/>
    <w:rsid w:val="001D53A8"/>
    <w:rsid w:val="001D7C34"/>
    <w:rsid w:val="001E3615"/>
    <w:rsid w:val="001E36F8"/>
    <w:rsid w:val="001F12A9"/>
    <w:rsid w:val="001F137C"/>
    <w:rsid w:val="001F33BD"/>
    <w:rsid w:val="001F6BD9"/>
    <w:rsid w:val="00201C15"/>
    <w:rsid w:val="00202A1E"/>
    <w:rsid w:val="002062BC"/>
    <w:rsid w:val="00211E65"/>
    <w:rsid w:val="00213163"/>
    <w:rsid w:val="00214624"/>
    <w:rsid w:val="00215EC5"/>
    <w:rsid w:val="00217F89"/>
    <w:rsid w:val="00222E4A"/>
    <w:rsid w:val="002265E0"/>
    <w:rsid w:val="00227D20"/>
    <w:rsid w:val="00227D37"/>
    <w:rsid w:val="00231639"/>
    <w:rsid w:val="002333CB"/>
    <w:rsid w:val="00240106"/>
    <w:rsid w:val="00244ACE"/>
    <w:rsid w:val="0024764F"/>
    <w:rsid w:val="00251098"/>
    <w:rsid w:val="0025163D"/>
    <w:rsid w:val="002519C3"/>
    <w:rsid w:val="00253345"/>
    <w:rsid w:val="002536F5"/>
    <w:rsid w:val="00257F69"/>
    <w:rsid w:val="00260037"/>
    <w:rsid w:val="002628F1"/>
    <w:rsid w:val="002647AB"/>
    <w:rsid w:val="00267704"/>
    <w:rsid w:val="002678D7"/>
    <w:rsid w:val="00267A62"/>
    <w:rsid w:val="00270178"/>
    <w:rsid w:val="0027130E"/>
    <w:rsid w:val="00271472"/>
    <w:rsid w:val="00275FDA"/>
    <w:rsid w:val="00277B61"/>
    <w:rsid w:val="00281236"/>
    <w:rsid w:val="00281835"/>
    <w:rsid w:val="002821C1"/>
    <w:rsid w:val="00283442"/>
    <w:rsid w:val="0028371C"/>
    <w:rsid w:val="0028580C"/>
    <w:rsid w:val="002867E2"/>
    <w:rsid w:val="00287580"/>
    <w:rsid w:val="00290F56"/>
    <w:rsid w:val="002944F7"/>
    <w:rsid w:val="00295FE0"/>
    <w:rsid w:val="002A024C"/>
    <w:rsid w:val="002A0846"/>
    <w:rsid w:val="002A12CA"/>
    <w:rsid w:val="002A439C"/>
    <w:rsid w:val="002A4EC3"/>
    <w:rsid w:val="002A6445"/>
    <w:rsid w:val="002A6914"/>
    <w:rsid w:val="002A6D67"/>
    <w:rsid w:val="002B14B3"/>
    <w:rsid w:val="002B51E7"/>
    <w:rsid w:val="002C05CF"/>
    <w:rsid w:val="002C252D"/>
    <w:rsid w:val="002C48B1"/>
    <w:rsid w:val="002D18A9"/>
    <w:rsid w:val="002D1ED9"/>
    <w:rsid w:val="002D4D18"/>
    <w:rsid w:val="002D4E12"/>
    <w:rsid w:val="002D7097"/>
    <w:rsid w:val="002E1517"/>
    <w:rsid w:val="002E2F39"/>
    <w:rsid w:val="002E30E8"/>
    <w:rsid w:val="002E4F01"/>
    <w:rsid w:val="002E55EA"/>
    <w:rsid w:val="002E6A24"/>
    <w:rsid w:val="002F162B"/>
    <w:rsid w:val="002F16E9"/>
    <w:rsid w:val="002F19B0"/>
    <w:rsid w:val="002F4117"/>
    <w:rsid w:val="002F5364"/>
    <w:rsid w:val="00302AA8"/>
    <w:rsid w:val="00307DE7"/>
    <w:rsid w:val="00321934"/>
    <w:rsid w:val="00322BD7"/>
    <w:rsid w:val="003230DF"/>
    <w:rsid w:val="00324D73"/>
    <w:rsid w:val="00325F2F"/>
    <w:rsid w:val="003262AF"/>
    <w:rsid w:val="00330C63"/>
    <w:rsid w:val="00332256"/>
    <w:rsid w:val="003352CA"/>
    <w:rsid w:val="003353CB"/>
    <w:rsid w:val="00336154"/>
    <w:rsid w:val="00337675"/>
    <w:rsid w:val="00340453"/>
    <w:rsid w:val="00340ED3"/>
    <w:rsid w:val="0034230A"/>
    <w:rsid w:val="00345103"/>
    <w:rsid w:val="003453A7"/>
    <w:rsid w:val="003453E4"/>
    <w:rsid w:val="003455BD"/>
    <w:rsid w:val="00346C09"/>
    <w:rsid w:val="0035069F"/>
    <w:rsid w:val="00354846"/>
    <w:rsid w:val="00356055"/>
    <w:rsid w:val="003615D4"/>
    <w:rsid w:val="003622B9"/>
    <w:rsid w:val="00362595"/>
    <w:rsid w:val="00371A95"/>
    <w:rsid w:val="00373E18"/>
    <w:rsid w:val="00374625"/>
    <w:rsid w:val="00375ADA"/>
    <w:rsid w:val="00375ECD"/>
    <w:rsid w:val="003768E4"/>
    <w:rsid w:val="00376CA0"/>
    <w:rsid w:val="00377095"/>
    <w:rsid w:val="003804A8"/>
    <w:rsid w:val="00380C83"/>
    <w:rsid w:val="00382ADA"/>
    <w:rsid w:val="003835A0"/>
    <w:rsid w:val="00383630"/>
    <w:rsid w:val="0038427E"/>
    <w:rsid w:val="00384A36"/>
    <w:rsid w:val="003935AB"/>
    <w:rsid w:val="00394359"/>
    <w:rsid w:val="00395C1E"/>
    <w:rsid w:val="003A0D8D"/>
    <w:rsid w:val="003A29FB"/>
    <w:rsid w:val="003A3D19"/>
    <w:rsid w:val="003A5D8C"/>
    <w:rsid w:val="003A6075"/>
    <w:rsid w:val="003B0162"/>
    <w:rsid w:val="003B10C9"/>
    <w:rsid w:val="003B4F95"/>
    <w:rsid w:val="003B775C"/>
    <w:rsid w:val="003C278D"/>
    <w:rsid w:val="003C3187"/>
    <w:rsid w:val="003C34BA"/>
    <w:rsid w:val="003C36D7"/>
    <w:rsid w:val="003C4C24"/>
    <w:rsid w:val="003C4CE2"/>
    <w:rsid w:val="003C6031"/>
    <w:rsid w:val="003C6447"/>
    <w:rsid w:val="003C700A"/>
    <w:rsid w:val="003D13C9"/>
    <w:rsid w:val="003D3AB6"/>
    <w:rsid w:val="003D5B90"/>
    <w:rsid w:val="003E41CF"/>
    <w:rsid w:val="003E6D07"/>
    <w:rsid w:val="003F1BC4"/>
    <w:rsid w:val="003F5A00"/>
    <w:rsid w:val="003F5A9C"/>
    <w:rsid w:val="003F6A02"/>
    <w:rsid w:val="003F76E0"/>
    <w:rsid w:val="003F7712"/>
    <w:rsid w:val="004038EE"/>
    <w:rsid w:val="0040423E"/>
    <w:rsid w:val="004058B3"/>
    <w:rsid w:val="00405F9A"/>
    <w:rsid w:val="00407678"/>
    <w:rsid w:val="00410B7D"/>
    <w:rsid w:val="00410B90"/>
    <w:rsid w:val="00412295"/>
    <w:rsid w:val="00413262"/>
    <w:rsid w:val="00415026"/>
    <w:rsid w:val="00415851"/>
    <w:rsid w:val="00416503"/>
    <w:rsid w:val="00417CC4"/>
    <w:rsid w:val="00420382"/>
    <w:rsid w:val="0042225F"/>
    <w:rsid w:val="004247D9"/>
    <w:rsid w:val="00431322"/>
    <w:rsid w:val="00433C1B"/>
    <w:rsid w:val="00434DA5"/>
    <w:rsid w:val="00435E56"/>
    <w:rsid w:val="00441724"/>
    <w:rsid w:val="004423A7"/>
    <w:rsid w:val="00443433"/>
    <w:rsid w:val="004474C0"/>
    <w:rsid w:val="00451766"/>
    <w:rsid w:val="00451A86"/>
    <w:rsid w:val="004534EE"/>
    <w:rsid w:val="004544E3"/>
    <w:rsid w:val="004545BB"/>
    <w:rsid w:val="004568F5"/>
    <w:rsid w:val="00464D4D"/>
    <w:rsid w:val="00464F85"/>
    <w:rsid w:val="004655E3"/>
    <w:rsid w:val="00467DA9"/>
    <w:rsid w:val="004775BA"/>
    <w:rsid w:val="0048656A"/>
    <w:rsid w:val="00486A17"/>
    <w:rsid w:val="0049405F"/>
    <w:rsid w:val="004A1759"/>
    <w:rsid w:val="004A185A"/>
    <w:rsid w:val="004A2267"/>
    <w:rsid w:val="004A28B2"/>
    <w:rsid w:val="004A53EA"/>
    <w:rsid w:val="004A6384"/>
    <w:rsid w:val="004A687F"/>
    <w:rsid w:val="004A7DA9"/>
    <w:rsid w:val="004B0423"/>
    <w:rsid w:val="004B0713"/>
    <w:rsid w:val="004B1BB0"/>
    <w:rsid w:val="004B2D37"/>
    <w:rsid w:val="004B4A66"/>
    <w:rsid w:val="004B7AF5"/>
    <w:rsid w:val="004C1102"/>
    <w:rsid w:val="004C18EC"/>
    <w:rsid w:val="004C60DA"/>
    <w:rsid w:val="004D0295"/>
    <w:rsid w:val="004D1524"/>
    <w:rsid w:val="004D6498"/>
    <w:rsid w:val="004E0B1E"/>
    <w:rsid w:val="004E2922"/>
    <w:rsid w:val="004E4B2F"/>
    <w:rsid w:val="004E4DAF"/>
    <w:rsid w:val="004E53E1"/>
    <w:rsid w:val="004E5FC6"/>
    <w:rsid w:val="004E60C8"/>
    <w:rsid w:val="004E69A5"/>
    <w:rsid w:val="004E7608"/>
    <w:rsid w:val="004F0766"/>
    <w:rsid w:val="004F1DF6"/>
    <w:rsid w:val="004F47FC"/>
    <w:rsid w:val="004F5E09"/>
    <w:rsid w:val="004F60D3"/>
    <w:rsid w:val="005014EB"/>
    <w:rsid w:val="00506218"/>
    <w:rsid w:val="0050685E"/>
    <w:rsid w:val="00511FB5"/>
    <w:rsid w:val="005135D4"/>
    <w:rsid w:val="005138C3"/>
    <w:rsid w:val="0051590D"/>
    <w:rsid w:val="005248F6"/>
    <w:rsid w:val="00525AD3"/>
    <w:rsid w:val="005269C6"/>
    <w:rsid w:val="00527C9E"/>
    <w:rsid w:val="00532E7F"/>
    <w:rsid w:val="005355B2"/>
    <w:rsid w:val="0054188E"/>
    <w:rsid w:val="00544530"/>
    <w:rsid w:val="005447D2"/>
    <w:rsid w:val="005475A6"/>
    <w:rsid w:val="005509A2"/>
    <w:rsid w:val="00553990"/>
    <w:rsid w:val="005557F1"/>
    <w:rsid w:val="00557D80"/>
    <w:rsid w:val="00561B5C"/>
    <w:rsid w:val="00561C75"/>
    <w:rsid w:val="005628FE"/>
    <w:rsid w:val="00570341"/>
    <w:rsid w:val="00573EA2"/>
    <w:rsid w:val="00574118"/>
    <w:rsid w:val="0057426E"/>
    <w:rsid w:val="00574800"/>
    <w:rsid w:val="00575220"/>
    <w:rsid w:val="00576C93"/>
    <w:rsid w:val="00576EDC"/>
    <w:rsid w:val="00580F19"/>
    <w:rsid w:val="00581B69"/>
    <w:rsid w:val="00587E90"/>
    <w:rsid w:val="005902FB"/>
    <w:rsid w:val="005923A8"/>
    <w:rsid w:val="005A16E0"/>
    <w:rsid w:val="005A21ED"/>
    <w:rsid w:val="005A38E1"/>
    <w:rsid w:val="005A77A2"/>
    <w:rsid w:val="005B0992"/>
    <w:rsid w:val="005B0C73"/>
    <w:rsid w:val="005B25BF"/>
    <w:rsid w:val="005B450E"/>
    <w:rsid w:val="005B4FD8"/>
    <w:rsid w:val="005B5FC4"/>
    <w:rsid w:val="005B6048"/>
    <w:rsid w:val="005B62B4"/>
    <w:rsid w:val="005B7CFF"/>
    <w:rsid w:val="005C2299"/>
    <w:rsid w:val="005C3133"/>
    <w:rsid w:val="005C4D11"/>
    <w:rsid w:val="005C6EDE"/>
    <w:rsid w:val="005D1205"/>
    <w:rsid w:val="005D1E49"/>
    <w:rsid w:val="005D477C"/>
    <w:rsid w:val="005D52D2"/>
    <w:rsid w:val="005D54DF"/>
    <w:rsid w:val="005D7F7B"/>
    <w:rsid w:val="005D7F9E"/>
    <w:rsid w:val="005E6456"/>
    <w:rsid w:val="005F02F6"/>
    <w:rsid w:val="005F2A62"/>
    <w:rsid w:val="005F3966"/>
    <w:rsid w:val="005F3B27"/>
    <w:rsid w:val="005F4274"/>
    <w:rsid w:val="005F5553"/>
    <w:rsid w:val="005F72F5"/>
    <w:rsid w:val="005F7544"/>
    <w:rsid w:val="00600116"/>
    <w:rsid w:val="006015AB"/>
    <w:rsid w:val="00602DDF"/>
    <w:rsid w:val="006052EB"/>
    <w:rsid w:val="00605876"/>
    <w:rsid w:val="00606273"/>
    <w:rsid w:val="00607890"/>
    <w:rsid w:val="00610270"/>
    <w:rsid w:val="006108AD"/>
    <w:rsid w:val="00611D35"/>
    <w:rsid w:val="006124A0"/>
    <w:rsid w:val="00614644"/>
    <w:rsid w:val="00617B74"/>
    <w:rsid w:val="0062560E"/>
    <w:rsid w:val="00630A2B"/>
    <w:rsid w:val="006345C7"/>
    <w:rsid w:val="00634A9D"/>
    <w:rsid w:val="00636507"/>
    <w:rsid w:val="00637C5B"/>
    <w:rsid w:val="006427A5"/>
    <w:rsid w:val="00644501"/>
    <w:rsid w:val="00650F13"/>
    <w:rsid w:val="0065322B"/>
    <w:rsid w:val="00653EAC"/>
    <w:rsid w:val="006557AA"/>
    <w:rsid w:val="006607FA"/>
    <w:rsid w:val="00662063"/>
    <w:rsid w:val="00662A3A"/>
    <w:rsid w:val="00665208"/>
    <w:rsid w:val="00665AFA"/>
    <w:rsid w:val="00665C94"/>
    <w:rsid w:val="006666EF"/>
    <w:rsid w:val="00667B94"/>
    <w:rsid w:val="0067082E"/>
    <w:rsid w:val="0067088C"/>
    <w:rsid w:val="00670E82"/>
    <w:rsid w:val="006726E7"/>
    <w:rsid w:val="00674425"/>
    <w:rsid w:val="006806B9"/>
    <w:rsid w:val="00681EB2"/>
    <w:rsid w:val="006820C0"/>
    <w:rsid w:val="00685233"/>
    <w:rsid w:val="00690162"/>
    <w:rsid w:val="006924BC"/>
    <w:rsid w:val="00692911"/>
    <w:rsid w:val="00692B83"/>
    <w:rsid w:val="00695F0A"/>
    <w:rsid w:val="006A0C56"/>
    <w:rsid w:val="006A24D6"/>
    <w:rsid w:val="006A3FC7"/>
    <w:rsid w:val="006A6635"/>
    <w:rsid w:val="006B399B"/>
    <w:rsid w:val="006B3D57"/>
    <w:rsid w:val="006B40F7"/>
    <w:rsid w:val="006B41B5"/>
    <w:rsid w:val="006B620E"/>
    <w:rsid w:val="006C0C1F"/>
    <w:rsid w:val="006C1593"/>
    <w:rsid w:val="006C31C8"/>
    <w:rsid w:val="006C3432"/>
    <w:rsid w:val="006C3AD1"/>
    <w:rsid w:val="006C3C9A"/>
    <w:rsid w:val="006C4164"/>
    <w:rsid w:val="006C5667"/>
    <w:rsid w:val="006C58B8"/>
    <w:rsid w:val="006C780E"/>
    <w:rsid w:val="006D30DE"/>
    <w:rsid w:val="006D32E9"/>
    <w:rsid w:val="006D3930"/>
    <w:rsid w:val="006D3B08"/>
    <w:rsid w:val="006D49CD"/>
    <w:rsid w:val="006D66CE"/>
    <w:rsid w:val="006E0E3D"/>
    <w:rsid w:val="006E70F6"/>
    <w:rsid w:val="006F12EA"/>
    <w:rsid w:val="006F464E"/>
    <w:rsid w:val="007017CF"/>
    <w:rsid w:val="007026CA"/>
    <w:rsid w:val="00702765"/>
    <w:rsid w:val="007028A0"/>
    <w:rsid w:val="00705212"/>
    <w:rsid w:val="007153E8"/>
    <w:rsid w:val="00715DF1"/>
    <w:rsid w:val="00717144"/>
    <w:rsid w:val="00727AC5"/>
    <w:rsid w:val="007319EA"/>
    <w:rsid w:val="00733BB0"/>
    <w:rsid w:val="00737776"/>
    <w:rsid w:val="0074101D"/>
    <w:rsid w:val="00742511"/>
    <w:rsid w:val="00744360"/>
    <w:rsid w:val="00744B64"/>
    <w:rsid w:val="0075135D"/>
    <w:rsid w:val="007520C0"/>
    <w:rsid w:val="00752C5D"/>
    <w:rsid w:val="00754226"/>
    <w:rsid w:val="0075479F"/>
    <w:rsid w:val="007549A4"/>
    <w:rsid w:val="00754CF9"/>
    <w:rsid w:val="0075574D"/>
    <w:rsid w:val="00755DEC"/>
    <w:rsid w:val="007561FE"/>
    <w:rsid w:val="0075656E"/>
    <w:rsid w:val="007617B4"/>
    <w:rsid w:val="00761DC1"/>
    <w:rsid w:val="007624E8"/>
    <w:rsid w:val="007640DF"/>
    <w:rsid w:val="00765BCF"/>
    <w:rsid w:val="00767654"/>
    <w:rsid w:val="00770F05"/>
    <w:rsid w:val="00771D6F"/>
    <w:rsid w:val="00773DC7"/>
    <w:rsid w:val="00774D53"/>
    <w:rsid w:val="00774F11"/>
    <w:rsid w:val="00784C81"/>
    <w:rsid w:val="00785EC3"/>
    <w:rsid w:val="00786573"/>
    <w:rsid w:val="0078694D"/>
    <w:rsid w:val="00792524"/>
    <w:rsid w:val="007967FF"/>
    <w:rsid w:val="007A15D3"/>
    <w:rsid w:val="007A7050"/>
    <w:rsid w:val="007A7A18"/>
    <w:rsid w:val="007B1D8E"/>
    <w:rsid w:val="007B3F08"/>
    <w:rsid w:val="007C2AC1"/>
    <w:rsid w:val="007C4EB1"/>
    <w:rsid w:val="007C6C67"/>
    <w:rsid w:val="007D0DE9"/>
    <w:rsid w:val="007D1C48"/>
    <w:rsid w:val="007D3765"/>
    <w:rsid w:val="007D7A8F"/>
    <w:rsid w:val="007E5C23"/>
    <w:rsid w:val="007E68F3"/>
    <w:rsid w:val="007F0BD2"/>
    <w:rsid w:val="007F2E9B"/>
    <w:rsid w:val="007F321D"/>
    <w:rsid w:val="007F439B"/>
    <w:rsid w:val="007F4718"/>
    <w:rsid w:val="007F485E"/>
    <w:rsid w:val="007F543C"/>
    <w:rsid w:val="007F5E1E"/>
    <w:rsid w:val="0080262B"/>
    <w:rsid w:val="0080317E"/>
    <w:rsid w:val="008033A1"/>
    <w:rsid w:val="00803DCA"/>
    <w:rsid w:val="00805B57"/>
    <w:rsid w:val="00810312"/>
    <w:rsid w:val="008156F5"/>
    <w:rsid w:val="008168D7"/>
    <w:rsid w:val="00816E0D"/>
    <w:rsid w:val="008214E0"/>
    <w:rsid w:val="00822A6E"/>
    <w:rsid w:val="0082551A"/>
    <w:rsid w:val="00826CE1"/>
    <w:rsid w:val="00827678"/>
    <w:rsid w:val="00831695"/>
    <w:rsid w:val="00833166"/>
    <w:rsid w:val="00834896"/>
    <w:rsid w:val="00837416"/>
    <w:rsid w:val="008468F3"/>
    <w:rsid w:val="00851336"/>
    <w:rsid w:val="008555E3"/>
    <w:rsid w:val="00863949"/>
    <w:rsid w:val="00864626"/>
    <w:rsid w:val="00864914"/>
    <w:rsid w:val="008678CF"/>
    <w:rsid w:val="00867BCA"/>
    <w:rsid w:val="00870751"/>
    <w:rsid w:val="00871780"/>
    <w:rsid w:val="008723C3"/>
    <w:rsid w:val="00873A85"/>
    <w:rsid w:val="00874BC3"/>
    <w:rsid w:val="008767CE"/>
    <w:rsid w:val="008820A2"/>
    <w:rsid w:val="008870CE"/>
    <w:rsid w:val="008927A0"/>
    <w:rsid w:val="00892847"/>
    <w:rsid w:val="00893171"/>
    <w:rsid w:val="0089751B"/>
    <w:rsid w:val="0089761A"/>
    <w:rsid w:val="008A3D62"/>
    <w:rsid w:val="008A4C09"/>
    <w:rsid w:val="008A7891"/>
    <w:rsid w:val="008B0AC5"/>
    <w:rsid w:val="008B14A6"/>
    <w:rsid w:val="008B1AB4"/>
    <w:rsid w:val="008B346F"/>
    <w:rsid w:val="008B4F73"/>
    <w:rsid w:val="008B6F18"/>
    <w:rsid w:val="008C19C4"/>
    <w:rsid w:val="008C2BE8"/>
    <w:rsid w:val="008C4FF1"/>
    <w:rsid w:val="008C6006"/>
    <w:rsid w:val="008C75B2"/>
    <w:rsid w:val="008C7E9E"/>
    <w:rsid w:val="008D1027"/>
    <w:rsid w:val="008D5DE6"/>
    <w:rsid w:val="008D743D"/>
    <w:rsid w:val="008E0841"/>
    <w:rsid w:val="008E2FDF"/>
    <w:rsid w:val="008E7E18"/>
    <w:rsid w:val="008F0636"/>
    <w:rsid w:val="008F5B96"/>
    <w:rsid w:val="00900106"/>
    <w:rsid w:val="00900795"/>
    <w:rsid w:val="00902C9D"/>
    <w:rsid w:val="00905468"/>
    <w:rsid w:val="0090660B"/>
    <w:rsid w:val="0090715C"/>
    <w:rsid w:val="00912273"/>
    <w:rsid w:val="0091603A"/>
    <w:rsid w:val="00921CF9"/>
    <w:rsid w:val="0092591D"/>
    <w:rsid w:val="00925D2A"/>
    <w:rsid w:val="0092766E"/>
    <w:rsid w:val="0093030D"/>
    <w:rsid w:val="009307DF"/>
    <w:rsid w:val="00931166"/>
    <w:rsid w:val="00932B35"/>
    <w:rsid w:val="00933922"/>
    <w:rsid w:val="00934D40"/>
    <w:rsid w:val="00935C75"/>
    <w:rsid w:val="00937453"/>
    <w:rsid w:val="0094215A"/>
    <w:rsid w:val="00943D73"/>
    <w:rsid w:val="00944E04"/>
    <w:rsid w:val="00947A6D"/>
    <w:rsid w:val="009542C9"/>
    <w:rsid w:val="00960987"/>
    <w:rsid w:val="00964DB3"/>
    <w:rsid w:val="00967F07"/>
    <w:rsid w:val="0097094A"/>
    <w:rsid w:val="0097105F"/>
    <w:rsid w:val="00972CCD"/>
    <w:rsid w:val="009732C5"/>
    <w:rsid w:val="00975BA8"/>
    <w:rsid w:val="00975CA7"/>
    <w:rsid w:val="00976701"/>
    <w:rsid w:val="00976971"/>
    <w:rsid w:val="00977364"/>
    <w:rsid w:val="00980547"/>
    <w:rsid w:val="00980BD8"/>
    <w:rsid w:val="0098785E"/>
    <w:rsid w:val="00990E6C"/>
    <w:rsid w:val="009928D9"/>
    <w:rsid w:val="00993934"/>
    <w:rsid w:val="0099591D"/>
    <w:rsid w:val="00996EDA"/>
    <w:rsid w:val="009A0517"/>
    <w:rsid w:val="009A1B53"/>
    <w:rsid w:val="009A4055"/>
    <w:rsid w:val="009A4B52"/>
    <w:rsid w:val="009B7B7F"/>
    <w:rsid w:val="009C3FDD"/>
    <w:rsid w:val="009C4664"/>
    <w:rsid w:val="009C65B3"/>
    <w:rsid w:val="009C71D3"/>
    <w:rsid w:val="009D06A1"/>
    <w:rsid w:val="009D16BC"/>
    <w:rsid w:val="009D1D25"/>
    <w:rsid w:val="009D2502"/>
    <w:rsid w:val="009D346B"/>
    <w:rsid w:val="009D49A1"/>
    <w:rsid w:val="009D539F"/>
    <w:rsid w:val="009D5939"/>
    <w:rsid w:val="009D63BC"/>
    <w:rsid w:val="009E05E9"/>
    <w:rsid w:val="009E06CC"/>
    <w:rsid w:val="009E08B1"/>
    <w:rsid w:val="009E0A31"/>
    <w:rsid w:val="009E15A9"/>
    <w:rsid w:val="009E19AA"/>
    <w:rsid w:val="009E4AA6"/>
    <w:rsid w:val="009F4C0C"/>
    <w:rsid w:val="009F598B"/>
    <w:rsid w:val="009F66FE"/>
    <w:rsid w:val="009F7261"/>
    <w:rsid w:val="00A00FDB"/>
    <w:rsid w:val="00A018BA"/>
    <w:rsid w:val="00A01E0B"/>
    <w:rsid w:val="00A029E7"/>
    <w:rsid w:val="00A051FB"/>
    <w:rsid w:val="00A06583"/>
    <w:rsid w:val="00A1052C"/>
    <w:rsid w:val="00A1059D"/>
    <w:rsid w:val="00A143F4"/>
    <w:rsid w:val="00A167E1"/>
    <w:rsid w:val="00A24DE7"/>
    <w:rsid w:val="00A25A8D"/>
    <w:rsid w:val="00A30C9E"/>
    <w:rsid w:val="00A3197A"/>
    <w:rsid w:val="00A32F36"/>
    <w:rsid w:val="00A34964"/>
    <w:rsid w:val="00A35AAF"/>
    <w:rsid w:val="00A35F6E"/>
    <w:rsid w:val="00A36CF5"/>
    <w:rsid w:val="00A37F02"/>
    <w:rsid w:val="00A41EC0"/>
    <w:rsid w:val="00A422C0"/>
    <w:rsid w:val="00A42787"/>
    <w:rsid w:val="00A4782C"/>
    <w:rsid w:val="00A547A7"/>
    <w:rsid w:val="00A572A0"/>
    <w:rsid w:val="00A65E16"/>
    <w:rsid w:val="00A668A9"/>
    <w:rsid w:val="00A66F58"/>
    <w:rsid w:val="00A6703F"/>
    <w:rsid w:val="00A67209"/>
    <w:rsid w:val="00A73115"/>
    <w:rsid w:val="00A7546F"/>
    <w:rsid w:val="00A836BC"/>
    <w:rsid w:val="00A8447A"/>
    <w:rsid w:val="00A84E5F"/>
    <w:rsid w:val="00A85809"/>
    <w:rsid w:val="00A85AC4"/>
    <w:rsid w:val="00A87409"/>
    <w:rsid w:val="00A904A9"/>
    <w:rsid w:val="00A92F14"/>
    <w:rsid w:val="00A933CB"/>
    <w:rsid w:val="00A94957"/>
    <w:rsid w:val="00A9509E"/>
    <w:rsid w:val="00A95B1E"/>
    <w:rsid w:val="00A96CC9"/>
    <w:rsid w:val="00A97831"/>
    <w:rsid w:val="00AA129F"/>
    <w:rsid w:val="00AA2591"/>
    <w:rsid w:val="00AA3690"/>
    <w:rsid w:val="00AB1469"/>
    <w:rsid w:val="00AB5637"/>
    <w:rsid w:val="00AB659F"/>
    <w:rsid w:val="00AB65D9"/>
    <w:rsid w:val="00AB779B"/>
    <w:rsid w:val="00AC2829"/>
    <w:rsid w:val="00AC2C23"/>
    <w:rsid w:val="00AC44C8"/>
    <w:rsid w:val="00AC4855"/>
    <w:rsid w:val="00AC54A6"/>
    <w:rsid w:val="00AC5A30"/>
    <w:rsid w:val="00AC5FC2"/>
    <w:rsid w:val="00AC615B"/>
    <w:rsid w:val="00AD0CE4"/>
    <w:rsid w:val="00AE03BE"/>
    <w:rsid w:val="00AE1262"/>
    <w:rsid w:val="00AE12F4"/>
    <w:rsid w:val="00AE1BCE"/>
    <w:rsid w:val="00AE2E69"/>
    <w:rsid w:val="00AE3A0B"/>
    <w:rsid w:val="00AE45D7"/>
    <w:rsid w:val="00AE5515"/>
    <w:rsid w:val="00AE6B7A"/>
    <w:rsid w:val="00AE720D"/>
    <w:rsid w:val="00AF4229"/>
    <w:rsid w:val="00AF6530"/>
    <w:rsid w:val="00AF734A"/>
    <w:rsid w:val="00AF7BAB"/>
    <w:rsid w:val="00B010F5"/>
    <w:rsid w:val="00B01CAB"/>
    <w:rsid w:val="00B04A5D"/>
    <w:rsid w:val="00B0556F"/>
    <w:rsid w:val="00B064A2"/>
    <w:rsid w:val="00B06DBF"/>
    <w:rsid w:val="00B06F95"/>
    <w:rsid w:val="00B07BDB"/>
    <w:rsid w:val="00B11A47"/>
    <w:rsid w:val="00B11DFE"/>
    <w:rsid w:val="00B133BE"/>
    <w:rsid w:val="00B15601"/>
    <w:rsid w:val="00B157B7"/>
    <w:rsid w:val="00B1692D"/>
    <w:rsid w:val="00B17F8F"/>
    <w:rsid w:val="00B228FA"/>
    <w:rsid w:val="00B238F4"/>
    <w:rsid w:val="00B23C71"/>
    <w:rsid w:val="00B2533D"/>
    <w:rsid w:val="00B33939"/>
    <w:rsid w:val="00B352AB"/>
    <w:rsid w:val="00B373FE"/>
    <w:rsid w:val="00B42190"/>
    <w:rsid w:val="00B43C70"/>
    <w:rsid w:val="00B46D9E"/>
    <w:rsid w:val="00B47480"/>
    <w:rsid w:val="00B5062D"/>
    <w:rsid w:val="00B53321"/>
    <w:rsid w:val="00B5384D"/>
    <w:rsid w:val="00B539B4"/>
    <w:rsid w:val="00B53CF2"/>
    <w:rsid w:val="00B53F4B"/>
    <w:rsid w:val="00B544F8"/>
    <w:rsid w:val="00B555B1"/>
    <w:rsid w:val="00B5674F"/>
    <w:rsid w:val="00B600A0"/>
    <w:rsid w:val="00B6448D"/>
    <w:rsid w:val="00B65933"/>
    <w:rsid w:val="00B664A8"/>
    <w:rsid w:val="00B7090D"/>
    <w:rsid w:val="00B7153C"/>
    <w:rsid w:val="00B76B5D"/>
    <w:rsid w:val="00B80A20"/>
    <w:rsid w:val="00B80B89"/>
    <w:rsid w:val="00B81DF4"/>
    <w:rsid w:val="00B822A3"/>
    <w:rsid w:val="00B82C05"/>
    <w:rsid w:val="00B84B3B"/>
    <w:rsid w:val="00B86862"/>
    <w:rsid w:val="00B8742E"/>
    <w:rsid w:val="00BA3DC2"/>
    <w:rsid w:val="00BA7F27"/>
    <w:rsid w:val="00BB1828"/>
    <w:rsid w:val="00BB3618"/>
    <w:rsid w:val="00BB3813"/>
    <w:rsid w:val="00BB61E9"/>
    <w:rsid w:val="00BB7E35"/>
    <w:rsid w:val="00BC4EB7"/>
    <w:rsid w:val="00BC654E"/>
    <w:rsid w:val="00BC6FBB"/>
    <w:rsid w:val="00BD198C"/>
    <w:rsid w:val="00BD2909"/>
    <w:rsid w:val="00BD2BD9"/>
    <w:rsid w:val="00BD35C4"/>
    <w:rsid w:val="00BD4AED"/>
    <w:rsid w:val="00BD60FD"/>
    <w:rsid w:val="00BD73DC"/>
    <w:rsid w:val="00BD766B"/>
    <w:rsid w:val="00BE106B"/>
    <w:rsid w:val="00BE1AB8"/>
    <w:rsid w:val="00BE1EE9"/>
    <w:rsid w:val="00BE33A6"/>
    <w:rsid w:val="00BE387A"/>
    <w:rsid w:val="00BE58F6"/>
    <w:rsid w:val="00BE6DE2"/>
    <w:rsid w:val="00BF214D"/>
    <w:rsid w:val="00BF24CF"/>
    <w:rsid w:val="00BF47E2"/>
    <w:rsid w:val="00BF60E0"/>
    <w:rsid w:val="00BF6A40"/>
    <w:rsid w:val="00C01B7D"/>
    <w:rsid w:val="00C0251E"/>
    <w:rsid w:val="00C11C7B"/>
    <w:rsid w:val="00C12C3D"/>
    <w:rsid w:val="00C130B1"/>
    <w:rsid w:val="00C157CF"/>
    <w:rsid w:val="00C16778"/>
    <w:rsid w:val="00C16C3A"/>
    <w:rsid w:val="00C2040D"/>
    <w:rsid w:val="00C262C9"/>
    <w:rsid w:val="00C266EE"/>
    <w:rsid w:val="00C33973"/>
    <w:rsid w:val="00C34AA3"/>
    <w:rsid w:val="00C361AA"/>
    <w:rsid w:val="00C36612"/>
    <w:rsid w:val="00C36D78"/>
    <w:rsid w:val="00C43586"/>
    <w:rsid w:val="00C43C49"/>
    <w:rsid w:val="00C47F84"/>
    <w:rsid w:val="00C5148B"/>
    <w:rsid w:val="00C6212D"/>
    <w:rsid w:val="00C623CC"/>
    <w:rsid w:val="00C6310E"/>
    <w:rsid w:val="00C63F43"/>
    <w:rsid w:val="00C648B8"/>
    <w:rsid w:val="00C67C90"/>
    <w:rsid w:val="00C70110"/>
    <w:rsid w:val="00C72345"/>
    <w:rsid w:val="00C72A43"/>
    <w:rsid w:val="00C74DB9"/>
    <w:rsid w:val="00C83652"/>
    <w:rsid w:val="00C848CE"/>
    <w:rsid w:val="00C849A0"/>
    <w:rsid w:val="00C9155D"/>
    <w:rsid w:val="00C96C19"/>
    <w:rsid w:val="00C9721C"/>
    <w:rsid w:val="00C97248"/>
    <w:rsid w:val="00CA0778"/>
    <w:rsid w:val="00CA0977"/>
    <w:rsid w:val="00CA5F6B"/>
    <w:rsid w:val="00CB421E"/>
    <w:rsid w:val="00CC181B"/>
    <w:rsid w:val="00CC34CF"/>
    <w:rsid w:val="00CC53BB"/>
    <w:rsid w:val="00CC5B29"/>
    <w:rsid w:val="00CD0246"/>
    <w:rsid w:val="00CD1139"/>
    <w:rsid w:val="00CD37BB"/>
    <w:rsid w:val="00CD5761"/>
    <w:rsid w:val="00CD6927"/>
    <w:rsid w:val="00CD73C2"/>
    <w:rsid w:val="00CE0539"/>
    <w:rsid w:val="00CE0B76"/>
    <w:rsid w:val="00CE27F1"/>
    <w:rsid w:val="00CE2B2F"/>
    <w:rsid w:val="00CE3305"/>
    <w:rsid w:val="00CE3BAE"/>
    <w:rsid w:val="00CE3CC2"/>
    <w:rsid w:val="00CE72B9"/>
    <w:rsid w:val="00CF2053"/>
    <w:rsid w:val="00CF407A"/>
    <w:rsid w:val="00CF7150"/>
    <w:rsid w:val="00CF7569"/>
    <w:rsid w:val="00CF781A"/>
    <w:rsid w:val="00D01489"/>
    <w:rsid w:val="00D019A9"/>
    <w:rsid w:val="00D02BBA"/>
    <w:rsid w:val="00D040F4"/>
    <w:rsid w:val="00D04BC6"/>
    <w:rsid w:val="00D07C81"/>
    <w:rsid w:val="00D10188"/>
    <w:rsid w:val="00D11DEF"/>
    <w:rsid w:val="00D121D5"/>
    <w:rsid w:val="00D13577"/>
    <w:rsid w:val="00D14769"/>
    <w:rsid w:val="00D15D09"/>
    <w:rsid w:val="00D166DE"/>
    <w:rsid w:val="00D1779C"/>
    <w:rsid w:val="00D17A57"/>
    <w:rsid w:val="00D20525"/>
    <w:rsid w:val="00D22956"/>
    <w:rsid w:val="00D250C6"/>
    <w:rsid w:val="00D2618D"/>
    <w:rsid w:val="00D26E18"/>
    <w:rsid w:val="00D271F3"/>
    <w:rsid w:val="00D27571"/>
    <w:rsid w:val="00D307D7"/>
    <w:rsid w:val="00D33107"/>
    <w:rsid w:val="00D331A9"/>
    <w:rsid w:val="00D3426D"/>
    <w:rsid w:val="00D34CE5"/>
    <w:rsid w:val="00D36A69"/>
    <w:rsid w:val="00D40369"/>
    <w:rsid w:val="00D435A8"/>
    <w:rsid w:val="00D43D4C"/>
    <w:rsid w:val="00D47F65"/>
    <w:rsid w:val="00D50380"/>
    <w:rsid w:val="00D5059A"/>
    <w:rsid w:val="00D5118F"/>
    <w:rsid w:val="00D515DF"/>
    <w:rsid w:val="00D52692"/>
    <w:rsid w:val="00D529C5"/>
    <w:rsid w:val="00D52C3B"/>
    <w:rsid w:val="00D53225"/>
    <w:rsid w:val="00D54443"/>
    <w:rsid w:val="00D549D1"/>
    <w:rsid w:val="00D54A88"/>
    <w:rsid w:val="00D57E29"/>
    <w:rsid w:val="00D60E6B"/>
    <w:rsid w:val="00D653E2"/>
    <w:rsid w:val="00D65796"/>
    <w:rsid w:val="00D65EA8"/>
    <w:rsid w:val="00D72BC0"/>
    <w:rsid w:val="00D733C6"/>
    <w:rsid w:val="00D74A04"/>
    <w:rsid w:val="00D75B21"/>
    <w:rsid w:val="00D81B05"/>
    <w:rsid w:val="00D826DB"/>
    <w:rsid w:val="00D85866"/>
    <w:rsid w:val="00D9077C"/>
    <w:rsid w:val="00D90B55"/>
    <w:rsid w:val="00D92FEA"/>
    <w:rsid w:val="00D958E2"/>
    <w:rsid w:val="00D97D04"/>
    <w:rsid w:val="00DA0759"/>
    <w:rsid w:val="00DA4A8E"/>
    <w:rsid w:val="00DA4AAF"/>
    <w:rsid w:val="00DB1C85"/>
    <w:rsid w:val="00DB291B"/>
    <w:rsid w:val="00DB2BB4"/>
    <w:rsid w:val="00DB4A11"/>
    <w:rsid w:val="00DB6E1D"/>
    <w:rsid w:val="00DB6EB9"/>
    <w:rsid w:val="00DB71F9"/>
    <w:rsid w:val="00DB77B9"/>
    <w:rsid w:val="00DC1373"/>
    <w:rsid w:val="00DC256C"/>
    <w:rsid w:val="00DD1C15"/>
    <w:rsid w:val="00DD2D63"/>
    <w:rsid w:val="00DD461D"/>
    <w:rsid w:val="00DD487F"/>
    <w:rsid w:val="00DD5A08"/>
    <w:rsid w:val="00DD75B5"/>
    <w:rsid w:val="00DE5C90"/>
    <w:rsid w:val="00DE7139"/>
    <w:rsid w:val="00DF1B13"/>
    <w:rsid w:val="00DF3A31"/>
    <w:rsid w:val="00DF3BA1"/>
    <w:rsid w:val="00DF6902"/>
    <w:rsid w:val="00DF7E2F"/>
    <w:rsid w:val="00E00161"/>
    <w:rsid w:val="00E01551"/>
    <w:rsid w:val="00E01C02"/>
    <w:rsid w:val="00E06C77"/>
    <w:rsid w:val="00E07C73"/>
    <w:rsid w:val="00E132EA"/>
    <w:rsid w:val="00E133D0"/>
    <w:rsid w:val="00E159E7"/>
    <w:rsid w:val="00E2008F"/>
    <w:rsid w:val="00E20B2D"/>
    <w:rsid w:val="00E21946"/>
    <w:rsid w:val="00E23E04"/>
    <w:rsid w:val="00E24417"/>
    <w:rsid w:val="00E24F85"/>
    <w:rsid w:val="00E30126"/>
    <w:rsid w:val="00E3031D"/>
    <w:rsid w:val="00E31961"/>
    <w:rsid w:val="00E34CCA"/>
    <w:rsid w:val="00E35FA2"/>
    <w:rsid w:val="00E378EF"/>
    <w:rsid w:val="00E444E6"/>
    <w:rsid w:val="00E54244"/>
    <w:rsid w:val="00E61ABF"/>
    <w:rsid w:val="00E61D18"/>
    <w:rsid w:val="00E63CE0"/>
    <w:rsid w:val="00E64BE4"/>
    <w:rsid w:val="00E67412"/>
    <w:rsid w:val="00E674AE"/>
    <w:rsid w:val="00E67F46"/>
    <w:rsid w:val="00E67F82"/>
    <w:rsid w:val="00E71803"/>
    <w:rsid w:val="00E72461"/>
    <w:rsid w:val="00E72DBE"/>
    <w:rsid w:val="00E742FD"/>
    <w:rsid w:val="00E7506A"/>
    <w:rsid w:val="00E761AB"/>
    <w:rsid w:val="00E7626C"/>
    <w:rsid w:val="00E8446A"/>
    <w:rsid w:val="00E8716B"/>
    <w:rsid w:val="00E905BE"/>
    <w:rsid w:val="00E913B6"/>
    <w:rsid w:val="00E923F2"/>
    <w:rsid w:val="00E93A18"/>
    <w:rsid w:val="00E973F2"/>
    <w:rsid w:val="00EA0580"/>
    <w:rsid w:val="00EA3B0E"/>
    <w:rsid w:val="00EA42A0"/>
    <w:rsid w:val="00EA708A"/>
    <w:rsid w:val="00EB416B"/>
    <w:rsid w:val="00EB473A"/>
    <w:rsid w:val="00EB5A7B"/>
    <w:rsid w:val="00EB74F9"/>
    <w:rsid w:val="00EC0455"/>
    <w:rsid w:val="00EC06B5"/>
    <w:rsid w:val="00ED17B2"/>
    <w:rsid w:val="00ED1C62"/>
    <w:rsid w:val="00ED30AE"/>
    <w:rsid w:val="00ED466E"/>
    <w:rsid w:val="00EE0926"/>
    <w:rsid w:val="00EE147E"/>
    <w:rsid w:val="00EE2080"/>
    <w:rsid w:val="00EE2E17"/>
    <w:rsid w:val="00EE72B6"/>
    <w:rsid w:val="00EE7BDC"/>
    <w:rsid w:val="00EF1FD4"/>
    <w:rsid w:val="00EF242E"/>
    <w:rsid w:val="00EF38EC"/>
    <w:rsid w:val="00EF5C86"/>
    <w:rsid w:val="00EF6A3A"/>
    <w:rsid w:val="00F00380"/>
    <w:rsid w:val="00F019F8"/>
    <w:rsid w:val="00F06EC5"/>
    <w:rsid w:val="00F114FD"/>
    <w:rsid w:val="00F13A0B"/>
    <w:rsid w:val="00F14551"/>
    <w:rsid w:val="00F146AF"/>
    <w:rsid w:val="00F14ACA"/>
    <w:rsid w:val="00F246CA"/>
    <w:rsid w:val="00F25E18"/>
    <w:rsid w:val="00F2662C"/>
    <w:rsid w:val="00F27D65"/>
    <w:rsid w:val="00F32170"/>
    <w:rsid w:val="00F362F1"/>
    <w:rsid w:val="00F3655E"/>
    <w:rsid w:val="00F40D88"/>
    <w:rsid w:val="00F411F7"/>
    <w:rsid w:val="00F41953"/>
    <w:rsid w:val="00F42FE0"/>
    <w:rsid w:val="00F4332E"/>
    <w:rsid w:val="00F44D41"/>
    <w:rsid w:val="00F44F89"/>
    <w:rsid w:val="00F45041"/>
    <w:rsid w:val="00F472B8"/>
    <w:rsid w:val="00F52AAE"/>
    <w:rsid w:val="00F52F55"/>
    <w:rsid w:val="00F538D4"/>
    <w:rsid w:val="00F565F3"/>
    <w:rsid w:val="00F56643"/>
    <w:rsid w:val="00F6273E"/>
    <w:rsid w:val="00F65131"/>
    <w:rsid w:val="00F660FB"/>
    <w:rsid w:val="00F70495"/>
    <w:rsid w:val="00F70B89"/>
    <w:rsid w:val="00F71E46"/>
    <w:rsid w:val="00F72AA3"/>
    <w:rsid w:val="00F7786F"/>
    <w:rsid w:val="00F804E0"/>
    <w:rsid w:val="00F822BF"/>
    <w:rsid w:val="00F8317A"/>
    <w:rsid w:val="00F83240"/>
    <w:rsid w:val="00F85305"/>
    <w:rsid w:val="00F90B5E"/>
    <w:rsid w:val="00F9104A"/>
    <w:rsid w:val="00F91371"/>
    <w:rsid w:val="00F94FB2"/>
    <w:rsid w:val="00FA0979"/>
    <w:rsid w:val="00FA0A82"/>
    <w:rsid w:val="00FA2E82"/>
    <w:rsid w:val="00FA2FD6"/>
    <w:rsid w:val="00FA4675"/>
    <w:rsid w:val="00FA51FA"/>
    <w:rsid w:val="00FA556D"/>
    <w:rsid w:val="00FA5C9F"/>
    <w:rsid w:val="00FB09AA"/>
    <w:rsid w:val="00FB18DD"/>
    <w:rsid w:val="00FB21A9"/>
    <w:rsid w:val="00FB4766"/>
    <w:rsid w:val="00FB4FEE"/>
    <w:rsid w:val="00FB618E"/>
    <w:rsid w:val="00FC15C7"/>
    <w:rsid w:val="00FC166D"/>
    <w:rsid w:val="00FC5593"/>
    <w:rsid w:val="00FC62D1"/>
    <w:rsid w:val="00FC7345"/>
    <w:rsid w:val="00FC7926"/>
    <w:rsid w:val="00FD20B5"/>
    <w:rsid w:val="00FD2AB9"/>
    <w:rsid w:val="00FD49C7"/>
    <w:rsid w:val="00FD7DBB"/>
    <w:rsid w:val="00FE0A9D"/>
    <w:rsid w:val="00FE11E3"/>
    <w:rsid w:val="00FE2ED4"/>
    <w:rsid w:val="00FE4355"/>
    <w:rsid w:val="00FE4A84"/>
    <w:rsid w:val="00FE5ACF"/>
    <w:rsid w:val="00FE5D24"/>
    <w:rsid w:val="00FE6736"/>
    <w:rsid w:val="00FE6BE9"/>
    <w:rsid w:val="00FE752C"/>
    <w:rsid w:val="00FE771E"/>
    <w:rsid w:val="00FE787B"/>
    <w:rsid w:val="00FF004F"/>
    <w:rsid w:val="00FF19E6"/>
    <w:rsid w:val="00FF3DB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41762"/>
  <w15:chartTrackingRefBased/>
  <w15:docId w15:val="{0B6759B7-E720-4499-8B89-F6C690D2A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B5637"/>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5637"/>
    <w:rPr>
      <w:rFonts w:ascii="Arial" w:eastAsia="Times New Roman" w:hAnsi="Arial" w:cs="Arial"/>
      <w:b/>
      <w:bCs/>
      <w:kern w:val="32"/>
      <w:sz w:val="32"/>
      <w:szCs w:val="32"/>
    </w:rPr>
  </w:style>
  <w:style w:type="paragraph" w:styleId="ListParagraph">
    <w:name w:val="List Paragraph"/>
    <w:basedOn w:val="Normal"/>
    <w:uiPriority w:val="34"/>
    <w:qFormat/>
    <w:rsid w:val="005355B2"/>
    <w:pPr>
      <w:ind w:left="720"/>
      <w:contextualSpacing/>
    </w:pPr>
  </w:style>
  <w:style w:type="paragraph" w:styleId="BalloonText">
    <w:name w:val="Balloon Text"/>
    <w:basedOn w:val="Normal"/>
    <w:link w:val="BalloonTextChar"/>
    <w:uiPriority w:val="99"/>
    <w:semiHidden/>
    <w:unhideWhenUsed/>
    <w:rsid w:val="00F704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0495"/>
    <w:rPr>
      <w:rFonts w:ascii="Segoe UI" w:hAnsi="Segoe UI" w:cs="Segoe UI"/>
      <w:sz w:val="18"/>
      <w:szCs w:val="18"/>
    </w:rPr>
  </w:style>
  <w:style w:type="table" w:styleId="TableGrid">
    <w:name w:val="Table Grid"/>
    <w:basedOn w:val="TableNormal"/>
    <w:uiPriority w:val="39"/>
    <w:rsid w:val="00BF2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B14A6"/>
    <w:rPr>
      <w:color w:val="0000FF"/>
      <w:u w:val="single"/>
    </w:rPr>
  </w:style>
  <w:style w:type="paragraph" w:styleId="Header">
    <w:name w:val="header"/>
    <w:basedOn w:val="Normal"/>
    <w:link w:val="HeaderChar"/>
    <w:uiPriority w:val="99"/>
    <w:unhideWhenUsed/>
    <w:rsid w:val="001860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60C2"/>
  </w:style>
  <w:style w:type="paragraph" w:styleId="Footer">
    <w:name w:val="footer"/>
    <w:basedOn w:val="Normal"/>
    <w:link w:val="FooterChar"/>
    <w:uiPriority w:val="99"/>
    <w:unhideWhenUsed/>
    <w:rsid w:val="001860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60C2"/>
  </w:style>
  <w:style w:type="character" w:styleId="UnresolvedMention">
    <w:name w:val="Unresolved Mention"/>
    <w:basedOn w:val="DefaultParagraphFont"/>
    <w:uiPriority w:val="99"/>
    <w:semiHidden/>
    <w:unhideWhenUsed/>
    <w:rsid w:val="00F00380"/>
    <w:rPr>
      <w:color w:val="808080"/>
      <w:shd w:val="clear" w:color="auto" w:fill="E6E6E6"/>
    </w:rPr>
  </w:style>
  <w:style w:type="paragraph" w:styleId="BodyText2">
    <w:name w:val="Body Text 2"/>
    <w:basedOn w:val="Normal"/>
    <w:link w:val="BodyText2Char"/>
    <w:rsid w:val="001D3AD8"/>
    <w:pPr>
      <w:spacing w:after="120" w:line="480" w:lineRule="auto"/>
    </w:pPr>
    <w:rPr>
      <w:rFonts w:ascii="Century Gothic" w:eastAsia="Times New Roman" w:hAnsi="Century Gothic" w:cs="Arial"/>
      <w:sz w:val="20"/>
      <w:szCs w:val="20"/>
    </w:rPr>
  </w:style>
  <w:style w:type="character" w:customStyle="1" w:styleId="BodyText2Char">
    <w:name w:val="Body Text 2 Char"/>
    <w:basedOn w:val="DefaultParagraphFont"/>
    <w:link w:val="BodyText2"/>
    <w:rsid w:val="001D3AD8"/>
    <w:rPr>
      <w:rFonts w:ascii="Century Gothic" w:eastAsia="Times New Roman" w:hAnsi="Century Gothic"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29264">
      <w:bodyDiv w:val="1"/>
      <w:marLeft w:val="0"/>
      <w:marRight w:val="0"/>
      <w:marTop w:val="0"/>
      <w:marBottom w:val="0"/>
      <w:divBdr>
        <w:top w:val="none" w:sz="0" w:space="0" w:color="auto"/>
        <w:left w:val="none" w:sz="0" w:space="0" w:color="auto"/>
        <w:bottom w:val="none" w:sz="0" w:space="0" w:color="auto"/>
        <w:right w:val="none" w:sz="0" w:space="0" w:color="auto"/>
      </w:divBdr>
    </w:div>
    <w:div w:id="809636148">
      <w:bodyDiv w:val="1"/>
      <w:marLeft w:val="0"/>
      <w:marRight w:val="0"/>
      <w:marTop w:val="0"/>
      <w:marBottom w:val="0"/>
      <w:divBdr>
        <w:top w:val="none" w:sz="0" w:space="0" w:color="auto"/>
        <w:left w:val="none" w:sz="0" w:space="0" w:color="auto"/>
        <w:bottom w:val="none" w:sz="0" w:space="0" w:color="auto"/>
        <w:right w:val="none" w:sz="0" w:space="0" w:color="auto"/>
      </w:divBdr>
    </w:div>
    <w:div w:id="1002664359">
      <w:bodyDiv w:val="1"/>
      <w:marLeft w:val="0"/>
      <w:marRight w:val="0"/>
      <w:marTop w:val="0"/>
      <w:marBottom w:val="0"/>
      <w:divBdr>
        <w:top w:val="none" w:sz="0" w:space="0" w:color="auto"/>
        <w:left w:val="none" w:sz="0" w:space="0" w:color="auto"/>
        <w:bottom w:val="none" w:sz="0" w:space="0" w:color="auto"/>
        <w:right w:val="none" w:sz="0" w:space="0" w:color="auto"/>
      </w:divBdr>
    </w:div>
    <w:div w:id="189700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fsa.co.z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gi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tfsa.co.za"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etfsa-fs01.etfsa.co.za\etfSA.co.za\SHERRYL\ETFSA\Website\WEB%20-%20News\2024\market%20cap%202008%20to%20mar2024.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862707582112983"/>
          <c:y val="0.25184881205810183"/>
          <c:w val="0.86395859396080166"/>
          <c:h val="0.54915899356228681"/>
        </c:manualLayout>
      </c:layout>
      <c:bar3DChart>
        <c:barDir val="col"/>
        <c:grouping val="clustered"/>
        <c:varyColors val="0"/>
        <c:ser>
          <c:idx val="0"/>
          <c:order val="0"/>
          <c:tx>
            <c:strRef>
              <c:f>Sheet1!$B$1</c:f>
              <c:strCache>
                <c:ptCount val="1"/>
              </c:strCache>
            </c:strRef>
          </c:tx>
          <c:spPr>
            <a:solidFill>
              <a:srgbClr val="C00000"/>
            </a:solidFill>
            <a:ln>
              <a:solidFill>
                <a:schemeClr val="tx1">
                  <a:lumMod val="75000"/>
                  <a:lumOff val="25000"/>
                </a:schemeClr>
              </a:solidFill>
            </a:ln>
            <a:effectLst/>
            <a:sp3d>
              <a:contourClr>
                <a:schemeClr val="tx1">
                  <a:lumMod val="75000"/>
                  <a:lumOff val="25000"/>
                </a:schemeClr>
              </a:contourClr>
            </a:sp3d>
          </c:spPr>
          <c:invertIfNegative val="0"/>
          <c:dLbls>
            <c:dLbl>
              <c:idx val="2"/>
              <c:layout>
                <c:manualLayout>
                  <c:x val="-1.5473884672040965E-2"/>
                  <c:y val="-2.44648318042812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FA3-4B71-BC2C-E2BFB4A923D5}"/>
                </c:ext>
              </c:extLst>
            </c:dLbl>
            <c:dLbl>
              <c:idx val="6"/>
              <c:layout>
                <c:manualLayout>
                  <c:x val="4.9844236760124613E-3"/>
                  <c:y val="-1.69671261930010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FA3-4B71-BC2C-E2BFB4A923D5}"/>
                </c:ext>
              </c:extLst>
            </c:dLbl>
            <c:dLbl>
              <c:idx val="7"/>
              <c:layout>
                <c:manualLayout>
                  <c:x val="1.2461059190031062E-2"/>
                  <c:y val="-4.241781548250265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FA3-4B71-BC2C-E2BFB4A923D5}"/>
                </c:ext>
              </c:extLst>
            </c:dLbl>
            <c:dLbl>
              <c:idx val="8"/>
              <c:layout>
                <c:manualLayout>
                  <c:x val="5.6417476890489758E-3"/>
                  <c:y val="4.241880188429214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FA3-4B71-BC2C-E2BFB4A923D5}"/>
                </c:ext>
              </c:extLst>
            </c:dLbl>
            <c:dLbl>
              <c:idx val="10"/>
              <c:layout>
                <c:manualLayout>
                  <c:x val="9.9688473520249225E-3"/>
                  <c:y val="1.94412741755554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FA3-4B71-BC2C-E2BFB4A923D5}"/>
                </c:ext>
              </c:extLst>
            </c:dLbl>
            <c:dLbl>
              <c:idx val="13"/>
              <c:layout>
                <c:manualLayout>
                  <c:x val="-2.0645157095218268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FA3-4B71-BC2C-E2BFB4A923D5}"/>
                </c:ext>
              </c:extLst>
            </c:dLbl>
            <c:dLbl>
              <c:idx val="14"/>
              <c:layout>
                <c:manualLayout>
                  <c:x val="7.7369423360203879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FA3-4B71-BC2C-E2BFB4A923D5}"/>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Verdana" panose="020B0604030504040204" pitchFamily="34" charset="0"/>
                    <a:ea typeface="Verdana" panose="020B0604030504040204" pitchFamily="34" charset="0"/>
                    <a:cs typeface="Verdana" panose="020B060403050404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Sheet1!$A$2:$A$18</c:f>
              <c:numCache>
                <c:formatCode>General</c:formatCode>
                <c:ptCount val="17"/>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formatCode="mmm\-yy">
                  <c:v>45352</c:v>
                </c:pt>
              </c:numCache>
            </c:numRef>
          </c:cat>
          <c:val>
            <c:numRef>
              <c:f>Sheet1!$B$2:$B$18</c:f>
              <c:numCache>
                <c:formatCode>General</c:formatCode>
                <c:ptCount val="17"/>
                <c:pt idx="0">
                  <c:v>15806</c:v>
                </c:pt>
                <c:pt idx="1">
                  <c:v>26602</c:v>
                </c:pt>
                <c:pt idx="2">
                  <c:v>32273</c:v>
                </c:pt>
                <c:pt idx="3">
                  <c:v>38942</c:v>
                </c:pt>
                <c:pt idx="4">
                  <c:v>47616</c:v>
                </c:pt>
                <c:pt idx="5">
                  <c:v>62632</c:v>
                </c:pt>
                <c:pt idx="6">
                  <c:v>78890</c:v>
                </c:pt>
                <c:pt idx="7">
                  <c:v>77080</c:v>
                </c:pt>
                <c:pt idx="8">
                  <c:v>73515</c:v>
                </c:pt>
                <c:pt idx="9">
                  <c:v>85027</c:v>
                </c:pt>
                <c:pt idx="10">
                  <c:v>77786</c:v>
                </c:pt>
                <c:pt idx="11">
                  <c:v>100782</c:v>
                </c:pt>
                <c:pt idx="12">
                  <c:v>111026</c:v>
                </c:pt>
                <c:pt idx="13">
                  <c:v>136049</c:v>
                </c:pt>
                <c:pt idx="14">
                  <c:v>129311</c:v>
                </c:pt>
                <c:pt idx="15">
                  <c:v>165410</c:v>
                </c:pt>
                <c:pt idx="16">
                  <c:v>178163</c:v>
                </c:pt>
              </c:numCache>
            </c:numRef>
          </c:val>
          <c:extLst>
            <c:ext xmlns:c16="http://schemas.microsoft.com/office/drawing/2014/chart" uri="{C3380CC4-5D6E-409C-BE32-E72D297353CC}">
              <c16:uniqueId val="{00000007-3FA3-4B71-BC2C-E2BFB4A923D5}"/>
            </c:ext>
          </c:extLst>
        </c:ser>
        <c:dLbls>
          <c:showLegendKey val="0"/>
          <c:showVal val="0"/>
          <c:showCatName val="0"/>
          <c:showSerName val="0"/>
          <c:showPercent val="0"/>
          <c:showBubbleSize val="0"/>
        </c:dLbls>
        <c:gapWidth val="150"/>
        <c:shape val="box"/>
        <c:axId val="314479968"/>
        <c:axId val="254596752"/>
        <c:axId val="0"/>
      </c:bar3DChart>
      <c:catAx>
        <c:axId val="3144799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en-US"/>
          </a:p>
        </c:txPr>
        <c:crossAx val="254596752"/>
        <c:crosses val="autoZero"/>
        <c:auto val="1"/>
        <c:lblAlgn val="ctr"/>
        <c:lblOffset val="100"/>
        <c:noMultiLvlLbl val="0"/>
      </c:catAx>
      <c:valAx>
        <c:axId val="2545967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en-US"/>
          </a:p>
        </c:txPr>
        <c:crossAx val="3144799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Verdana" panose="020B0604030504040204" pitchFamily="34" charset="0"/>
          <a:ea typeface="Verdana" panose="020B0604030504040204" pitchFamily="34" charset="0"/>
          <a:cs typeface="Verdana" panose="020B0604030504040204" pitchFamily="34" charset="0"/>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0.20561</cdr:x>
      <cdr:y>0.00923</cdr:y>
    </cdr:from>
    <cdr:to>
      <cdr:x>0.74953</cdr:x>
      <cdr:y>0.22801</cdr:y>
    </cdr:to>
    <cdr:sp macro="" textlink="">
      <cdr:nvSpPr>
        <cdr:cNvPr id="2" name="TextBox 1">
          <a:extLst xmlns:a="http://schemas.openxmlformats.org/drawingml/2006/main">
            <a:ext uri="{FF2B5EF4-FFF2-40B4-BE49-F238E27FC236}">
              <a16:creationId xmlns:a16="http://schemas.microsoft.com/office/drawing/2014/main" id="{71B3CF54-1390-4A8C-BE09-B1C289F383B0}"/>
            </a:ext>
          </a:extLst>
        </cdr:cNvPr>
        <cdr:cNvSpPr txBox="1"/>
      </cdr:nvSpPr>
      <cdr:spPr>
        <a:xfrm xmlns:a="http://schemas.openxmlformats.org/drawingml/2006/main">
          <a:off x="925687" y="26990"/>
          <a:ext cx="2448810" cy="63976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marL="0" marR="0" lvl="0" indent="0" algn="ctr" defTabSz="914400" eaLnBrk="1" fontAlgn="auto" latinLnBrk="0" hangingPunct="1">
            <a:lnSpc>
              <a:spcPct val="100000"/>
            </a:lnSpc>
            <a:spcBef>
              <a:spcPts val="0"/>
            </a:spcBef>
            <a:spcAft>
              <a:spcPts val="0"/>
            </a:spcAft>
            <a:buClrTx/>
            <a:buSzTx/>
            <a:buFontTx/>
            <a:buNone/>
            <a:tabLst/>
            <a:defRPr/>
          </a:pPr>
          <a:r>
            <a:rPr lang="en-ZA" sz="1200" b="1">
              <a:effectLst/>
              <a:latin typeface="Verdana" panose="020B0604030504040204" pitchFamily="34" charset="0"/>
              <a:ea typeface="Verdana" panose="020B0604030504040204" pitchFamily="34" charset="0"/>
              <a:cs typeface="Verdana" panose="020B0604030504040204" pitchFamily="34" charset="0"/>
            </a:rPr>
            <a:t>SA ETP Industry</a:t>
          </a:r>
          <a:endParaRPr lang="en-ZA" sz="1200" b="1">
            <a:latin typeface="Verdana" panose="020B0604030504040204" pitchFamily="34" charset="0"/>
            <a:ea typeface="Verdana" panose="020B0604030504040204" pitchFamily="34" charset="0"/>
            <a:cs typeface="Verdana" panose="020B0604030504040204" pitchFamily="34" charset="0"/>
          </a:endParaRPr>
        </a:p>
        <a:p xmlns:a="http://schemas.openxmlformats.org/drawingml/2006/main">
          <a:pPr algn="ctr"/>
          <a:r>
            <a:rPr lang="en-ZA" sz="1200" b="1">
              <a:latin typeface="Verdana" panose="020B0604030504040204" pitchFamily="34" charset="0"/>
              <a:ea typeface="Verdana" panose="020B0604030504040204" pitchFamily="34" charset="0"/>
              <a:cs typeface="Verdana" panose="020B0604030504040204" pitchFamily="34" charset="0"/>
            </a:rPr>
            <a:t>Total Market Capitalisation (Rm) </a:t>
          </a:r>
        </a:p>
        <a:p xmlns:a="http://schemas.openxmlformats.org/drawingml/2006/main">
          <a:pPr algn="ctr"/>
          <a:r>
            <a:rPr lang="en-ZA" sz="1000" b="1">
              <a:latin typeface="Verdana" panose="020B0604030504040204" pitchFamily="34" charset="0"/>
              <a:ea typeface="Verdana" panose="020B0604030504040204" pitchFamily="34" charset="0"/>
              <a:cs typeface="Verdana" panose="020B0604030504040204" pitchFamily="34" charset="0"/>
            </a:rPr>
            <a:t>(at year end)</a:t>
          </a:r>
        </a:p>
      </cdr:txBody>
    </cdr:sp>
  </cdr:relSizeAnchor>
  <cdr:relSizeAnchor xmlns:cdr="http://schemas.openxmlformats.org/drawingml/2006/chartDrawing">
    <cdr:from>
      <cdr:x>0.01626</cdr:x>
      <cdr:y>0.17148</cdr:y>
    </cdr:from>
    <cdr:to>
      <cdr:x>0.1957</cdr:x>
      <cdr:y>0.26692</cdr:y>
    </cdr:to>
    <cdr:sp macro="" textlink="">
      <cdr:nvSpPr>
        <cdr:cNvPr id="3" name="TextBox 2">
          <a:extLst xmlns:a="http://schemas.openxmlformats.org/drawingml/2006/main">
            <a:ext uri="{FF2B5EF4-FFF2-40B4-BE49-F238E27FC236}">
              <a16:creationId xmlns:a16="http://schemas.microsoft.com/office/drawing/2014/main" id="{819D019F-0281-4610-B0C9-6181F7018AA9}"/>
            </a:ext>
          </a:extLst>
        </cdr:cNvPr>
        <cdr:cNvSpPr txBox="1"/>
      </cdr:nvSpPr>
      <cdr:spPr>
        <a:xfrm xmlns:a="http://schemas.openxmlformats.org/drawingml/2006/main">
          <a:off x="76200" y="517775"/>
          <a:ext cx="840910" cy="288173"/>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ZA" sz="1100"/>
            <a:t>(R Million)</a:t>
          </a:r>
        </a:p>
      </cdr:txBody>
    </cdr:sp>
  </cdr:relSizeAnchor>
  <cdr:relSizeAnchor xmlns:cdr="http://schemas.openxmlformats.org/drawingml/2006/chartDrawing">
    <cdr:from>
      <cdr:x>0.5315</cdr:x>
      <cdr:y>0.90716</cdr:y>
    </cdr:from>
    <cdr:to>
      <cdr:x>0.71094</cdr:x>
      <cdr:y>0.992</cdr:y>
    </cdr:to>
    <cdr:sp macro="" textlink="">
      <cdr:nvSpPr>
        <cdr:cNvPr id="4" name="TextBox 1">
          <a:extLst xmlns:a="http://schemas.openxmlformats.org/drawingml/2006/main">
            <a:ext uri="{FF2B5EF4-FFF2-40B4-BE49-F238E27FC236}">
              <a16:creationId xmlns:a16="http://schemas.microsoft.com/office/drawing/2014/main" id="{652FD978-8923-48DA-8F93-C6FA0298E12F}"/>
            </a:ext>
          </a:extLst>
        </cdr:cNvPr>
        <cdr:cNvSpPr txBox="1"/>
      </cdr:nvSpPr>
      <cdr:spPr>
        <a:xfrm xmlns:a="http://schemas.openxmlformats.org/drawingml/2006/main">
          <a:off x="2391225" y="2511577"/>
          <a:ext cx="807296" cy="234888"/>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ZA" sz="1100"/>
            <a:t>(Years)</a:t>
          </a:r>
        </a:p>
      </cdr:txBody>
    </cdr:sp>
  </cdr:relSizeAnchor>
  <cdr:relSizeAnchor xmlns:cdr="http://schemas.openxmlformats.org/drawingml/2006/chartDrawing">
    <cdr:from>
      <cdr:x>0.01082</cdr:x>
      <cdr:y>0.9121</cdr:y>
    </cdr:from>
    <cdr:to>
      <cdr:x>0.45648</cdr:x>
      <cdr:y>0.99694</cdr:y>
    </cdr:to>
    <cdr:sp macro="" textlink="">
      <cdr:nvSpPr>
        <cdr:cNvPr id="5" name="TextBox 1">
          <a:extLst xmlns:a="http://schemas.openxmlformats.org/drawingml/2006/main">
            <a:ext uri="{FF2B5EF4-FFF2-40B4-BE49-F238E27FC236}">
              <a16:creationId xmlns:a16="http://schemas.microsoft.com/office/drawing/2014/main" id="{B1670A36-6D90-4B69-BCAC-58A05B184152}"/>
            </a:ext>
          </a:extLst>
        </cdr:cNvPr>
        <cdr:cNvSpPr txBox="1"/>
      </cdr:nvSpPr>
      <cdr:spPr>
        <a:xfrm xmlns:a="http://schemas.openxmlformats.org/drawingml/2006/main">
          <a:off x="53282" y="2840895"/>
          <a:ext cx="2194619" cy="264249"/>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ZA" sz="900" i="1"/>
            <a:t>Source:</a:t>
          </a:r>
          <a:r>
            <a:rPr lang="en-ZA" sz="900" i="1" baseline="0"/>
            <a:t> etfSA.co.za/Profile Data (Mar 2024)</a:t>
          </a:r>
          <a:endParaRPr lang="en-ZA" sz="900" i="1"/>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7786B-E4A5-4B46-8645-F3874A041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1937</Words>
  <Characters>11043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Sherryl Fortuin</dc:creator>
  <cp:keywords/>
  <dc:description/>
  <cp:lastModifiedBy>Sherryl Fortuin</cp:lastModifiedBy>
  <cp:revision>11</cp:revision>
  <cp:lastPrinted>2024-04-12T13:54:00Z</cp:lastPrinted>
  <dcterms:created xsi:type="dcterms:W3CDTF">2024-04-11T12:21:00Z</dcterms:created>
  <dcterms:modified xsi:type="dcterms:W3CDTF">2024-04-12T13:54:00Z</dcterms:modified>
</cp:coreProperties>
</file>