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487E8" w14:textId="50EEF36C" w:rsidR="00243081" w:rsidRDefault="00D108C2" w:rsidP="00B32D6E">
      <w:pPr>
        <w:spacing w:after="120" w:line="240" w:lineRule="auto"/>
        <w:rPr>
          <w:rFonts w:ascii="Verdana" w:hAnsi="Verdana"/>
          <w:sz w:val="24"/>
          <w:szCs w:val="24"/>
        </w:rPr>
      </w:pPr>
      <w:r>
        <w:rPr>
          <w:rFonts w:ascii="Verdana" w:hAnsi="Verdana"/>
          <w:noProof/>
          <w:lang w:eastAsia="en-ZA"/>
        </w:rPr>
        <w:drawing>
          <wp:inline distT="0" distB="0" distL="0" distR="0" wp14:anchorId="77AE5B01" wp14:editId="77AE5B02">
            <wp:extent cx="3562985" cy="750570"/>
            <wp:effectExtent l="0" t="0" r="0"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762" cy="751787"/>
                    </a:xfrm>
                    <a:prstGeom prst="rect">
                      <a:avLst/>
                    </a:prstGeom>
                    <a:noFill/>
                    <a:ln>
                      <a:noFill/>
                    </a:ln>
                  </pic:spPr>
                </pic:pic>
              </a:graphicData>
            </a:graphic>
          </wp:inline>
        </w:drawing>
      </w:r>
      <w:bookmarkStart w:id="0" w:name="OLE_LINK1"/>
    </w:p>
    <w:p w14:paraId="77AE5507" w14:textId="5A6169F5" w:rsidR="00D108C2" w:rsidRPr="006D7553" w:rsidRDefault="005C2F9B" w:rsidP="00251179">
      <w:pPr>
        <w:pStyle w:val="Heading1"/>
        <w:spacing w:before="0" w:after="0" w:line="240" w:lineRule="atLeast"/>
        <w:rPr>
          <w:rFonts w:ascii="Verdana" w:hAnsi="Verdana"/>
          <w:sz w:val="24"/>
          <w:szCs w:val="24"/>
        </w:rPr>
      </w:pPr>
      <w:r>
        <w:rPr>
          <w:rFonts w:ascii="Verdana" w:hAnsi="Verdana"/>
          <w:sz w:val="24"/>
          <w:szCs w:val="24"/>
        </w:rPr>
        <w:t>JUNE</w:t>
      </w:r>
      <w:r w:rsidR="00D108C2" w:rsidRPr="006D7553">
        <w:rPr>
          <w:rFonts w:ascii="Verdana" w:hAnsi="Verdana"/>
          <w:sz w:val="24"/>
          <w:szCs w:val="24"/>
        </w:rPr>
        <w:t xml:space="preserve"> 201</w:t>
      </w:r>
      <w:r w:rsidR="006841F4">
        <w:rPr>
          <w:rFonts w:ascii="Verdana" w:hAnsi="Verdana"/>
          <w:sz w:val="24"/>
          <w:szCs w:val="24"/>
        </w:rPr>
        <w:t>8</w:t>
      </w:r>
      <w:r w:rsidR="00D108C2" w:rsidRPr="006D7553">
        <w:rPr>
          <w:rFonts w:ascii="Verdana" w:hAnsi="Verdana"/>
          <w:sz w:val="24"/>
          <w:szCs w:val="24"/>
        </w:rPr>
        <w:t xml:space="preserve"> – etfSA.co.za MONTHLY SOUTH AFRICAN </w:t>
      </w:r>
      <w:r w:rsidR="00D108C2" w:rsidRPr="006D7553">
        <w:rPr>
          <w:rFonts w:ascii="Verdana" w:hAnsi="Verdana"/>
          <w:caps/>
          <w:sz w:val="24"/>
          <w:szCs w:val="24"/>
        </w:rPr>
        <w:t xml:space="preserve">etf, ETN and UNIT TRUST PASSIVE index tracking </w:t>
      </w:r>
      <w:r w:rsidR="00D108C2" w:rsidRPr="006D7553">
        <w:rPr>
          <w:rFonts w:ascii="Verdana" w:hAnsi="Verdana"/>
          <w:color w:val="FF0000"/>
          <w:sz w:val="24"/>
          <w:szCs w:val="24"/>
          <w:u w:val="single"/>
        </w:rPr>
        <w:t>PERFORMANCE SURVEY</w:t>
      </w:r>
    </w:p>
    <w:p w14:paraId="77AE5508" w14:textId="77777777" w:rsidR="00D108C2" w:rsidRPr="006D7553" w:rsidRDefault="00D108C2" w:rsidP="00243081">
      <w:pPr>
        <w:pStyle w:val="Heading1"/>
        <w:spacing w:before="120" w:after="0" w:line="240" w:lineRule="atLeast"/>
        <w:rPr>
          <w:rFonts w:ascii="Verdana" w:hAnsi="Verdana"/>
          <w:sz w:val="22"/>
          <w:szCs w:val="22"/>
        </w:rPr>
      </w:pPr>
      <w:bookmarkStart w:id="1" w:name="OLE_LINK6"/>
      <w:bookmarkStart w:id="2" w:name="OLE_LINK7"/>
      <w:r w:rsidRPr="006D7553">
        <w:rPr>
          <w:rFonts w:ascii="Verdana" w:hAnsi="Verdana"/>
          <w:sz w:val="22"/>
          <w:szCs w:val="22"/>
        </w:rPr>
        <w:t>Mike Brown, Managing Director, etfSA.co.za</w:t>
      </w:r>
    </w:p>
    <w:bookmarkEnd w:id="0"/>
    <w:bookmarkEnd w:id="1"/>
    <w:bookmarkEnd w:id="2"/>
    <w:p w14:paraId="388D65BF" w14:textId="77777777" w:rsidR="002A60F2" w:rsidRPr="007B3B94" w:rsidRDefault="002A60F2" w:rsidP="007B3B94">
      <w:pPr>
        <w:pStyle w:val="BodyText2"/>
        <w:spacing w:after="0" w:line="240" w:lineRule="auto"/>
        <w:rPr>
          <w:rFonts w:ascii="Verdana" w:hAnsi="Verdana"/>
          <w:sz w:val="16"/>
          <w:szCs w:val="16"/>
        </w:rPr>
      </w:pPr>
    </w:p>
    <w:p w14:paraId="3D7215B6" w14:textId="05F3199E" w:rsidR="00C16BF5" w:rsidRPr="00B32D6E" w:rsidRDefault="00D16230" w:rsidP="009028DE">
      <w:pPr>
        <w:pStyle w:val="BodyText2"/>
        <w:spacing w:after="0" w:line="260" w:lineRule="atLeast"/>
        <w:jc w:val="both"/>
        <w:rPr>
          <w:rFonts w:ascii="Verdana" w:hAnsi="Verdana"/>
          <w:sz w:val="18"/>
          <w:szCs w:val="18"/>
        </w:rPr>
      </w:pPr>
      <w:r w:rsidRPr="00B32D6E">
        <w:rPr>
          <w:rFonts w:ascii="Verdana" w:hAnsi="Verdana"/>
          <w:sz w:val="18"/>
          <w:szCs w:val="18"/>
        </w:rPr>
        <w:t xml:space="preserve">The Performance Survey for the period ended </w:t>
      </w:r>
      <w:r w:rsidR="005C2F9B" w:rsidRPr="00B32D6E">
        <w:rPr>
          <w:rFonts w:ascii="Verdana" w:hAnsi="Verdana"/>
          <w:sz w:val="18"/>
          <w:szCs w:val="18"/>
        </w:rPr>
        <w:t>29</w:t>
      </w:r>
      <w:r w:rsidR="00A06CCB" w:rsidRPr="00B32D6E">
        <w:rPr>
          <w:rFonts w:ascii="Verdana" w:hAnsi="Verdana"/>
          <w:sz w:val="18"/>
          <w:szCs w:val="18"/>
        </w:rPr>
        <w:t xml:space="preserve"> </w:t>
      </w:r>
      <w:r w:rsidR="005C2F9B" w:rsidRPr="00B32D6E">
        <w:rPr>
          <w:rFonts w:ascii="Verdana" w:hAnsi="Verdana"/>
          <w:sz w:val="18"/>
          <w:szCs w:val="18"/>
        </w:rPr>
        <w:t>June</w:t>
      </w:r>
      <w:r w:rsidRPr="00B32D6E">
        <w:rPr>
          <w:rFonts w:ascii="Verdana" w:hAnsi="Verdana"/>
          <w:sz w:val="18"/>
          <w:szCs w:val="18"/>
        </w:rPr>
        <w:t xml:space="preserve"> 201</w:t>
      </w:r>
      <w:r w:rsidR="006841F4" w:rsidRPr="00B32D6E">
        <w:rPr>
          <w:rFonts w:ascii="Verdana" w:hAnsi="Verdana"/>
          <w:sz w:val="18"/>
          <w:szCs w:val="18"/>
        </w:rPr>
        <w:t>8</w:t>
      </w:r>
      <w:r w:rsidRPr="00B32D6E">
        <w:rPr>
          <w:rFonts w:ascii="Verdana" w:hAnsi="Verdana"/>
          <w:sz w:val="18"/>
          <w:szCs w:val="18"/>
        </w:rPr>
        <w:t xml:space="preserve">, is attached.  The Survey measures total investment returns for all </w:t>
      </w:r>
      <w:r w:rsidR="007243E2" w:rsidRPr="00B32D6E">
        <w:rPr>
          <w:rFonts w:ascii="Verdana" w:hAnsi="Verdana"/>
          <w:sz w:val="18"/>
          <w:szCs w:val="18"/>
        </w:rPr>
        <w:t>92</w:t>
      </w:r>
      <w:r w:rsidRPr="00B32D6E">
        <w:rPr>
          <w:rFonts w:ascii="Verdana" w:hAnsi="Verdana"/>
          <w:sz w:val="18"/>
          <w:szCs w:val="18"/>
        </w:rPr>
        <w:t xml:space="preserve"> JSE listed ETFs/ETNs, and </w:t>
      </w:r>
      <w:r w:rsidR="00C04341" w:rsidRPr="00B32D6E">
        <w:rPr>
          <w:rFonts w:ascii="Verdana" w:hAnsi="Verdana"/>
          <w:sz w:val="18"/>
          <w:szCs w:val="18"/>
        </w:rPr>
        <w:t>3</w:t>
      </w:r>
      <w:r w:rsidR="00DE46F2" w:rsidRPr="00B32D6E">
        <w:rPr>
          <w:rFonts w:ascii="Verdana" w:hAnsi="Verdana"/>
          <w:sz w:val="18"/>
          <w:szCs w:val="18"/>
        </w:rPr>
        <w:t>9</w:t>
      </w:r>
      <w:r w:rsidRPr="00B32D6E">
        <w:rPr>
          <w:rFonts w:ascii="Verdana" w:hAnsi="Verdana"/>
          <w:sz w:val="18"/>
          <w:szCs w:val="18"/>
        </w:rPr>
        <w:t xml:space="preserve"> index tracking unit trusts for periods of </w:t>
      </w:r>
      <w:r w:rsidR="00196A64" w:rsidRPr="00B32D6E">
        <w:rPr>
          <w:rFonts w:ascii="Verdana" w:hAnsi="Verdana"/>
          <w:sz w:val="18"/>
          <w:szCs w:val="18"/>
        </w:rPr>
        <w:t>one</w:t>
      </w:r>
      <w:r w:rsidRPr="00B32D6E">
        <w:rPr>
          <w:rFonts w:ascii="Verdana" w:hAnsi="Verdana"/>
          <w:sz w:val="18"/>
          <w:szCs w:val="18"/>
        </w:rPr>
        <w:t xml:space="preserve"> month to </w:t>
      </w:r>
      <w:r w:rsidR="00196A64" w:rsidRPr="00B32D6E">
        <w:rPr>
          <w:rFonts w:ascii="Verdana" w:hAnsi="Verdana"/>
          <w:sz w:val="18"/>
          <w:szCs w:val="18"/>
        </w:rPr>
        <w:t>ten</w:t>
      </w:r>
      <w:r w:rsidRPr="00B32D6E">
        <w:rPr>
          <w:rFonts w:ascii="Verdana" w:hAnsi="Verdana"/>
          <w:sz w:val="18"/>
          <w:szCs w:val="18"/>
        </w:rPr>
        <w:t xml:space="preserve"> years. </w:t>
      </w:r>
      <w:r w:rsidR="006E1F7E" w:rsidRPr="00B32D6E">
        <w:rPr>
          <w:rFonts w:ascii="Verdana" w:hAnsi="Verdana"/>
          <w:sz w:val="18"/>
          <w:szCs w:val="18"/>
        </w:rPr>
        <w:t xml:space="preserve"> The summary table of the best performing passive index t</w:t>
      </w:r>
      <w:r w:rsidR="0092173D" w:rsidRPr="00B32D6E">
        <w:rPr>
          <w:rFonts w:ascii="Verdana" w:hAnsi="Verdana"/>
          <w:sz w:val="18"/>
          <w:szCs w:val="18"/>
        </w:rPr>
        <w:t xml:space="preserve">racking products is shown </w:t>
      </w:r>
      <w:r w:rsidR="00F41C15" w:rsidRPr="00B32D6E">
        <w:rPr>
          <w:rFonts w:ascii="Verdana" w:hAnsi="Verdana"/>
          <w:sz w:val="18"/>
          <w:szCs w:val="18"/>
        </w:rPr>
        <w:t xml:space="preserve">on page </w:t>
      </w:r>
      <w:r w:rsidR="00F6626D" w:rsidRPr="00B32D6E">
        <w:rPr>
          <w:rFonts w:ascii="Verdana" w:hAnsi="Verdana"/>
          <w:sz w:val="18"/>
          <w:szCs w:val="18"/>
        </w:rPr>
        <w:t>1</w:t>
      </w:r>
      <w:r w:rsidR="0092173D" w:rsidRPr="00B32D6E">
        <w:rPr>
          <w:rFonts w:ascii="Verdana" w:hAnsi="Verdana"/>
          <w:sz w:val="18"/>
          <w:szCs w:val="18"/>
        </w:rPr>
        <w:t xml:space="preserve">.  The total return performance of each </w:t>
      </w:r>
      <w:r w:rsidR="00F6626D" w:rsidRPr="00B32D6E">
        <w:rPr>
          <w:rFonts w:ascii="Verdana" w:hAnsi="Verdana"/>
          <w:sz w:val="18"/>
          <w:szCs w:val="18"/>
        </w:rPr>
        <w:t xml:space="preserve">Domestic </w:t>
      </w:r>
      <w:r w:rsidR="0092173D" w:rsidRPr="00B32D6E">
        <w:rPr>
          <w:rFonts w:ascii="Verdana" w:hAnsi="Verdana"/>
          <w:sz w:val="18"/>
          <w:szCs w:val="18"/>
        </w:rPr>
        <w:t xml:space="preserve">Exchange Traded Fund is shown </w:t>
      </w:r>
      <w:r w:rsidR="00F6626D" w:rsidRPr="00B32D6E">
        <w:rPr>
          <w:rFonts w:ascii="Verdana" w:hAnsi="Verdana"/>
          <w:sz w:val="18"/>
          <w:szCs w:val="18"/>
        </w:rPr>
        <w:t>o</w:t>
      </w:r>
      <w:r w:rsidR="0092173D" w:rsidRPr="00B32D6E">
        <w:rPr>
          <w:rFonts w:ascii="Verdana" w:hAnsi="Verdana"/>
          <w:sz w:val="18"/>
          <w:szCs w:val="18"/>
        </w:rPr>
        <w:t xml:space="preserve">n pages </w:t>
      </w:r>
      <w:r w:rsidR="00F6626D" w:rsidRPr="00B32D6E">
        <w:rPr>
          <w:rFonts w:ascii="Verdana" w:hAnsi="Verdana"/>
          <w:sz w:val="18"/>
          <w:szCs w:val="18"/>
        </w:rPr>
        <w:t>2</w:t>
      </w:r>
      <w:r w:rsidR="0092173D" w:rsidRPr="00B32D6E">
        <w:rPr>
          <w:rFonts w:ascii="Verdana" w:hAnsi="Verdana"/>
          <w:sz w:val="18"/>
          <w:szCs w:val="18"/>
        </w:rPr>
        <w:t>-</w:t>
      </w:r>
      <w:r w:rsidR="00F6626D" w:rsidRPr="00B32D6E">
        <w:rPr>
          <w:rFonts w:ascii="Verdana" w:hAnsi="Verdana"/>
          <w:sz w:val="18"/>
          <w:szCs w:val="18"/>
        </w:rPr>
        <w:t>4</w:t>
      </w:r>
      <w:r w:rsidR="0092173D" w:rsidRPr="00B32D6E">
        <w:rPr>
          <w:rFonts w:ascii="Verdana" w:hAnsi="Verdana"/>
          <w:sz w:val="18"/>
          <w:szCs w:val="18"/>
        </w:rPr>
        <w:t xml:space="preserve">; </w:t>
      </w:r>
      <w:r w:rsidR="00F6626D" w:rsidRPr="00B32D6E">
        <w:rPr>
          <w:rFonts w:ascii="Verdana" w:hAnsi="Verdana"/>
          <w:sz w:val="18"/>
          <w:szCs w:val="18"/>
        </w:rPr>
        <w:t xml:space="preserve">Foreign </w:t>
      </w:r>
      <w:r w:rsidR="0092173D" w:rsidRPr="00B32D6E">
        <w:rPr>
          <w:rFonts w:ascii="Verdana" w:hAnsi="Verdana"/>
          <w:sz w:val="18"/>
          <w:szCs w:val="18"/>
        </w:rPr>
        <w:t xml:space="preserve">Exchange Traded </w:t>
      </w:r>
      <w:r w:rsidR="00F6626D" w:rsidRPr="00B32D6E">
        <w:rPr>
          <w:rFonts w:ascii="Verdana" w:hAnsi="Verdana"/>
          <w:sz w:val="18"/>
          <w:szCs w:val="18"/>
        </w:rPr>
        <w:t>Funds</w:t>
      </w:r>
      <w:r w:rsidR="0092173D" w:rsidRPr="00B32D6E">
        <w:rPr>
          <w:rFonts w:ascii="Verdana" w:hAnsi="Verdana"/>
          <w:sz w:val="18"/>
          <w:szCs w:val="18"/>
        </w:rPr>
        <w:t xml:space="preserve"> </w:t>
      </w:r>
      <w:r w:rsidR="00F6626D" w:rsidRPr="00B32D6E">
        <w:rPr>
          <w:rFonts w:ascii="Verdana" w:hAnsi="Verdana"/>
          <w:sz w:val="18"/>
          <w:szCs w:val="18"/>
        </w:rPr>
        <w:t>o</w:t>
      </w:r>
      <w:r w:rsidR="0092173D" w:rsidRPr="00B32D6E">
        <w:rPr>
          <w:rFonts w:ascii="Verdana" w:hAnsi="Verdana"/>
          <w:sz w:val="18"/>
          <w:szCs w:val="18"/>
        </w:rPr>
        <w:t xml:space="preserve">n pages </w:t>
      </w:r>
      <w:r w:rsidR="00F6626D" w:rsidRPr="00B32D6E">
        <w:rPr>
          <w:rFonts w:ascii="Verdana" w:hAnsi="Verdana"/>
          <w:sz w:val="18"/>
          <w:szCs w:val="18"/>
        </w:rPr>
        <w:t>5</w:t>
      </w:r>
      <w:r w:rsidR="0092173D" w:rsidRPr="00B32D6E">
        <w:rPr>
          <w:rFonts w:ascii="Verdana" w:hAnsi="Verdana"/>
          <w:sz w:val="18"/>
          <w:szCs w:val="18"/>
        </w:rPr>
        <w:t>-</w:t>
      </w:r>
      <w:r w:rsidR="00C04341" w:rsidRPr="00B32D6E">
        <w:rPr>
          <w:rFonts w:ascii="Verdana" w:hAnsi="Verdana"/>
          <w:sz w:val="18"/>
          <w:szCs w:val="18"/>
        </w:rPr>
        <w:t>9</w:t>
      </w:r>
      <w:r w:rsidR="0092173D" w:rsidRPr="00B32D6E">
        <w:rPr>
          <w:rFonts w:ascii="Verdana" w:hAnsi="Verdana"/>
          <w:sz w:val="18"/>
          <w:szCs w:val="18"/>
        </w:rPr>
        <w:t xml:space="preserve">; </w:t>
      </w:r>
      <w:r w:rsidR="00F6626D" w:rsidRPr="00B32D6E">
        <w:rPr>
          <w:rFonts w:ascii="Verdana" w:hAnsi="Verdana"/>
          <w:sz w:val="18"/>
          <w:szCs w:val="18"/>
        </w:rPr>
        <w:t>Foreign ETNs on page 6; Commodit</w:t>
      </w:r>
      <w:r w:rsidR="00A71B17" w:rsidRPr="00B32D6E">
        <w:rPr>
          <w:rFonts w:ascii="Verdana" w:hAnsi="Verdana"/>
          <w:sz w:val="18"/>
          <w:szCs w:val="18"/>
        </w:rPr>
        <w:t xml:space="preserve">y ETFs &amp; ETNs on page 7; </w:t>
      </w:r>
      <w:r w:rsidR="009C685F" w:rsidRPr="00B32D6E">
        <w:rPr>
          <w:rFonts w:ascii="Verdana" w:hAnsi="Verdana"/>
          <w:sz w:val="18"/>
          <w:szCs w:val="18"/>
        </w:rPr>
        <w:t>C</w:t>
      </w:r>
      <w:r w:rsidR="00A71B17" w:rsidRPr="00B32D6E">
        <w:rPr>
          <w:rFonts w:ascii="Verdana" w:hAnsi="Verdana"/>
          <w:sz w:val="18"/>
          <w:szCs w:val="18"/>
        </w:rPr>
        <w:t xml:space="preserve">urrencies on page 8; </w:t>
      </w:r>
      <w:r w:rsidR="0092173D" w:rsidRPr="00B32D6E">
        <w:rPr>
          <w:rFonts w:ascii="Verdana" w:hAnsi="Verdana"/>
          <w:sz w:val="18"/>
          <w:szCs w:val="18"/>
        </w:rPr>
        <w:t xml:space="preserve">and Index Tracking Unit Trusts </w:t>
      </w:r>
      <w:r w:rsidR="00E503CB" w:rsidRPr="00B32D6E">
        <w:rPr>
          <w:rFonts w:ascii="Verdana" w:hAnsi="Verdana"/>
          <w:sz w:val="18"/>
          <w:szCs w:val="18"/>
        </w:rPr>
        <w:t xml:space="preserve">on </w:t>
      </w:r>
      <w:r w:rsidR="00A71B17" w:rsidRPr="00B32D6E">
        <w:rPr>
          <w:rFonts w:ascii="Verdana" w:hAnsi="Verdana"/>
          <w:sz w:val="18"/>
          <w:szCs w:val="18"/>
        </w:rPr>
        <w:t>p</w:t>
      </w:r>
      <w:r w:rsidR="0092173D" w:rsidRPr="00B32D6E">
        <w:rPr>
          <w:rFonts w:ascii="Verdana" w:hAnsi="Verdana"/>
          <w:sz w:val="18"/>
          <w:szCs w:val="18"/>
        </w:rPr>
        <w:t xml:space="preserve">ages </w:t>
      </w:r>
      <w:r w:rsidR="00EA2912" w:rsidRPr="00B32D6E">
        <w:rPr>
          <w:rFonts w:ascii="Verdana" w:hAnsi="Verdana"/>
          <w:sz w:val="18"/>
          <w:szCs w:val="18"/>
        </w:rPr>
        <w:t>9</w:t>
      </w:r>
      <w:r w:rsidR="00A71B17" w:rsidRPr="00B32D6E">
        <w:rPr>
          <w:rFonts w:ascii="Verdana" w:hAnsi="Verdana"/>
          <w:sz w:val="18"/>
          <w:szCs w:val="18"/>
        </w:rPr>
        <w:t>-1</w:t>
      </w:r>
      <w:r w:rsidR="00C04341" w:rsidRPr="00B32D6E">
        <w:rPr>
          <w:rFonts w:ascii="Verdana" w:hAnsi="Verdana"/>
          <w:sz w:val="18"/>
          <w:szCs w:val="18"/>
        </w:rPr>
        <w:t>1</w:t>
      </w:r>
      <w:r w:rsidR="0092173D" w:rsidRPr="00B32D6E">
        <w:rPr>
          <w:rFonts w:ascii="Verdana" w:hAnsi="Verdana"/>
          <w:sz w:val="18"/>
          <w:szCs w:val="18"/>
        </w:rPr>
        <w:t>.</w:t>
      </w:r>
    </w:p>
    <w:p w14:paraId="5A2A8921" w14:textId="2CDBA2D0" w:rsidR="00971865" w:rsidRPr="00B32D6E" w:rsidRDefault="00971865" w:rsidP="009028DE">
      <w:pPr>
        <w:pStyle w:val="BodyText2"/>
        <w:spacing w:after="0" w:line="260" w:lineRule="atLeast"/>
        <w:jc w:val="both"/>
        <w:rPr>
          <w:rFonts w:ascii="Verdana" w:hAnsi="Verdana"/>
          <w:sz w:val="18"/>
          <w:szCs w:val="18"/>
        </w:rPr>
      </w:pPr>
    </w:p>
    <w:p w14:paraId="0101C7A7" w14:textId="47D03013" w:rsidR="00971865" w:rsidRPr="00B32D6E" w:rsidRDefault="00971865" w:rsidP="009028DE">
      <w:pPr>
        <w:pStyle w:val="BodyText2"/>
        <w:spacing w:after="0" w:line="260" w:lineRule="atLeast"/>
        <w:jc w:val="both"/>
        <w:rPr>
          <w:rFonts w:ascii="Verdana" w:hAnsi="Verdana"/>
          <w:sz w:val="18"/>
          <w:szCs w:val="18"/>
        </w:rPr>
      </w:pPr>
      <w:r w:rsidRPr="00B32D6E">
        <w:rPr>
          <w:rFonts w:ascii="Verdana" w:hAnsi="Verdana"/>
          <w:sz w:val="18"/>
          <w:szCs w:val="18"/>
        </w:rPr>
        <w:t xml:space="preserve">The latest Performance Survey shows </w:t>
      </w:r>
      <w:r w:rsidR="00B32D6E" w:rsidRPr="00B32D6E">
        <w:rPr>
          <w:rFonts w:ascii="Verdana" w:hAnsi="Verdana"/>
          <w:sz w:val="18"/>
          <w:szCs w:val="18"/>
        </w:rPr>
        <w:t>that</w:t>
      </w:r>
      <w:r w:rsidRPr="00B32D6E">
        <w:rPr>
          <w:rFonts w:ascii="Verdana" w:hAnsi="Verdana"/>
          <w:sz w:val="18"/>
          <w:szCs w:val="18"/>
        </w:rPr>
        <w:t xml:space="preserve"> commodity based Exchange Traded Products dominate the top </w:t>
      </w:r>
      <w:r w:rsidR="00B32D6E" w:rsidRPr="00B32D6E">
        <w:rPr>
          <w:rFonts w:ascii="Verdana" w:hAnsi="Verdana"/>
          <w:sz w:val="18"/>
          <w:szCs w:val="18"/>
        </w:rPr>
        <w:t>performing</w:t>
      </w:r>
      <w:r w:rsidRPr="00B32D6E">
        <w:rPr>
          <w:rFonts w:ascii="Verdana" w:hAnsi="Verdana"/>
          <w:sz w:val="18"/>
          <w:szCs w:val="18"/>
        </w:rPr>
        <w:t xml:space="preserve"> funds for periods of 3 years or less.  However, in the past 6 months, there has been a </w:t>
      </w:r>
      <w:r w:rsidR="009028DE" w:rsidRPr="00B32D6E">
        <w:rPr>
          <w:rFonts w:ascii="Verdana" w:hAnsi="Verdana"/>
          <w:sz w:val="18"/>
          <w:szCs w:val="18"/>
        </w:rPr>
        <w:t>per</w:t>
      </w:r>
      <w:r w:rsidR="009028DE">
        <w:rPr>
          <w:rFonts w:ascii="Verdana" w:hAnsi="Verdana"/>
          <w:sz w:val="18"/>
          <w:szCs w:val="18"/>
        </w:rPr>
        <w:t>ceptible</w:t>
      </w:r>
      <w:r w:rsidR="00B32D6E" w:rsidRPr="00B32D6E">
        <w:rPr>
          <w:rFonts w:ascii="Verdana" w:hAnsi="Verdana"/>
          <w:sz w:val="18"/>
          <w:szCs w:val="18"/>
        </w:rPr>
        <w:t xml:space="preserve"> recovery in both foreign and local equity returns, helped by the recent rand weakness in many cases.  Bonds and local listed property ETFs have, however, performed badly, reversing the </w:t>
      </w:r>
      <w:r w:rsidR="009028DE">
        <w:rPr>
          <w:rFonts w:ascii="Verdana" w:hAnsi="Verdana"/>
          <w:sz w:val="18"/>
          <w:szCs w:val="18"/>
        </w:rPr>
        <w:t>trend</w:t>
      </w:r>
      <w:r w:rsidR="00B32D6E" w:rsidRPr="00B32D6E">
        <w:rPr>
          <w:rFonts w:ascii="Verdana" w:hAnsi="Verdana"/>
          <w:sz w:val="18"/>
          <w:szCs w:val="18"/>
        </w:rPr>
        <w:t xml:space="preserve"> of the past few years, for such asset classes to provide superior returns.</w:t>
      </w:r>
    </w:p>
    <w:p w14:paraId="7874D033" w14:textId="34642F7C" w:rsidR="00B32D6E" w:rsidRPr="00B32D6E" w:rsidRDefault="00B32D6E" w:rsidP="009028DE">
      <w:pPr>
        <w:pStyle w:val="BodyText2"/>
        <w:spacing w:after="0" w:line="260" w:lineRule="atLeast"/>
        <w:jc w:val="both"/>
        <w:rPr>
          <w:rFonts w:ascii="Verdana" w:hAnsi="Verdana"/>
          <w:sz w:val="18"/>
          <w:szCs w:val="18"/>
        </w:rPr>
      </w:pPr>
      <w:bookmarkStart w:id="3" w:name="_GoBack"/>
      <w:bookmarkEnd w:id="3"/>
    </w:p>
    <w:p w14:paraId="027E84BD" w14:textId="22F424EF" w:rsidR="00B32D6E" w:rsidRPr="00B32D6E" w:rsidRDefault="00B32D6E" w:rsidP="009028DE">
      <w:pPr>
        <w:pStyle w:val="BodyText2"/>
        <w:spacing w:after="0" w:line="260" w:lineRule="atLeast"/>
        <w:jc w:val="both"/>
        <w:rPr>
          <w:rFonts w:ascii="Verdana" w:hAnsi="Verdana"/>
          <w:sz w:val="18"/>
          <w:szCs w:val="18"/>
        </w:rPr>
      </w:pPr>
      <w:r w:rsidRPr="00B32D6E">
        <w:rPr>
          <w:rFonts w:ascii="Verdana" w:hAnsi="Verdana"/>
          <w:sz w:val="18"/>
          <w:szCs w:val="18"/>
        </w:rPr>
        <w:t xml:space="preserve">Index tracking ETFs generally </w:t>
      </w:r>
      <w:r w:rsidR="009028DE">
        <w:rPr>
          <w:rFonts w:ascii="Verdana" w:hAnsi="Verdana"/>
          <w:sz w:val="18"/>
          <w:szCs w:val="18"/>
        </w:rPr>
        <w:t xml:space="preserve">perform </w:t>
      </w:r>
      <w:r w:rsidRPr="00B32D6E">
        <w:rPr>
          <w:rFonts w:ascii="Verdana" w:hAnsi="Verdana"/>
          <w:sz w:val="18"/>
          <w:szCs w:val="18"/>
        </w:rPr>
        <w:t>better than similar index tracker unit trusts and show far less volatility in total returns over various time periods.  This can be attributed to the requirement for JSE listed ETFs to exactly replicate the index, which is not a requirement for non-listed index trackers.  Using quantitative methods to track indices without full replication</w:t>
      </w:r>
      <w:r w:rsidR="009028DE">
        <w:rPr>
          <w:rFonts w:ascii="Verdana" w:hAnsi="Verdana"/>
          <w:sz w:val="18"/>
          <w:szCs w:val="18"/>
        </w:rPr>
        <w:t>, which can be the case for tracker unit trusts,</w:t>
      </w:r>
      <w:r w:rsidRPr="00B32D6E">
        <w:rPr>
          <w:rFonts w:ascii="Verdana" w:hAnsi="Verdana"/>
          <w:sz w:val="18"/>
          <w:szCs w:val="18"/>
        </w:rPr>
        <w:t xml:space="preserve"> can produce mixed results. </w:t>
      </w:r>
    </w:p>
    <w:p w14:paraId="3F306EBD" w14:textId="0C700E77" w:rsidR="004563FA" w:rsidRPr="00B32D6E" w:rsidRDefault="004563FA" w:rsidP="00B32D6E">
      <w:pPr>
        <w:pStyle w:val="BodyText2"/>
        <w:spacing w:after="0" w:line="240" w:lineRule="auto"/>
        <w:jc w:val="center"/>
        <w:rPr>
          <w:rFonts w:ascii="Verdana" w:hAnsi="Verdana"/>
          <w:sz w:val="16"/>
          <w:szCs w:val="16"/>
        </w:rPr>
      </w:pPr>
    </w:p>
    <w:p w14:paraId="722564FA" w14:textId="77777777" w:rsidR="0061409B" w:rsidRPr="00ED3E5B" w:rsidRDefault="0061409B" w:rsidP="00911FC2">
      <w:pPr>
        <w:spacing w:after="0" w:line="240" w:lineRule="auto"/>
        <w:rPr>
          <w:rFonts w:ascii="Verdana" w:hAnsi="Verdana"/>
          <w:b/>
          <w:sz w:val="19"/>
          <w:szCs w:val="19"/>
        </w:rPr>
      </w:pPr>
      <w:r w:rsidRPr="00ED3E5B">
        <w:rPr>
          <w:rFonts w:ascii="Verdana" w:hAnsi="Verdana"/>
          <w:b/>
          <w:sz w:val="19"/>
          <w:szCs w:val="19"/>
        </w:rPr>
        <w:t>Summary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851"/>
        <w:gridCol w:w="1134"/>
        <w:gridCol w:w="1211"/>
        <w:gridCol w:w="1907"/>
        <w:gridCol w:w="851"/>
        <w:gridCol w:w="1127"/>
      </w:tblGrid>
      <w:tr w:rsidR="0061409B" w:rsidRPr="00804DEE" w14:paraId="5CA4B5DC" w14:textId="77777777" w:rsidTr="008F0BEC">
        <w:tc>
          <w:tcPr>
            <w:tcW w:w="10370" w:type="dxa"/>
            <w:gridSpan w:val="7"/>
            <w:shd w:val="clear" w:color="auto" w:fill="CB2229"/>
            <w:vAlign w:val="center"/>
          </w:tcPr>
          <w:p w14:paraId="1F9FB6CB" w14:textId="77777777" w:rsidR="0061409B" w:rsidRPr="005B7B53" w:rsidRDefault="0061409B" w:rsidP="00383D2D">
            <w:pPr>
              <w:pStyle w:val="BodyText2"/>
              <w:spacing w:before="20" w:after="20" w:line="280" w:lineRule="atLeast"/>
              <w:jc w:val="center"/>
              <w:rPr>
                <w:rFonts w:ascii="Verdana" w:hAnsi="Verdana"/>
                <w:b/>
                <w:color w:val="FFFFFF"/>
                <w:sz w:val="17"/>
                <w:szCs w:val="17"/>
              </w:rPr>
            </w:pPr>
            <w:bookmarkStart w:id="4" w:name="_Hlk355605138"/>
            <w:r w:rsidRPr="005B7B53">
              <w:rPr>
                <w:rFonts w:ascii="Verdana" w:hAnsi="Verdana"/>
                <w:b/>
                <w:color w:val="FFFFFF"/>
                <w:sz w:val="17"/>
                <w:szCs w:val="17"/>
              </w:rPr>
              <w:t>etfSA.co.za Monthly Performance Survey</w:t>
            </w:r>
          </w:p>
          <w:p w14:paraId="4D3459D8" w14:textId="06292D42" w:rsidR="0061409B" w:rsidRPr="005B7B53" w:rsidRDefault="0061409B" w:rsidP="00383D2D">
            <w:pPr>
              <w:pStyle w:val="BodyText2"/>
              <w:spacing w:before="20" w:after="20" w:line="280" w:lineRule="atLeast"/>
              <w:jc w:val="center"/>
              <w:rPr>
                <w:rFonts w:ascii="Verdana" w:hAnsi="Verdana"/>
                <w:b/>
                <w:color w:val="FFFFFF"/>
                <w:sz w:val="17"/>
                <w:szCs w:val="17"/>
              </w:rPr>
            </w:pPr>
            <w:r w:rsidRPr="005B7B53">
              <w:rPr>
                <w:rFonts w:ascii="Verdana" w:hAnsi="Verdana"/>
                <w:b/>
                <w:color w:val="FFFFFF"/>
                <w:sz w:val="17"/>
                <w:szCs w:val="17"/>
              </w:rPr>
              <w:t>Best Performing Index Tracker Funds –</w:t>
            </w:r>
            <w:r w:rsidR="00CA4EAA">
              <w:rPr>
                <w:rFonts w:ascii="Verdana" w:hAnsi="Verdana"/>
                <w:b/>
                <w:color w:val="FFFFFF"/>
                <w:sz w:val="17"/>
                <w:szCs w:val="17"/>
              </w:rPr>
              <w:t>29</w:t>
            </w:r>
            <w:r w:rsidR="00A06CCB">
              <w:rPr>
                <w:rFonts w:ascii="Verdana" w:hAnsi="Verdana"/>
                <w:b/>
                <w:color w:val="FFFFFF"/>
                <w:sz w:val="17"/>
                <w:szCs w:val="17"/>
              </w:rPr>
              <w:t xml:space="preserve"> </w:t>
            </w:r>
            <w:r w:rsidR="00CA4EAA">
              <w:rPr>
                <w:rFonts w:ascii="Verdana" w:hAnsi="Verdana"/>
                <w:b/>
                <w:color w:val="FFFFFF"/>
                <w:sz w:val="17"/>
                <w:szCs w:val="17"/>
              </w:rPr>
              <w:t>June</w:t>
            </w:r>
            <w:r w:rsidRPr="005B7B53">
              <w:rPr>
                <w:rFonts w:ascii="Verdana" w:hAnsi="Verdana"/>
                <w:b/>
                <w:color w:val="FFFFFF"/>
                <w:sz w:val="17"/>
                <w:szCs w:val="17"/>
              </w:rPr>
              <w:t xml:space="preserve"> 201</w:t>
            </w:r>
            <w:r w:rsidR="006841F4">
              <w:rPr>
                <w:rFonts w:ascii="Verdana" w:hAnsi="Verdana"/>
                <w:b/>
                <w:color w:val="FFFFFF"/>
                <w:sz w:val="17"/>
                <w:szCs w:val="17"/>
              </w:rPr>
              <w:t>8</w:t>
            </w:r>
          </w:p>
          <w:p w14:paraId="6C6793F9" w14:textId="557DEB70" w:rsidR="0061409B" w:rsidRPr="00000A2B" w:rsidRDefault="0061409B" w:rsidP="00383D2D">
            <w:pPr>
              <w:pStyle w:val="BodyText2"/>
              <w:spacing w:before="20" w:after="20" w:line="280" w:lineRule="atLeast"/>
              <w:jc w:val="center"/>
              <w:rPr>
                <w:rFonts w:ascii="Verdana" w:hAnsi="Verdana"/>
                <w:b/>
                <w:color w:val="FFFFFF"/>
                <w:sz w:val="18"/>
                <w:szCs w:val="18"/>
              </w:rPr>
            </w:pPr>
            <w:r w:rsidRPr="005B7B53">
              <w:rPr>
                <w:rFonts w:ascii="Verdana" w:hAnsi="Verdana"/>
                <w:b/>
                <w:color w:val="FFFFFF"/>
                <w:sz w:val="17"/>
                <w:szCs w:val="17"/>
              </w:rPr>
              <w:t>(Total Return %</w:t>
            </w:r>
            <w:r>
              <w:rPr>
                <w:rFonts w:ascii="Verdana" w:hAnsi="Verdana"/>
                <w:b/>
                <w:color w:val="FFFFFF"/>
                <w:sz w:val="17"/>
                <w:szCs w:val="17"/>
              </w:rPr>
              <w:t xml:space="preserve"> Performance</w:t>
            </w:r>
            <w:r w:rsidR="00FD45E3">
              <w:rPr>
                <w:rFonts w:ascii="Verdana" w:hAnsi="Verdana"/>
                <w:b/>
                <w:color w:val="FFFFFF"/>
                <w:sz w:val="17"/>
                <w:szCs w:val="17"/>
              </w:rPr>
              <w:t>*</w:t>
            </w:r>
            <w:r w:rsidRPr="005B7B53">
              <w:rPr>
                <w:rFonts w:ascii="Verdana" w:hAnsi="Verdana"/>
                <w:b/>
                <w:color w:val="FFFFFF"/>
                <w:sz w:val="17"/>
                <w:szCs w:val="17"/>
              </w:rPr>
              <w:t>)</w:t>
            </w:r>
          </w:p>
        </w:tc>
      </w:tr>
      <w:tr w:rsidR="000516BD" w:rsidRPr="00804DEE" w14:paraId="7FB3FF7B" w14:textId="77777777" w:rsidTr="000516BD">
        <w:tc>
          <w:tcPr>
            <w:tcW w:w="3289" w:type="dxa"/>
            <w:shd w:val="clear" w:color="auto" w:fill="4C4C4C"/>
            <w:vAlign w:val="center"/>
          </w:tcPr>
          <w:p w14:paraId="35E1A33F" w14:textId="77777777" w:rsidR="000516BD" w:rsidRPr="005B7B53" w:rsidRDefault="000516BD" w:rsidP="00383D2D">
            <w:pPr>
              <w:pStyle w:val="BodyText2"/>
              <w:spacing w:before="20" w:after="2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2C407810" w14:textId="77777777" w:rsidR="000516BD" w:rsidRPr="005B7B53" w:rsidRDefault="000516BD" w:rsidP="00383D2D">
            <w:pPr>
              <w:pStyle w:val="BodyText2"/>
              <w:spacing w:before="20" w:after="2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34" w:type="dxa"/>
            <w:tcBorders>
              <w:right w:val="single" w:sz="18" w:space="0" w:color="auto"/>
            </w:tcBorders>
            <w:shd w:val="clear" w:color="auto" w:fill="4C4C4C"/>
            <w:vAlign w:val="center"/>
          </w:tcPr>
          <w:p w14:paraId="404ABEED" w14:textId="77777777" w:rsidR="000516BD" w:rsidRPr="005B7B53" w:rsidRDefault="000516BD" w:rsidP="00383D2D">
            <w:pPr>
              <w:pStyle w:val="BodyText2"/>
              <w:spacing w:before="20" w:after="20" w:line="280" w:lineRule="atLeast"/>
              <w:jc w:val="center"/>
              <w:rPr>
                <w:rFonts w:ascii="Verdana" w:hAnsi="Verdana"/>
                <w:b/>
                <w:color w:val="FFFFFF"/>
                <w:sz w:val="17"/>
                <w:szCs w:val="17"/>
              </w:rPr>
            </w:pPr>
            <w:r>
              <w:rPr>
                <w:rFonts w:ascii="Verdana" w:hAnsi="Verdana"/>
                <w:b/>
                <w:color w:val="FFFFFF"/>
                <w:sz w:val="17"/>
                <w:szCs w:val="17"/>
              </w:rPr>
              <w:t>10</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c>
          <w:tcPr>
            <w:tcW w:w="3118" w:type="dxa"/>
            <w:gridSpan w:val="2"/>
            <w:tcBorders>
              <w:left w:val="single" w:sz="18" w:space="0" w:color="auto"/>
            </w:tcBorders>
            <w:shd w:val="clear" w:color="auto" w:fill="4C4C4C"/>
            <w:vAlign w:val="center"/>
          </w:tcPr>
          <w:p w14:paraId="13A2AA14" w14:textId="77777777" w:rsidR="000516BD" w:rsidRPr="005B7B53" w:rsidRDefault="000516BD" w:rsidP="00383D2D">
            <w:pPr>
              <w:pStyle w:val="BodyText2"/>
              <w:spacing w:before="20" w:after="2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626386F2" w14:textId="77777777" w:rsidR="000516BD" w:rsidRPr="005B7B53" w:rsidRDefault="000516BD" w:rsidP="00383D2D">
            <w:pPr>
              <w:pStyle w:val="BodyText2"/>
              <w:spacing w:before="20" w:after="2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27" w:type="dxa"/>
            <w:shd w:val="clear" w:color="auto" w:fill="4C4C4C"/>
          </w:tcPr>
          <w:p w14:paraId="1F3CEF45" w14:textId="77777777" w:rsidR="000516BD" w:rsidRPr="005B7B53" w:rsidRDefault="000516BD" w:rsidP="00383D2D">
            <w:pPr>
              <w:pStyle w:val="BodyText2"/>
              <w:spacing w:before="20" w:after="20" w:line="280" w:lineRule="atLeast"/>
              <w:jc w:val="center"/>
              <w:rPr>
                <w:rFonts w:ascii="Verdana" w:hAnsi="Verdana"/>
                <w:b/>
                <w:color w:val="FFFFFF"/>
                <w:sz w:val="17"/>
                <w:szCs w:val="17"/>
              </w:rPr>
            </w:pPr>
            <w:r>
              <w:rPr>
                <w:rFonts w:ascii="Verdana" w:hAnsi="Verdana"/>
                <w:b/>
                <w:color w:val="FFFFFF"/>
                <w:sz w:val="17"/>
                <w:szCs w:val="17"/>
              </w:rPr>
              <w:t>5</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r>
      <w:tr w:rsidR="000516BD" w:rsidRPr="00804DEE" w14:paraId="72E0C38F" w14:textId="77777777" w:rsidTr="000516BD">
        <w:tc>
          <w:tcPr>
            <w:tcW w:w="3289" w:type="dxa"/>
            <w:shd w:val="clear" w:color="auto" w:fill="auto"/>
            <w:vAlign w:val="center"/>
          </w:tcPr>
          <w:p w14:paraId="375D1496" w14:textId="77777777" w:rsidR="000516BD" w:rsidRPr="005B7B53" w:rsidRDefault="000516BD" w:rsidP="00B32D6E">
            <w:pPr>
              <w:pStyle w:val="BodyText2"/>
              <w:spacing w:before="20" w:after="20" w:line="260" w:lineRule="atLeast"/>
              <w:rPr>
                <w:rFonts w:ascii="Verdana" w:hAnsi="Verdana"/>
                <w:sz w:val="17"/>
                <w:szCs w:val="17"/>
              </w:rPr>
            </w:pPr>
            <w:r w:rsidRPr="005B7B53">
              <w:rPr>
                <w:rFonts w:ascii="Verdana" w:hAnsi="Verdana"/>
                <w:sz w:val="17"/>
                <w:szCs w:val="17"/>
              </w:rPr>
              <w:t>Satrix INDI 25</w:t>
            </w:r>
          </w:p>
        </w:tc>
        <w:tc>
          <w:tcPr>
            <w:tcW w:w="851" w:type="dxa"/>
            <w:shd w:val="clear" w:color="auto" w:fill="auto"/>
            <w:vAlign w:val="center"/>
          </w:tcPr>
          <w:p w14:paraId="08EB7E8F" w14:textId="77777777" w:rsidR="000516BD" w:rsidRPr="005B7B53" w:rsidRDefault="000516BD" w:rsidP="00B32D6E">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4D62F30A" w14:textId="744AF985" w:rsidR="000516BD" w:rsidRPr="005B7B53" w:rsidRDefault="00B22F4F" w:rsidP="00B32D6E">
            <w:pPr>
              <w:pStyle w:val="BodyText2"/>
              <w:spacing w:before="20" w:after="20" w:line="260" w:lineRule="atLeast"/>
              <w:jc w:val="center"/>
              <w:rPr>
                <w:rFonts w:ascii="Verdana" w:hAnsi="Verdana"/>
                <w:sz w:val="17"/>
                <w:szCs w:val="17"/>
              </w:rPr>
            </w:pPr>
            <w:r>
              <w:rPr>
                <w:rFonts w:ascii="Verdana" w:hAnsi="Verdana"/>
                <w:sz w:val="17"/>
                <w:szCs w:val="17"/>
              </w:rPr>
              <w:t>16,69%</w:t>
            </w:r>
          </w:p>
        </w:tc>
        <w:tc>
          <w:tcPr>
            <w:tcW w:w="3118" w:type="dxa"/>
            <w:gridSpan w:val="2"/>
            <w:tcBorders>
              <w:left w:val="single" w:sz="18" w:space="0" w:color="auto"/>
            </w:tcBorders>
            <w:vAlign w:val="center"/>
          </w:tcPr>
          <w:p w14:paraId="2D4CD783" w14:textId="4E42828F" w:rsidR="000516BD" w:rsidRPr="005B7B53" w:rsidRDefault="000516BD" w:rsidP="00B32D6E">
            <w:pPr>
              <w:pStyle w:val="BodyText2"/>
              <w:spacing w:before="20" w:after="20" w:line="260" w:lineRule="atLeast"/>
              <w:rPr>
                <w:rFonts w:ascii="Verdana" w:hAnsi="Verdana"/>
                <w:sz w:val="17"/>
                <w:szCs w:val="17"/>
              </w:rPr>
            </w:pPr>
            <w:r>
              <w:rPr>
                <w:rFonts w:ascii="Verdana" w:hAnsi="Verdana"/>
                <w:sz w:val="17"/>
                <w:szCs w:val="17"/>
              </w:rPr>
              <w:t>Sygnia/Itrix</w:t>
            </w:r>
            <w:r w:rsidRPr="005B7B53">
              <w:rPr>
                <w:rFonts w:ascii="Verdana" w:hAnsi="Verdana"/>
                <w:sz w:val="17"/>
                <w:szCs w:val="17"/>
              </w:rPr>
              <w:t xml:space="preserve"> MSCI USA</w:t>
            </w:r>
          </w:p>
        </w:tc>
        <w:tc>
          <w:tcPr>
            <w:tcW w:w="851" w:type="dxa"/>
            <w:vAlign w:val="center"/>
          </w:tcPr>
          <w:p w14:paraId="77F47828" w14:textId="77777777" w:rsidR="000516BD" w:rsidRPr="005B7B53" w:rsidRDefault="000516BD" w:rsidP="00B32D6E">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127" w:type="dxa"/>
            <w:vAlign w:val="center"/>
          </w:tcPr>
          <w:p w14:paraId="78B27FE1" w14:textId="1F2DFD9C" w:rsidR="000516BD" w:rsidRPr="005B7B53" w:rsidRDefault="00B22F4F" w:rsidP="00B32D6E">
            <w:pPr>
              <w:pStyle w:val="BodyText2"/>
              <w:spacing w:before="20" w:after="20" w:line="260" w:lineRule="atLeast"/>
              <w:jc w:val="center"/>
              <w:rPr>
                <w:rFonts w:ascii="Verdana" w:hAnsi="Verdana"/>
                <w:sz w:val="17"/>
                <w:szCs w:val="17"/>
              </w:rPr>
            </w:pPr>
            <w:r>
              <w:rPr>
                <w:rFonts w:ascii="Verdana" w:hAnsi="Verdana"/>
                <w:sz w:val="17"/>
                <w:szCs w:val="17"/>
              </w:rPr>
              <w:t>19,78%</w:t>
            </w:r>
          </w:p>
        </w:tc>
      </w:tr>
      <w:tr w:rsidR="000516BD" w:rsidRPr="00804DEE" w14:paraId="47E52A25" w14:textId="77777777" w:rsidTr="000516BD">
        <w:tc>
          <w:tcPr>
            <w:tcW w:w="3289" w:type="dxa"/>
            <w:shd w:val="clear" w:color="auto" w:fill="auto"/>
            <w:vAlign w:val="center"/>
          </w:tcPr>
          <w:p w14:paraId="33BB49A6" w14:textId="7E2361AC" w:rsidR="000516BD" w:rsidRPr="005B7B53" w:rsidRDefault="000516BD" w:rsidP="00B32D6E">
            <w:pPr>
              <w:pStyle w:val="BodyText2"/>
              <w:spacing w:before="20" w:after="20" w:line="260" w:lineRule="atLeast"/>
              <w:rPr>
                <w:rFonts w:ascii="Verdana" w:hAnsi="Verdana"/>
                <w:sz w:val="17"/>
                <w:szCs w:val="17"/>
              </w:rPr>
            </w:pPr>
            <w:r>
              <w:rPr>
                <w:rFonts w:ascii="Verdana" w:hAnsi="Verdana"/>
                <w:sz w:val="17"/>
                <w:szCs w:val="17"/>
              </w:rPr>
              <w:t>Prudential Enhanced Property Tracker Fund</w:t>
            </w:r>
          </w:p>
        </w:tc>
        <w:tc>
          <w:tcPr>
            <w:tcW w:w="851" w:type="dxa"/>
            <w:shd w:val="clear" w:color="auto" w:fill="auto"/>
            <w:vAlign w:val="center"/>
          </w:tcPr>
          <w:p w14:paraId="33053328" w14:textId="2E66EE09" w:rsidR="000516BD" w:rsidRPr="005B7B53" w:rsidRDefault="000516BD" w:rsidP="00B32D6E">
            <w:pPr>
              <w:pStyle w:val="BodyText2"/>
              <w:spacing w:before="20" w:after="20" w:line="260" w:lineRule="atLeast"/>
              <w:jc w:val="center"/>
              <w:rPr>
                <w:rFonts w:ascii="Verdana" w:hAnsi="Verdana"/>
                <w:sz w:val="17"/>
                <w:szCs w:val="17"/>
              </w:rPr>
            </w:pPr>
            <w:r>
              <w:rPr>
                <w:rFonts w:ascii="Verdana" w:hAnsi="Verdana"/>
                <w:sz w:val="17"/>
                <w:szCs w:val="17"/>
              </w:rPr>
              <w:t>Unit T</w:t>
            </w:r>
          </w:p>
        </w:tc>
        <w:tc>
          <w:tcPr>
            <w:tcW w:w="1134" w:type="dxa"/>
            <w:tcBorders>
              <w:right w:val="single" w:sz="18" w:space="0" w:color="auto"/>
            </w:tcBorders>
            <w:shd w:val="clear" w:color="auto" w:fill="auto"/>
            <w:vAlign w:val="center"/>
          </w:tcPr>
          <w:p w14:paraId="698854CE" w14:textId="711D8789" w:rsidR="000516BD" w:rsidRPr="005B7B53" w:rsidRDefault="00B22F4F" w:rsidP="00B32D6E">
            <w:pPr>
              <w:pStyle w:val="BodyText2"/>
              <w:spacing w:before="20" w:after="20" w:line="260" w:lineRule="atLeast"/>
              <w:jc w:val="center"/>
              <w:rPr>
                <w:rFonts w:ascii="Verdana" w:hAnsi="Verdana"/>
                <w:sz w:val="17"/>
                <w:szCs w:val="17"/>
              </w:rPr>
            </w:pPr>
            <w:r>
              <w:rPr>
                <w:rFonts w:ascii="Verdana" w:hAnsi="Verdana"/>
                <w:sz w:val="17"/>
                <w:szCs w:val="17"/>
              </w:rPr>
              <w:t>15,99%</w:t>
            </w:r>
          </w:p>
        </w:tc>
        <w:tc>
          <w:tcPr>
            <w:tcW w:w="3118" w:type="dxa"/>
            <w:gridSpan w:val="2"/>
            <w:tcBorders>
              <w:left w:val="single" w:sz="18" w:space="0" w:color="auto"/>
            </w:tcBorders>
            <w:vAlign w:val="center"/>
          </w:tcPr>
          <w:p w14:paraId="26693EE2" w14:textId="6EF99915" w:rsidR="000516BD" w:rsidRPr="005B7B53" w:rsidRDefault="000516BD" w:rsidP="00B32D6E">
            <w:pPr>
              <w:pStyle w:val="BodyText2"/>
              <w:spacing w:before="20" w:after="20" w:line="260" w:lineRule="atLeast"/>
              <w:rPr>
                <w:rFonts w:ascii="Verdana" w:hAnsi="Verdana"/>
                <w:sz w:val="17"/>
                <w:szCs w:val="17"/>
              </w:rPr>
            </w:pPr>
            <w:r>
              <w:rPr>
                <w:rFonts w:ascii="Verdana" w:hAnsi="Verdana"/>
                <w:sz w:val="17"/>
                <w:szCs w:val="17"/>
              </w:rPr>
              <w:t>DB MSCI China</w:t>
            </w:r>
          </w:p>
        </w:tc>
        <w:tc>
          <w:tcPr>
            <w:tcW w:w="851" w:type="dxa"/>
            <w:vAlign w:val="center"/>
          </w:tcPr>
          <w:p w14:paraId="2E9E23DE" w14:textId="78E6B927" w:rsidR="000516BD" w:rsidRPr="005B7B53" w:rsidRDefault="000516BD" w:rsidP="00B32D6E">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127" w:type="dxa"/>
            <w:vAlign w:val="center"/>
          </w:tcPr>
          <w:p w14:paraId="03D2C53B" w14:textId="0BAA0A96" w:rsidR="000516BD" w:rsidRPr="005B7B53" w:rsidRDefault="00B22F4F" w:rsidP="00B32D6E">
            <w:pPr>
              <w:pStyle w:val="BodyText2"/>
              <w:spacing w:before="20" w:after="20" w:line="260" w:lineRule="atLeast"/>
              <w:jc w:val="center"/>
              <w:rPr>
                <w:rFonts w:ascii="Verdana" w:hAnsi="Verdana"/>
                <w:sz w:val="17"/>
                <w:szCs w:val="17"/>
              </w:rPr>
            </w:pPr>
            <w:r>
              <w:rPr>
                <w:rFonts w:ascii="Verdana" w:hAnsi="Verdana"/>
                <w:sz w:val="17"/>
                <w:szCs w:val="17"/>
              </w:rPr>
              <w:t>18,79%</w:t>
            </w:r>
          </w:p>
        </w:tc>
      </w:tr>
      <w:tr w:rsidR="000516BD" w:rsidRPr="00804DEE" w14:paraId="74A1778B" w14:textId="77777777" w:rsidTr="000516BD">
        <w:tc>
          <w:tcPr>
            <w:tcW w:w="3289" w:type="dxa"/>
            <w:shd w:val="clear" w:color="auto" w:fill="auto"/>
            <w:vAlign w:val="center"/>
          </w:tcPr>
          <w:p w14:paraId="3D8EB2BF" w14:textId="4396477B" w:rsidR="000516BD" w:rsidRPr="005B7B53" w:rsidRDefault="000516BD" w:rsidP="00B32D6E">
            <w:pPr>
              <w:pStyle w:val="BodyText2"/>
              <w:spacing w:before="20" w:after="20" w:line="260" w:lineRule="atLeast"/>
              <w:rPr>
                <w:rFonts w:ascii="Verdana" w:hAnsi="Verdana"/>
                <w:sz w:val="17"/>
                <w:szCs w:val="17"/>
              </w:rPr>
            </w:pPr>
            <w:r>
              <w:rPr>
                <w:rFonts w:ascii="Verdana" w:hAnsi="Verdana"/>
                <w:sz w:val="17"/>
                <w:szCs w:val="17"/>
              </w:rPr>
              <w:t>CoreShares PropTrax SAPY</w:t>
            </w:r>
          </w:p>
        </w:tc>
        <w:tc>
          <w:tcPr>
            <w:tcW w:w="851" w:type="dxa"/>
            <w:shd w:val="clear" w:color="auto" w:fill="auto"/>
            <w:vAlign w:val="center"/>
          </w:tcPr>
          <w:p w14:paraId="266C130B" w14:textId="774124E7" w:rsidR="000516BD" w:rsidRPr="005B7B53" w:rsidRDefault="000516BD" w:rsidP="00B32D6E">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1B2355AE" w14:textId="47EFD16E" w:rsidR="000516BD" w:rsidRPr="005B7B53" w:rsidRDefault="00B22F4F" w:rsidP="00B32D6E">
            <w:pPr>
              <w:pStyle w:val="BodyText2"/>
              <w:spacing w:before="20" w:after="20" w:line="260" w:lineRule="atLeast"/>
              <w:jc w:val="center"/>
              <w:rPr>
                <w:rFonts w:ascii="Verdana" w:hAnsi="Verdana"/>
                <w:sz w:val="17"/>
                <w:szCs w:val="17"/>
              </w:rPr>
            </w:pPr>
            <w:r>
              <w:rPr>
                <w:rFonts w:ascii="Verdana" w:hAnsi="Verdana"/>
                <w:sz w:val="17"/>
                <w:szCs w:val="17"/>
              </w:rPr>
              <w:t>15,27%</w:t>
            </w:r>
          </w:p>
        </w:tc>
        <w:tc>
          <w:tcPr>
            <w:tcW w:w="3118" w:type="dxa"/>
            <w:gridSpan w:val="2"/>
            <w:tcBorders>
              <w:left w:val="single" w:sz="18" w:space="0" w:color="auto"/>
            </w:tcBorders>
            <w:vAlign w:val="center"/>
          </w:tcPr>
          <w:p w14:paraId="0A398FF0" w14:textId="27F9A879" w:rsidR="000516BD" w:rsidRPr="005B7B53" w:rsidRDefault="000516BD" w:rsidP="00B32D6E">
            <w:pPr>
              <w:pStyle w:val="BodyText2"/>
              <w:spacing w:before="20" w:after="20" w:line="260" w:lineRule="atLeast"/>
              <w:rPr>
                <w:rFonts w:ascii="Verdana" w:hAnsi="Verdana"/>
                <w:sz w:val="17"/>
                <w:szCs w:val="17"/>
              </w:rPr>
            </w:pPr>
            <w:r>
              <w:rPr>
                <w:rFonts w:ascii="Verdana" w:hAnsi="Verdana"/>
                <w:sz w:val="17"/>
                <w:szCs w:val="17"/>
              </w:rPr>
              <w:t>Sygnia/Itrix MSCI World</w:t>
            </w:r>
          </w:p>
        </w:tc>
        <w:tc>
          <w:tcPr>
            <w:tcW w:w="851" w:type="dxa"/>
            <w:vAlign w:val="center"/>
          </w:tcPr>
          <w:p w14:paraId="5D53AF58" w14:textId="2FC0E78D" w:rsidR="000516BD" w:rsidRPr="005B7B53" w:rsidRDefault="000516BD"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27" w:type="dxa"/>
            <w:vAlign w:val="center"/>
          </w:tcPr>
          <w:p w14:paraId="6E7AB5E8" w14:textId="75723546" w:rsidR="000516BD" w:rsidRPr="005B7B53" w:rsidRDefault="00B22F4F" w:rsidP="00B32D6E">
            <w:pPr>
              <w:pStyle w:val="BodyText2"/>
              <w:spacing w:before="20" w:after="20" w:line="260" w:lineRule="atLeast"/>
              <w:jc w:val="center"/>
              <w:rPr>
                <w:rFonts w:ascii="Verdana" w:hAnsi="Verdana"/>
                <w:sz w:val="17"/>
                <w:szCs w:val="17"/>
              </w:rPr>
            </w:pPr>
            <w:r>
              <w:rPr>
                <w:rFonts w:ascii="Verdana" w:hAnsi="Verdana"/>
                <w:sz w:val="17"/>
                <w:szCs w:val="17"/>
              </w:rPr>
              <w:t>16,88%</w:t>
            </w:r>
          </w:p>
        </w:tc>
      </w:tr>
      <w:tr w:rsidR="000516BD" w:rsidRPr="00804DEE" w14:paraId="5ADA2D48" w14:textId="77777777" w:rsidTr="000516BD">
        <w:tc>
          <w:tcPr>
            <w:tcW w:w="3289" w:type="dxa"/>
            <w:shd w:val="clear" w:color="auto" w:fill="auto"/>
            <w:vAlign w:val="center"/>
          </w:tcPr>
          <w:p w14:paraId="71740FD8" w14:textId="23BF8A42" w:rsidR="000516BD" w:rsidRPr="005B7B53" w:rsidRDefault="000516BD" w:rsidP="00B32D6E">
            <w:pPr>
              <w:pStyle w:val="BodyText2"/>
              <w:spacing w:before="20" w:after="20" w:line="260" w:lineRule="atLeast"/>
              <w:rPr>
                <w:rFonts w:ascii="Verdana" w:hAnsi="Verdana"/>
                <w:sz w:val="17"/>
                <w:szCs w:val="17"/>
              </w:rPr>
            </w:pPr>
            <w:r>
              <w:rPr>
                <w:rFonts w:ascii="Verdana" w:hAnsi="Verdana"/>
                <w:sz w:val="17"/>
                <w:szCs w:val="17"/>
              </w:rPr>
              <w:t>Sygnia/Itrix MSCI USA</w:t>
            </w:r>
          </w:p>
        </w:tc>
        <w:tc>
          <w:tcPr>
            <w:tcW w:w="851" w:type="dxa"/>
            <w:shd w:val="clear" w:color="auto" w:fill="auto"/>
            <w:vAlign w:val="center"/>
          </w:tcPr>
          <w:p w14:paraId="0C90D785" w14:textId="1047D78E" w:rsidR="000516BD" w:rsidRPr="005B7B53" w:rsidRDefault="000516BD" w:rsidP="00B32D6E">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2BA8BB25" w14:textId="4AF41EE5" w:rsidR="000516BD" w:rsidRPr="005B7B53" w:rsidRDefault="00B22F4F" w:rsidP="00B32D6E">
            <w:pPr>
              <w:pStyle w:val="BodyText2"/>
              <w:spacing w:before="20" w:after="20" w:line="260" w:lineRule="atLeast"/>
              <w:jc w:val="center"/>
              <w:rPr>
                <w:rFonts w:ascii="Verdana" w:hAnsi="Verdana"/>
                <w:sz w:val="17"/>
                <w:szCs w:val="17"/>
              </w:rPr>
            </w:pPr>
            <w:r>
              <w:rPr>
                <w:rFonts w:ascii="Verdana" w:hAnsi="Verdana"/>
                <w:sz w:val="17"/>
                <w:szCs w:val="17"/>
              </w:rPr>
              <w:t>14,96%</w:t>
            </w:r>
          </w:p>
        </w:tc>
        <w:tc>
          <w:tcPr>
            <w:tcW w:w="3118" w:type="dxa"/>
            <w:gridSpan w:val="2"/>
            <w:tcBorders>
              <w:left w:val="single" w:sz="18" w:space="0" w:color="auto"/>
            </w:tcBorders>
            <w:vAlign w:val="center"/>
          </w:tcPr>
          <w:p w14:paraId="091A8DAB" w14:textId="70AFB7D2" w:rsidR="000516BD" w:rsidRPr="005B7B53" w:rsidRDefault="000516BD" w:rsidP="00B32D6E">
            <w:pPr>
              <w:pStyle w:val="BodyText2"/>
              <w:spacing w:before="20" w:after="20" w:line="260" w:lineRule="atLeast"/>
              <w:rPr>
                <w:rFonts w:ascii="Verdana" w:hAnsi="Verdana"/>
                <w:sz w:val="17"/>
                <w:szCs w:val="17"/>
              </w:rPr>
            </w:pPr>
            <w:r>
              <w:rPr>
                <w:rFonts w:ascii="Verdana" w:hAnsi="Verdana"/>
                <w:sz w:val="17"/>
                <w:szCs w:val="17"/>
              </w:rPr>
              <w:t>Sygnia/Itrix MSCI Japan</w:t>
            </w:r>
          </w:p>
        </w:tc>
        <w:tc>
          <w:tcPr>
            <w:tcW w:w="851" w:type="dxa"/>
            <w:vAlign w:val="center"/>
          </w:tcPr>
          <w:p w14:paraId="5AB99F1B" w14:textId="519075DD" w:rsidR="000516BD" w:rsidRPr="005B7B53" w:rsidRDefault="000516BD" w:rsidP="00B32D6E">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127" w:type="dxa"/>
            <w:vAlign w:val="center"/>
          </w:tcPr>
          <w:p w14:paraId="1E19B24E" w14:textId="19808966" w:rsidR="000516BD" w:rsidRPr="005B7B53" w:rsidRDefault="00B22F4F" w:rsidP="00B32D6E">
            <w:pPr>
              <w:pStyle w:val="BodyText2"/>
              <w:spacing w:before="20" w:after="20" w:line="260" w:lineRule="atLeast"/>
              <w:jc w:val="center"/>
              <w:rPr>
                <w:rFonts w:ascii="Verdana" w:hAnsi="Verdana"/>
                <w:sz w:val="17"/>
                <w:szCs w:val="17"/>
              </w:rPr>
            </w:pPr>
            <w:r>
              <w:rPr>
                <w:rFonts w:ascii="Verdana" w:hAnsi="Verdana"/>
                <w:sz w:val="17"/>
                <w:szCs w:val="17"/>
              </w:rPr>
              <w:t>13,91%</w:t>
            </w:r>
          </w:p>
        </w:tc>
      </w:tr>
      <w:tr w:rsidR="00C80653" w:rsidRPr="00804DEE" w14:paraId="023D40CE" w14:textId="77777777" w:rsidTr="000516BD">
        <w:tc>
          <w:tcPr>
            <w:tcW w:w="3289" w:type="dxa"/>
            <w:shd w:val="clear" w:color="auto" w:fill="auto"/>
            <w:vAlign w:val="center"/>
          </w:tcPr>
          <w:p w14:paraId="7F07FFEA" w14:textId="6317B2EF" w:rsidR="00C80653" w:rsidRPr="005B7B53" w:rsidRDefault="00C80653" w:rsidP="00C80653">
            <w:pPr>
              <w:pStyle w:val="BodyText2"/>
              <w:spacing w:before="20" w:after="20" w:line="280" w:lineRule="atLeast"/>
              <w:rPr>
                <w:rFonts w:ascii="Verdana" w:hAnsi="Verdana"/>
                <w:sz w:val="17"/>
                <w:szCs w:val="17"/>
              </w:rPr>
            </w:pPr>
          </w:p>
        </w:tc>
        <w:tc>
          <w:tcPr>
            <w:tcW w:w="851" w:type="dxa"/>
            <w:shd w:val="clear" w:color="auto" w:fill="auto"/>
            <w:vAlign w:val="center"/>
          </w:tcPr>
          <w:p w14:paraId="70F1AF43" w14:textId="34881198" w:rsidR="00C80653" w:rsidRPr="005B7B53" w:rsidRDefault="00C80653" w:rsidP="00C80653">
            <w:pPr>
              <w:pStyle w:val="BodyText2"/>
              <w:spacing w:before="20" w:after="20" w:line="280" w:lineRule="atLeast"/>
              <w:jc w:val="center"/>
              <w:rPr>
                <w:rFonts w:ascii="Verdana" w:hAnsi="Verdana"/>
                <w:sz w:val="17"/>
                <w:szCs w:val="17"/>
              </w:rPr>
            </w:pPr>
          </w:p>
        </w:tc>
        <w:tc>
          <w:tcPr>
            <w:tcW w:w="1134" w:type="dxa"/>
            <w:tcBorders>
              <w:right w:val="single" w:sz="18" w:space="0" w:color="auto"/>
            </w:tcBorders>
            <w:shd w:val="clear" w:color="auto" w:fill="4C4C4C"/>
          </w:tcPr>
          <w:p w14:paraId="02DD95E7" w14:textId="7E47599A" w:rsidR="00C80653" w:rsidRPr="005B7B53" w:rsidRDefault="00C80653" w:rsidP="00C80653">
            <w:pPr>
              <w:pStyle w:val="BodyText2"/>
              <w:spacing w:before="20" w:after="20" w:line="280" w:lineRule="atLeast"/>
              <w:jc w:val="center"/>
              <w:rPr>
                <w:rFonts w:ascii="Verdana" w:hAnsi="Verdana"/>
                <w:b/>
                <w:color w:val="FFFFFF"/>
                <w:sz w:val="17"/>
                <w:szCs w:val="17"/>
              </w:rPr>
            </w:pPr>
            <w:r>
              <w:rPr>
                <w:rFonts w:ascii="Verdana" w:hAnsi="Verdana"/>
                <w:b/>
                <w:color w:val="FFFFFF"/>
                <w:sz w:val="17"/>
                <w:szCs w:val="17"/>
              </w:rPr>
              <w:t xml:space="preserve">3 Years </w:t>
            </w:r>
            <w:r w:rsidRPr="005B7B53">
              <w:rPr>
                <w:rFonts w:ascii="Verdana" w:hAnsi="Verdana"/>
                <w:b/>
                <w:color w:val="FFFFFF"/>
                <w:sz w:val="17"/>
                <w:szCs w:val="17"/>
              </w:rPr>
              <w:t>(p</w:t>
            </w:r>
            <w:r>
              <w:rPr>
                <w:rFonts w:ascii="Verdana" w:hAnsi="Verdana"/>
                <w:b/>
                <w:color w:val="FFFFFF"/>
                <w:sz w:val="17"/>
                <w:szCs w:val="17"/>
              </w:rPr>
              <w:t>.a.</w:t>
            </w:r>
            <w:r w:rsidRPr="005B7B53">
              <w:rPr>
                <w:rFonts w:ascii="Verdana" w:hAnsi="Verdana"/>
                <w:b/>
                <w:color w:val="FFFFFF"/>
                <w:sz w:val="17"/>
                <w:szCs w:val="17"/>
              </w:rPr>
              <w:t>)</w:t>
            </w:r>
          </w:p>
        </w:tc>
        <w:tc>
          <w:tcPr>
            <w:tcW w:w="3118" w:type="dxa"/>
            <w:gridSpan w:val="2"/>
            <w:tcBorders>
              <w:left w:val="single" w:sz="18" w:space="0" w:color="auto"/>
            </w:tcBorders>
            <w:shd w:val="clear" w:color="auto" w:fill="auto"/>
            <w:vAlign w:val="center"/>
          </w:tcPr>
          <w:p w14:paraId="04CE8D0A" w14:textId="4ED03316" w:rsidR="00C80653" w:rsidRPr="005B7B53" w:rsidRDefault="00C80653" w:rsidP="00C80653">
            <w:pPr>
              <w:pStyle w:val="BodyText2"/>
              <w:spacing w:before="20" w:after="20" w:line="280" w:lineRule="atLeast"/>
              <w:rPr>
                <w:rFonts w:ascii="Verdana" w:hAnsi="Verdana"/>
                <w:sz w:val="17"/>
                <w:szCs w:val="17"/>
              </w:rPr>
            </w:pPr>
          </w:p>
        </w:tc>
        <w:tc>
          <w:tcPr>
            <w:tcW w:w="851" w:type="dxa"/>
            <w:shd w:val="clear" w:color="auto" w:fill="auto"/>
            <w:vAlign w:val="center"/>
          </w:tcPr>
          <w:p w14:paraId="03057385" w14:textId="0126F6A1" w:rsidR="00C80653" w:rsidRPr="005B7B53" w:rsidRDefault="00C80653" w:rsidP="00C80653">
            <w:pPr>
              <w:pStyle w:val="BodyText2"/>
              <w:spacing w:before="20" w:after="20" w:line="280" w:lineRule="atLeast"/>
              <w:jc w:val="center"/>
              <w:rPr>
                <w:rFonts w:ascii="Verdana" w:hAnsi="Verdana"/>
                <w:sz w:val="17"/>
                <w:szCs w:val="17"/>
              </w:rPr>
            </w:pPr>
          </w:p>
        </w:tc>
        <w:tc>
          <w:tcPr>
            <w:tcW w:w="1127" w:type="dxa"/>
            <w:shd w:val="clear" w:color="auto" w:fill="4C4C4C"/>
            <w:vAlign w:val="center"/>
          </w:tcPr>
          <w:p w14:paraId="032D7710" w14:textId="77777777" w:rsidR="00C80653" w:rsidRPr="005B7B53" w:rsidRDefault="00C80653" w:rsidP="00C80653">
            <w:pPr>
              <w:pStyle w:val="BodyText2"/>
              <w:spacing w:before="20" w:after="20" w:line="280" w:lineRule="atLeast"/>
              <w:jc w:val="center"/>
              <w:rPr>
                <w:rFonts w:ascii="Verdana" w:hAnsi="Verdana"/>
                <w:b/>
                <w:color w:val="FFFFFF"/>
                <w:sz w:val="17"/>
                <w:szCs w:val="17"/>
              </w:rPr>
            </w:pPr>
            <w:r w:rsidRPr="005B7B53">
              <w:rPr>
                <w:rFonts w:ascii="Verdana" w:hAnsi="Verdana"/>
                <w:b/>
                <w:color w:val="FFFFFF"/>
                <w:sz w:val="17"/>
                <w:szCs w:val="17"/>
              </w:rPr>
              <w:t>2 Years (p</w:t>
            </w:r>
            <w:r>
              <w:rPr>
                <w:rFonts w:ascii="Verdana" w:hAnsi="Verdana"/>
                <w:b/>
                <w:color w:val="FFFFFF"/>
                <w:sz w:val="17"/>
                <w:szCs w:val="17"/>
              </w:rPr>
              <w:t>.a.</w:t>
            </w:r>
            <w:r w:rsidRPr="005B7B53">
              <w:rPr>
                <w:rFonts w:ascii="Verdana" w:hAnsi="Verdana"/>
                <w:b/>
                <w:color w:val="FFFFFF"/>
                <w:sz w:val="17"/>
                <w:szCs w:val="17"/>
              </w:rPr>
              <w:t>)</w:t>
            </w:r>
          </w:p>
        </w:tc>
      </w:tr>
      <w:tr w:rsidR="00C80653" w:rsidRPr="00804DEE" w14:paraId="7EEFA953" w14:textId="77777777" w:rsidTr="000516BD">
        <w:tc>
          <w:tcPr>
            <w:tcW w:w="3289" w:type="dxa"/>
            <w:shd w:val="clear" w:color="auto" w:fill="auto"/>
            <w:vAlign w:val="center"/>
          </w:tcPr>
          <w:p w14:paraId="02EBC933" w14:textId="6BC87B9E"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NewFunds S&amp;P GIVI RESI</w:t>
            </w:r>
          </w:p>
        </w:tc>
        <w:tc>
          <w:tcPr>
            <w:tcW w:w="851" w:type="dxa"/>
            <w:shd w:val="clear" w:color="auto" w:fill="auto"/>
            <w:vAlign w:val="center"/>
          </w:tcPr>
          <w:p w14:paraId="2A924E7A" w14:textId="4605A9FC"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49D95F1D" w14:textId="1F3E96DC"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25,28%</w:t>
            </w:r>
          </w:p>
        </w:tc>
        <w:tc>
          <w:tcPr>
            <w:tcW w:w="3118" w:type="dxa"/>
            <w:gridSpan w:val="2"/>
            <w:tcBorders>
              <w:left w:val="single" w:sz="18" w:space="0" w:color="auto"/>
            </w:tcBorders>
            <w:vAlign w:val="center"/>
          </w:tcPr>
          <w:p w14:paraId="57722014" w14:textId="2E1AFA1A"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Africa Rhodium</w:t>
            </w:r>
          </w:p>
        </w:tc>
        <w:tc>
          <w:tcPr>
            <w:tcW w:w="851" w:type="dxa"/>
            <w:vAlign w:val="center"/>
          </w:tcPr>
          <w:p w14:paraId="50457F19" w14:textId="3A52FDD9"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27" w:type="dxa"/>
            <w:vAlign w:val="center"/>
          </w:tcPr>
          <w:p w14:paraId="1529C823" w14:textId="56AB483B"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80,31%</w:t>
            </w:r>
          </w:p>
        </w:tc>
      </w:tr>
      <w:tr w:rsidR="00C80653" w:rsidRPr="00804DEE" w14:paraId="3376B89B" w14:textId="77777777" w:rsidTr="000516BD">
        <w:tc>
          <w:tcPr>
            <w:tcW w:w="3289" w:type="dxa"/>
            <w:shd w:val="clear" w:color="auto" w:fill="auto"/>
            <w:vAlign w:val="center"/>
          </w:tcPr>
          <w:p w14:paraId="4B3FC159" w14:textId="6256F6EC"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Palladium Linker</w:t>
            </w:r>
          </w:p>
        </w:tc>
        <w:tc>
          <w:tcPr>
            <w:tcW w:w="851" w:type="dxa"/>
            <w:shd w:val="clear" w:color="auto" w:fill="auto"/>
            <w:vAlign w:val="center"/>
          </w:tcPr>
          <w:p w14:paraId="67E95842" w14:textId="3D4B956D"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134" w:type="dxa"/>
            <w:tcBorders>
              <w:right w:val="single" w:sz="18" w:space="0" w:color="auto"/>
            </w:tcBorders>
            <w:shd w:val="clear" w:color="auto" w:fill="auto"/>
            <w:vAlign w:val="center"/>
          </w:tcPr>
          <w:p w14:paraId="7DEBCF83" w14:textId="25C0B0E1"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17,54%</w:t>
            </w:r>
          </w:p>
        </w:tc>
        <w:tc>
          <w:tcPr>
            <w:tcW w:w="3118" w:type="dxa"/>
            <w:gridSpan w:val="2"/>
            <w:tcBorders>
              <w:left w:val="single" w:sz="18" w:space="0" w:color="auto"/>
            </w:tcBorders>
            <w:vAlign w:val="center"/>
          </w:tcPr>
          <w:p w14:paraId="35687B8B" w14:textId="7DE78B9F"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Palladium Linker</w:t>
            </w:r>
          </w:p>
        </w:tc>
        <w:tc>
          <w:tcPr>
            <w:tcW w:w="851" w:type="dxa"/>
            <w:vAlign w:val="center"/>
          </w:tcPr>
          <w:p w14:paraId="0458661B" w14:textId="36E448ED"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127" w:type="dxa"/>
            <w:vAlign w:val="center"/>
          </w:tcPr>
          <w:p w14:paraId="4E51CEC8" w14:textId="7C6C9BF9"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24,35%</w:t>
            </w:r>
          </w:p>
        </w:tc>
      </w:tr>
      <w:tr w:rsidR="00C80653" w:rsidRPr="00804DEE" w14:paraId="5501E2D4" w14:textId="77777777" w:rsidTr="000516BD">
        <w:tc>
          <w:tcPr>
            <w:tcW w:w="3289" w:type="dxa"/>
            <w:shd w:val="clear" w:color="auto" w:fill="auto"/>
            <w:vAlign w:val="center"/>
          </w:tcPr>
          <w:p w14:paraId="6C94E600" w14:textId="625243A8"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Africa Palladium</w:t>
            </w:r>
          </w:p>
        </w:tc>
        <w:tc>
          <w:tcPr>
            <w:tcW w:w="851" w:type="dxa"/>
            <w:shd w:val="clear" w:color="auto" w:fill="auto"/>
            <w:vAlign w:val="center"/>
          </w:tcPr>
          <w:p w14:paraId="27488A15" w14:textId="08FA7913"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24E619AD" w14:textId="5FA29D64"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16,52%</w:t>
            </w:r>
          </w:p>
        </w:tc>
        <w:tc>
          <w:tcPr>
            <w:tcW w:w="3118" w:type="dxa"/>
            <w:gridSpan w:val="2"/>
            <w:tcBorders>
              <w:left w:val="single" w:sz="18" w:space="0" w:color="auto"/>
            </w:tcBorders>
            <w:vAlign w:val="center"/>
          </w:tcPr>
          <w:p w14:paraId="39276777" w14:textId="013C5351"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Africa Palladium</w:t>
            </w:r>
          </w:p>
        </w:tc>
        <w:tc>
          <w:tcPr>
            <w:tcW w:w="851" w:type="dxa"/>
            <w:vAlign w:val="center"/>
          </w:tcPr>
          <w:p w14:paraId="37B90DDB" w14:textId="0255094B"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27" w:type="dxa"/>
            <w:vAlign w:val="center"/>
          </w:tcPr>
          <w:p w14:paraId="51556B4A" w14:textId="679A0F05"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22,63%</w:t>
            </w:r>
          </w:p>
        </w:tc>
      </w:tr>
      <w:tr w:rsidR="00C80653" w:rsidRPr="00804DEE" w14:paraId="4E4C6638" w14:textId="77777777" w:rsidTr="000516BD">
        <w:tc>
          <w:tcPr>
            <w:tcW w:w="3289" w:type="dxa"/>
            <w:shd w:val="clear" w:color="auto" w:fill="auto"/>
            <w:vAlign w:val="center"/>
          </w:tcPr>
          <w:p w14:paraId="4467BCE7" w14:textId="73979B86"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NewGold Palladium</w:t>
            </w:r>
          </w:p>
        </w:tc>
        <w:tc>
          <w:tcPr>
            <w:tcW w:w="851" w:type="dxa"/>
            <w:shd w:val="clear" w:color="auto" w:fill="auto"/>
            <w:vAlign w:val="center"/>
          </w:tcPr>
          <w:p w14:paraId="5AC6B43F" w14:textId="1A36490F"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3FDB5EC" w14:textId="49B549D5"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16,28%</w:t>
            </w:r>
          </w:p>
        </w:tc>
        <w:tc>
          <w:tcPr>
            <w:tcW w:w="3118" w:type="dxa"/>
            <w:gridSpan w:val="2"/>
            <w:tcBorders>
              <w:left w:val="single" w:sz="18" w:space="0" w:color="auto"/>
            </w:tcBorders>
            <w:vAlign w:val="center"/>
          </w:tcPr>
          <w:p w14:paraId="2B2FC46B" w14:textId="1C47755F"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NewGold Palladium</w:t>
            </w:r>
          </w:p>
        </w:tc>
        <w:tc>
          <w:tcPr>
            <w:tcW w:w="851" w:type="dxa"/>
            <w:vAlign w:val="center"/>
          </w:tcPr>
          <w:p w14:paraId="628F08B2" w14:textId="7C6E7302"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27" w:type="dxa"/>
            <w:vAlign w:val="center"/>
          </w:tcPr>
          <w:p w14:paraId="244D8DFA" w14:textId="47878369"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22,56%</w:t>
            </w:r>
          </w:p>
        </w:tc>
      </w:tr>
      <w:tr w:rsidR="00C80653" w:rsidRPr="006E3070" w14:paraId="044F63A3"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3FA473C" w14:textId="24B8D285" w:rsidR="00C80653" w:rsidRPr="005B7B53" w:rsidRDefault="00C80653" w:rsidP="00C80653">
            <w:pPr>
              <w:pStyle w:val="BodyText2"/>
              <w:spacing w:before="20" w:after="2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BC149" w14:textId="3C51AF24" w:rsidR="00C80653" w:rsidRPr="005B7B53" w:rsidRDefault="00C80653" w:rsidP="00C80653">
            <w:pPr>
              <w:pStyle w:val="BodyText2"/>
              <w:spacing w:before="20" w:after="20" w:line="280" w:lineRule="atLeast"/>
              <w:jc w:val="center"/>
              <w:rPr>
                <w:rFonts w:ascii="Verdana" w:hAnsi="Verdana"/>
                <w:sz w:val="17"/>
                <w:szCs w:val="17"/>
              </w:rPr>
            </w:pPr>
          </w:p>
        </w:tc>
        <w:tc>
          <w:tcPr>
            <w:tcW w:w="1134" w:type="dxa"/>
            <w:tcBorders>
              <w:top w:val="single" w:sz="4" w:space="0" w:color="auto"/>
              <w:left w:val="single" w:sz="4" w:space="0" w:color="auto"/>
              <w:bottom w:val="single" w:sz="4" w:space="0" w:color="auto"/>
              <w:right w:val="single" w:sz="18" w:space="0" w:color="auto"/>
            </w:tcBorders>
            <w:shd w:val="clear" w:color="auto" w:fill="4C4C4C"/>
            <w:vAlign w:val="center"/>
          </w:tcPr>
          <w:p w14:paraId="7382C3FD" w14:textId="1531CEDC" w:rsidR="00C80653" w:rsidRPr="005B7B53" w:rsidRDefault="00C80653" w:rsidP="00C80653">
            <w:pPr>
              <w:pStyle w:val="BodyText2"/>
              <w:spacing w:before="20" w:after="20" w:line="280" w:lineRule="atLeast"/>
              <w:jc w:val="center"/>
              <w:rPr>
                <w:rFonts w:ascii="Verdana" w:hAnsi="Verdana"/>
                <w:b/>
                <w:color w:val="FFFFFF"/>
                <w:sz w:val="17"/>
                <w:szCs w:val="17"/>
              </w:rPr>
            </w:pPr>
            <w:r>
              <w:rPr>
                <w:rFonts w:ascii="Verdana" w:hAnsi="Verdana"/>
                <w:b/>
                <w:color w:val="FFFFFF"/>
                <w:sz w:val="17"/>
                <w:szCs w:val="17"/>
              </w:rPr>
              <w:t>1 Year</w:t>
            </w:r>
          </w:p>
        </w:tc>
        <w:tc>
          <w:tcPr>
            <w:tcW w:w="3118"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43BE3DD" w14:textId="040F8CCF" w:rsidR="00C80653" w:rsidRPr="005B7B53" w:rsidRDefault="00C80653" w:rsidP="00C80653">
            <w:pPr>
              <w:pStyle w:val="BodyText2"/>
              <w:spacing w:before="20" w:after="2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A18082" w14:textId="5D0781E8" w:rsidR="00C80653" w:rsidRPr="005B7B53" w:rsidRDefault="00C80653" w:rsidP="00C80653">
            <w:pPr>
              <w:pStyle w:val="BodyText2"/>
              <w:spacing w:before="20" w:after="20" w:line="280" w:lineRule="atLeast"/>
              <w:jc w:val="center"/>
              <w:rPr>
                <w:rFonts w:ascii="Verdana" w:hAnsi="Verdana"/>
                <w:sz w:val="17"/>
                <w:szCs w:val="17"/>
              </w:rPr>
            </w:pPr>
          </w:p>
        </w:tc>
        <w:tc>
          <w:tcPr>
            <w:tcW w:w="1127" w:type="dxa"/>
            <w:tcBorders>
              <w:top w:val="single" w:sz="4" w:space="0" w:color="auto"/>
              <w:left w:val="single" w:sz="4" w:space="0" w:color="auto"/>
              <w:bottom w:val="single" w:sz="4" w:space="0" w:color="auto"/>
              <w:right w:val="single" w:sz="4" w:space="0" w:color="auto"/>
            </w:tcBorders>
            <w:shd w:val="clear" w:color="auto" w:fill="4C4C4C"/>
          </w:tcPr>
          <w:p w14:paraId="76CBD24A" w14:textId="77777777" w:rsidR="00C80653" w:rsidRPr="005B7B53" w:rsidRDefault="00C80653" w:rsidP="00C80653">
            <w:pPr>
              <w:pStyle w:val="BodyText2"/>
              <w:spacing w:before="20" w:after="20" w:line="280" w:lineRule="atLeast"/>
              <w:jc w:val="center"/>
              <w:rPr>
                <w:rFonts w:ascii="Verdana" w:hAnsi="Verdana"/>
                <w:b/>
                <w:color w:val="FFFFFF"/>
                <w:sz w:val="17"/>
                <w:szCs w:val="17"/>
              </w:rPr>
            </w:pPr>
            <w:r>
              <w:rPr>
                <w:rFonts w:ascii="Verdana" w:hAnsi="Verdana"/>
                <w:b/>
                <w:color w:val="FFFFFF"/>
                <w:sz w:val="17"/>
                <w:szCs w:val="17"/>
              </w:rPr>
              <w:t>6</w:t>
            </w:r>
            <w:r w:rsidRPr="005B7B53">
              <w:rPr>
                <w:rFonts w:ascii="Verdana" w:hAnsi="Verdana"/>
                <w:b/>
                <w:color w:val="FFFFFF"/>
                <w:sz w:val="17"/>
                <w:szCs w:val="17"/>
              </w:rPr>
              <w:t xml:space="preserve"> Months</w:t>
            </w:r>
          </w:p>
        </w:tc>
      </w:tr>
      <w:tr w:rsidR="00C80653" w14:paraId="0FED9550"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4AE1657" w14:textId="43A5D1F0"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Africa Rhodium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9BF54D" w14:textId="559250AF"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B1E61D0" w14:textId="1C88E4DE"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136,49%</w:t>
            </w:r>
          </w:p>
        </w:tc>
        <w:tc>
          <w:tcPr>
            <w:tcW w:w="3118" w:type="dxa"/>
            <w:gridSpan w:val="2"/>
            <w:tcBorders>
              <w:top w:val="single" w:sz="4" w:space="0" w:color="auto"/>
              <w:left w:val="single" w:sz="18" w:space="0" w:color="auto"/>
              <w:bottom w:val="single" w:sz="4" w:space="0" w:color="auto"/>
              <w:right w:val="single" w:sz="4" w:space="0" w:color="auto"/>
            </w:tcBorders>
            <w:vAlign w:val="center"/>
          </w:tcPr>
          <w:p w14:paraId="5D4EB88F" w14:textId="55B30784"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Africa Rhodium</w:t>
            </w:r>
          </w:p>
        </w:tc>
        <w:tc>
          <w:tcPr>
            <w:tcW w:w="851" w:type="dxa"/>
            <w:tcBorders>
              <w:top w:val="single" w:sz="4" w:space="0" w:color="auto"/>
              <w:left w:val="single" w:sz="4" w:space="0" w:color="auto"/>
              <w:bottom w:val="single" w:sz="4" w:space="0" w:color="auto"/>
              <w:right w:val="single" w:sz="4" w:space="0" w:color="auto"/>
            </w:tcBorders>
            <w:vAlign w:val="center"/>
          </w:tcPr>
          <w:p w14:paraId="300B2B8E" w14:textId="50343CE7"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27" w:type="dxa"/>
            <w:tcBorders>
              <w:top w:val="single" w:sz="4" w:space="0" w:color="auto"/>
              <w:left w:val="single" w:sz="4" w:space="0" w:color="auto"/>
              <w:bottom w:val="single" w:sz="4" w:space="0" w:color="auto"/>
              <w:right w:val="single" w:sz="4" w:space="0" w:color="auto"/>
            </w:tcBorders>
            <w:vAlign w:val="center"/>
          </w:tcPr>
          <w:p w14:paraId="3792A5C0" w14:textId="1D0A8284"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46,39%</w:t>
            </w:r>
          </w:p>
        </w:tc>
      </w:tr>
      <w:tr w:rsidR="00C80653" w:rsidRPr="00804DEE" w14:paraId="70CDB443"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885DA62" w14:textId="0B0B600E"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Oil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179D8C" w14:textId="0B9C12F5"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4F03C353" w14:textId="04DFF06F"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73,98%</w:t>
            </w:r>
          </w:p>
        </w:tc>
        <w:tc>
          <w:tcPr>
            <w:tcW w:w="3118" w:type="dxa"/>
            <w:gridSpan w:val="2"/>
            <w:tcBorders>
              <w:top w:val="single" w:sz="4" w:space="0" w:color="auto"/>
              <w:left w:val="single" w:sz="18" w:space="0" w:color="auto"/>
              <w:right w:val="single" w:sz="4" w:space="0" w:color="auto"/>
            </w:tcBorders>
            <w:vAlign w:val="center"/>
          </w:tcPr>
          <w:p w14:paraId="01462BE8" w14:textId="5A755B33"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Oil</w:t>
            </w:r>
          </w:p>
        </w:tc>
        <w:tc>
          <w:tcPr>
            <w:tcW w:w="851" w:type="dxa"/>
            <w:tcBorders>
              <w:top w:val="single" w:sz="4" w:space="0" w:color="auto"/>
              <w:left w:val="single" w:sz="4" w:space="0" w:color="auto"/>
              <w:right w:val="single" w:sz="4" w:space="0" w:color="auto"/>
            </w:tcBorders>
            <w:vAlign w:val="center"/>
          </w:tcPr>
          <w:p w14:paraId="7C0F20B8" w14:textId="0DF2A589"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127" w:type="dxa"/>
            <w:tcBorders>
              <w:top w:val="single" w:sz="4" w:space="0" w:color="auto"/>
              <w:left w:val="single" w:sz="4" w:space="0" w:color="auto"/>
              <w:right w:val="single" w:sz="4" w:space="0" w:color="auto"/>
            </w:tcBorders>
            <w:vAlign w:val="center"/>
          </w:tcPr>
          <w:p w14:paraId="6B6730F2" w14:textId="0140B2C1"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41,39%</w:t>
            </w:r>
          </w:p>
        </w:tc>
      </w:tr>
      <w:tr w:rsidR="00C80653" w:rsidRPr="00804DEE" w14:paraId="26AE9F78"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E897464" w14:textId="54132DD2"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Africa Commodity Basket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42D228" w14:textId="13B6EC8C"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10851A5B" w14:textId="6901772F"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28,19%</w:t>
            </w:r>
          </w:p>
        </w:tc>
        <w:tc>
          <w:tcPr>
            <w:tcW w:w="3118" w:type="dxa"/>
            <w:gridSpan w:val="2"/>
            <w:tcBorders>
              <w:left w:val="single" w:sz="18" w:space="0" w:color="auto"/>
              <w:bottom w:val="single" w:sz="4" w:space="0" w:color="auto"/>
              <w:right w:val="single" w:sz="4" w:space="0" w:color="auto"/>
            </w:tcBorders>
            <w:vAlign w:val="center"/>
          </w:tcPr>
          <w:p w14:paraId="012F6A2B" w14:textId="76E19CBA"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Wheat</w:t>
            </w:r>
          </w:p>
        </w:tc>
        <w:tc>
          <w:tcPr>
            <w:tcW w:w="851" w:type="dxa"/>
            <w:tcBorders>
              <w:left w:val="single" w:sz="4" w:space="0" w:color="auto"/>
              <w:bottom w:val="single" w:sz="4" w:space="0" w:color="auto"/>
              <w:right w:val="single" w:sz="4" w:space="0" w:color="auto"/>
            </w:tcBorders>
            <w:vAlign w:val="center"/>
          </w:tcPr>
          <w:p w14:paraId="130899C3" w14:textId="55A39A4B"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127" w:type="dxa"/>
            <w:tcBorders>
              <w:left w:val="single" w:sz="4" w:space="0" w:color="auto"/>
              <w:bottom w:val="single" w:sz="4" w:space="0" w:color="auto"/>
              <w:right w:val="single" w:sz="4" w:space="0" w:color="auto"/>
            </w:tcBorders>
            <w:vAlign w:val="center"/>
          </w:tcPr>
          <w:p w14:paraId="4BFF92C6" w14:textId="012AF118"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21,95%</w:t>
            </w:r>
          </w:p>
        </w:tc>
      </w:tr>
      <w:tr w:rsidR="00C80653" w:rsidRPr="00804DEE" w14:paraId="13B92036"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4287F2F" w14:textId="288AAC6E"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Sygnia Dividend Index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A3F794" w14:textId="68FD72EE"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Unit T</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D5DC9DF" w14:textId="13FD83DB"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25,23%</w:t>
            </w:r>
          </w:p>
        </w:tc>
        <w:tc>
          <w:tcPr>
            <w:tcW w:w="3118" w:type="dxa"/>
            <w:gridSpan w:val="2"/>
            <w:tcBorders>
              <w:left w:val="single" w:sz="18" w:space="0" w:color="auto"/>
              <w:bottom w:val="single" w:sz="4" w:space="0" w:color="auto"/>
              <w:right w:val="single" w:sz="4" w:space="0" w:color="auto"/>
            </w:tcBorders>
            <w:vAlign w:val="center"/>
          </w:tcPr>
          <w:p w14:paraId="5E71E6F7" w14:textId="34E79A8C"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Satrix RESI 10</w:t>
            </w:r>
          </w:p>
        </w:tc>
        <w:tc>
          <w:tcPr>
            <w:tcW w:w="851" w:type="dxa"/>
            <w:tcBorders>
              <w:left w:val="single" w:sz="4" w:space="0" w:color="auto"/>
              <w:bottom w:val="single" w:sz="4" w:space="0" w:color="auto"/>
              <w:right w:val="single" w:sz="4" w:space="0" w:color="auto"/>
            </w:tcBorders>
            <w:vAlign w:val="center"/>
          </w:tcPr>
          <w:p w14:paraId="52B68472" w14:textId="53AC22C5"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3F03E6C6" w14:textId="39462FAB"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17,15%</w:t>
            </w:r>
          </w:p>
        </w:tc>
      </w:tr>
      <w:tr w:rsidR="00C80653" w:rsidRPr="00804DEE" w14:paraId="50CD5CC8" w14:textId="77777777" w:rsidTr="000516BD">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568C5" w14:textId="77777777" w:rsidR="00C80653" w:rsidRDefault="00C80653" w:rsidP="00C80653">
            <w:pPr>
              <w:pStyle w:val="BodyText2"/>
              <w:spacing w:before="20" w:after="20" w:line="280" w:lineRule="atLeast"/>
              <w:jc w:val="center"/>
              <w:rPr>
                <w:rFonts w:ascii="Verdana" w:hAnsi="Verdana"/>
                <w:sz w:val="17"/>
                <w:szCs w:val="17"/>
              </w:rPr>
            </w:pPr>
          </w:p>
        </w:tc>
        <w:tc>
          <w:tcPr>
            <w:tcW w:w="2345"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0612D67" w14:textId="77777777" w:rsidR="00C80653" w:rsidRPr="00307781" w:rsidRDefault="00C80653" w:rsidP="00C80653">
            <w:pPr>
              <w:pStyle w:val="BodyText2"/>
              <w:spacing w:before="20" w:after="20" w:line="280" w:lineRule="atLeast"/>
              <w:jc w:val="center"/>
              <w:rPr>
                <w:rFonts w:ascii="Verdana" w:hAnsi="Verdana"/>
                <w:b/>
                <w:color w:val="FFFFFF" w:themeColor="background1"/>
                <w:sz w:val="17"/>
                <w:szCs w:val="17"/>
              </w:rPr>
            </w:pPr>
            <w:r w:rsidRPr="00307781">
              <w:rPr>
                <w:rFonts w:ascii="Verdana" w:hAnsi="Verdana"/>
                <w:b/>
                <w:color w:val="FFFFFF" w:themeColor="background1"/>
                <w:sz w:val="17"/>
                <w:szCs w:val="17"/>
              </w:rPr>
              <w:t>3 Months</w:t>
            </w:r>
          </w:p>
        </w:tc>
        <w:tc>
          <w:tcPr>
            <w:tcW w:w="3885" w:type="dxa"/>
            <w:gridSpan w:val="3"/>
            <w:tcBorders>
              <w:left w:val="single" w:sz="4" w:space="0" w:color="auto"/>
              <w:bottom w:val="single" w:sz="4" w:space="0" w:color="auto"/>
              <w:right w:val="single" w:sz="4" w:space="0" w:color="auto"/>
            </w:tcBorders>
            <w:vAlign w:val="center"/>
          </w:tcPr>
          <w:p w14:paraId="7B17881B" w14:textId="77777777" w:rsidR="00C80653" w:rsidRPr="005B7B53" w:rsidRDefault="00C80653" w:rsidP="00C80653">
            <w:pPr>
              <w:pStyle w:val="BodyText2"/>
              <w:spacing w:before="20" w:after="20" w:line="280" w:lineRule="atLeast"/>
              <w:jc w:val="center"/>
              <w:rPr>
                <w:rFonts w:ascii="Verdana" w:hAnsi="Verdana"/>
                <w:sz w:val="17"/>
                <w:szCs w:val="17"/>
              </w:rPr>
            </w:pPr>
          </w:p>
        </w:tc>
      </w:tr>
      <w:tr w:rsidR="00C80653" w:rsidRPr="00804DEE" w14:paraId="15BFA9E9"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16D50ED" w14:textId="125020C3"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Oil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C67FFF" w14:textId="27059FCC"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1F2922B2" w14:textId="7C6EBECC"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33,59%</w:t>
            </w:r>
          </w:p>
        </w:tc>
        <w:tc>
          <w:tcPr>
            <w:tcW w:w="3118" w:type="dxa"/>
            <w:gridSpan w:val="2"/>
            <w:tcBorders>
              <w:left w:val="single" w:sz="18" w:space="0" w:color="auto"/>
              <w:bottom w:val="single" w:sz="4" w:space="0" w:color="auto"/>
              <w:right w:val="single" w:sz="6" w:space="0" w:color="auto"/>
            </w:tcBorders>
            <w:vAlign w:val="center"/>
          </w:tcPr>
          <w:p w14:paraId="04986229" w14:textId="2EB834AE"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Wheat</w:t>
            </w:r>
          </w:p>
        </w:tc>
        <w:tc>
          <w:tcPr>
            <w:tcW w:w="851" w:type="dxa"/>
            <w:tcBorders>
              <w:left w:val="single" w:sz="6" w:space="0" w:color="auto"/>
              <w:bottom w:val="single" w:sz="4" w:space="0" w:color="auto"/>
              <w:right w:val="single" w:sz="4" w:space="0" w:color="auto"/>
            </w:tcBorders>
            <w:vAlign w:val="center"/>
          </w:tcPr>
          <w:p w14:paraId="64FA5F90" w14:textId="6BC9BB05"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127" w:type="dxa"/>
            <w:tcBorders>
              <w:left w:val="single" w:sz="4" w:space="0" w:color="auto"/>
              <w:bottom w:val="single" w:sz="4" w:space="0" w:color="auto"/>
              <w:right w:val="single" w:sz="4" w:space="0" w:color="auto"/>
            </w:tcBorders>
            <w:vAlign w:val="center"/>
          </w:tcPr>
          <w:p w14:paraId="7430F8A4" w14:textId="23CB3493"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24,08%</w:t>
            </w:r>
          </w:p>
        </w:tc>
      </w:tr>
      <w:tr w:rsidR="00C80653" w:rsidRPr="00804DEE" w14:paraId="4F8A18F9"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4E60CB5" w14:textId="350DF3A0"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Standard Bank Africa Rhodium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827D61" w14:textId="73481C03"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0110D55F" w14:textId="75BDAE68"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27,46%</w:t>
            </w:r>
          </w:p>
        </w:tc>
        <w:tc>
          <w:tcPr>
            <w:tcW w:w="3118" w:type="dxa"/>
            <w:gridSpan w:val="2"/>
            <w:tcBorders>
              <w:left w:val="single" w:sz="18" w:space="0" w:color="auto"/>
              <w:bottom w:val="single" w:sz="4" w:space="0" w:color="auto"/>
              <w:right w:val="single" w:sz="6" w:space="0" w:color="auto"/>
            </w:tcBorders>
            <w:vAlign w:val="center"/>
          </w:tcPr>
          <w:p w14:paraId="23B6D706" w14:textId="48BD77A8" w:rsidR="00C80653" w:rsidRPr="005B7B53" w:rsidRDefault="00C80653" w:rsidP="00B32D6E">
            <w:pPr>
              <w:pStyle w:val="BodyText2"/>
              <w:spacing w:before="20" w:after="20" w:line="260" w:lineRule="atLeast"/>
              <w:rPr>
                <w:rFonts w:ascii="Verdana" w:hAnsi="Verdana"/>
                <w:sz w:val="17"/>
                <w:szCs w:val="17"/>
              </w:rPr>
            </w:pPr>
            <w:r>
              <w:rPr>
                <w:rFonts w:ascii="Verdana" w:hAnsi="Verdana"/>
                <w:sz w:val="17"/>
                <w:szCs w:val="17"/>
              </w:rPr>
              <w:t>CoreShares S&amp;P 500</w:t>
            </w:r>
          </w:p>
        </w:tc>
        <w:tc>
          <w:tcPr>
            <w:tcW w:w="851" w:type="dxa"/>
            <w:tcBorders>
              <w:left w:val="single" w:sz="6" w:space="0" w:color="auto"/>
              <w:bottom w:val="single" w:sz="4" w:space="0" w:color="auto"/>
              <w:right w:val="single" w:sz="4" w:space="0" w:color="auto"/>
            </w:tcBorders>
            <w:vAlign w:val="center"/>
          </w:tcPr>
          <w:p w14:paraId="3863BCC0" w14:textId="18DC37B7"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654CD4BC" w14:textId="57F6FB9F" w:rsidR="00C80653" w:rsidRPr="005B7B53" w:rsidRDefault="00C80653" w:rsidP="00B32D6E">
            <w:pPr>
              <w:pStyle w:val="BodyText2"/>
              <w:spacing w:before="20" w:after="20" w:line="260" w:lineRule="atLeast"/>
              <w:jc w:val="center"/>
              <w:rPr>
                <w:rFonts w:ascii="Verdana" w:hAnsi="Verdana"/>
                <w:sz w:val="17"/>
                <w:szCs w:val="17"/>
              </w:rPr>
            </w:pPr>
            <w:r>
              <w:rPr>
                <w:rFonts w:ascii="Verdana" w:hAnsi="Verdana"/>
                <w:sz w:val="17"/>
                <w:szCs w:val="17"/>
              </w:rPr>
              <w:t>21,98%</w:t>
            </w:r>
          </w:p>
        </w:tc>
      </w:tr>
      <w:tr w:rsidR="00C80653" w:rsidRPr="00804DEE" w14:paraId="3C453FB5" w14:textId="77777777" w:rsidTr="008F0BEC">
        <w:tc>
          <w:tcPr>
            <w:tcW w:w="103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ECD8C7" w14:textId="4AB617AD" w:rsidR="00C80653" w:rsidRPr="005B7B53" w:rsidRDefault="00C80653" w:rsidP="00C80653">
            <w:pPr>
              <w:pStyle w:val="BodyText2"/>
              <w:spacing w:after="40" w:line="280" w:lineRule="atLeast"/>
              <w:rPr>
                <w:rFonts w:ascii="Verdana" w:hAnsi="Verdana"/>
                <w:i/>
                <w:sz w:val="14"/>
                <w:szCs w:val="14"/>
              </w:rPr>
            </w:pPr>
            <w:r w:rsidRPr="005B7B53">
              <w:rPr>
                <w:rFonts w:ascii="Verdana" w:hAnsi="Verdana"/>
                <w:i/>
                <w:sz w:val="14"/>
                <w:szCs w:val="14"/>
              </w:rPr>
              <w:t>Source: etfSA.co.za / Profile Media Funds Data (</w:t>
            </w:r>
            <w:r>
              <w:rPr>
                <w:rFonts w:ascii="Verdana" w:hAnsi="Verdana"/>
                <w:i/>
                <w:sz w:val="14"/>
                <w:szCs w:val="14"/>
              </w:rPr>
              <w:t>29/6</w:t>
            </w:r>
            <w:r w:rsidRPr="005B7B53">
              <w:rPr>
                <w:rFonts w:ascii="Verdana" w:hAnsi="Verdana"/>
                <w:i/>
                <w:sz w:val="14"/>
                <w:szCs w:val="14"/>
              </w:rPr>
              <w:t>/201</w:t>
            </w:r>
            <w:r>
              <w:rPr>
                <w:rFonts w:ascii="Verdana" w:hAnsi="Verdana"/>
                <w:i/>
                <w:sz w:val="14"/>
                <w:szCs w:val="14"/>
              </w:rPr>
              <w:t>8</w:t>
            </w:r>
            <w:r w:rsidRPr="005B7B53">
              <w:rPr>
                <w:rFonts w:ascii="Verdana" w:hAnsi="Verdana"/>
                <w:i/>
                <w:sz w:val="14"/>
                <w:szCs w:val="14"/>
              </w:rPr>
              <w:t xml:space="preserve">)                   * Includes reinvestment of dividends. </w:t>
            </w:r>
          </w:p>
        </w:tc>
      </w:tr>
      <w:bookmarkEnd w:id="4"/>
    </w:tbl>
    <w:p w14:paraId="47A9CE82" w14:textId="77777777" w:rsidR="0061409B" w:rsidRPr="007B3B94" w:rsidRDefault="0061409B" w:rsidP="0061409B">
      <w:pPr>
        <w:pStyle w:val="BodyText2"/>
        <w:spacing w:after="0" w:line="240" w:lineRule="auto"/>
        <w:jc w:val="center"/>
        <w:rPr>
          <w:rFonts w:ascii="Verdana" w:hAnsi="Verdana"/>
          <w:b/>
          <w:caps/>
          <w:sz w:val="4"/>
          <w:szCs w:val="4"/>
        </w:rPr>
      </w:pPr>
    </w:p>
    <w:p w14:paraId="6E93549E" w14:textId="77777777" w:rsidR="00303F22" w:rsidRPr="00B32D6E" w:rsidRDefault="00303F22" w:rsidP="00E44686">
      <w:pPr>
        <w:pStyle w:val="BodyText2"/>
        <w:spacing w:after="0" w:line="240" w:lineRule="auto"/>
        <w:jc w:val="both"/>
        <w:rPr>
          <w:rFonts w:ascii="Verdana" w:hAnsi="Verdana"/>
          <w:caps/>
          <w:sz w:val="4"/>
          <w:szCs w:val="4"/>
        </w:rPr>
      </w:pPr>
    </w:p>
    <w:p w14:paraId="77AE55A4" w14:textId="77777777" w:rsidR="00D108C2" w:rsidRPr="00000A2B" w:rsidRDefault="00D108C2" w:rsidP="00D108C2">
      <w:pPr>
        <w:spacing w:after="120" w:line="280" w:lineRule="atLeast"/>
        <w:jc w:val="both"/>
        <w:rPr>
          <w:rFonts w:ascii="Verdana" w:hAnsi="Verdana"/>
          <w:sz w:val="18"/>
          <w:szCs w:val="18"/>
        </w:rPr>
        <w:sectPr w:rsidR="00D108C2" w:rsidRPr="00000A2B" w:rsidSect="002A60F2">
          <w:footerReference w:type="default" r:id="rId9"/>
          <w:pgSz w:w="11906" w:h="16838" w:code="9"/>
          <w:pgMar w:top="851" w:right="567" w:bottom="567" w:left="851" w:header="567" w:footer="227" w:gutter="0"/>
          <w:cols w:space="708"/>
          <w:docGrid w:linePitch="360"/>
        </w:sectPr>
      </w:pPr>
    </w:p>
    <w:p w14:paraId="3279C64C" w14:textId="77777777" w:rsidR="00327BF9" w:rsidRPr="00B81A28" w:rsidRDefault="00327BF9" w:rsidP="00327BF9">
      <w:pPr>
        <w:spacing w:after="0" w:line="240" w:lineRule="auto"/>
        <w:rPr>
          <w:rFonts w:ascii="Verdana" w:hAnsi="Verdana"/>
          <w:sz w:val="16"/>
          <w:szCs w:val="16"/>
        </w:rPr>
      </w:pPr>
      <w:bookmarkStart w:id="5" w:name="OLE_LINK2"/>
      <w:bookmarkStart w:id="6" w:name="_Hlk486833454"/>
      <w:bookmarkStart w:id="7" w:name="_Hlk507492151"/>
      <w:bookmarkEnd w:id="5"/>
      <w:r w:rsidRPr="00B81A28">
        <w:rPr>
          <w:rFonts w:ascii="Verdana" w:hAnsi="Verdana"/>
          <w:noProof/>
          <w:lang w:eastAsia="en-ZA"/>
        </w:rPr>
        <w:lastRenderedPageBreak/>
        <w:drawing>
          <wp:inline distT="0" distB="0" distL="0" distR="0" wp14:anchorId="45CC0D4D" wp14:editId="402717B8">
            <wp:extent cx="3735070" cy="784860"/>
            <wp:effectExtent l="0" t="0" r="0" b="0"/>
            <wp:docPr id="4" name="Picture 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070" cy="784860"/>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327BF9" w:rsidRPr="00B81A28" w14:paraId="44784D32" w14:textId="77777777" w:rsidTr="004B1D7C">
        <w:tc>
          <w:tcPr>
            <w:tcW w:w="14884" w:type="dxa"/>
            <w:gridSpan w:val="10"/>
            <w:shd w:val="clear" w:color="auto" w:fill="CB2229"/>
            <w:vAlign w:val="center"/>
          </w:tcPr>
          <w:p w14:paraId="04B919D8" w14:textId="77777777" w:rsidR="00327BF9" w:rsidRPr="00B81A28" w:rsidRDefault="00327BF9" w:rsidP="004B1D7C">
            <w:pPr>
              <w:spacing w:before="40" w:after="40" w:line="320" w:lineRule="atLeast"/>
              <w:jc w:val="center"/>
              <w:rPr>
                <w:rFonts w:ascii="Verdana" w:hAnsi="Verdana"/>
                <w:b/>
                <w:color w:val="FFFFFF"/>
                <w:sz w:val="20"/>
                <w:szCs w:val="20"/>
              </w:rPr>
            </w:pPr>
            <w:bookmarkStart w:id="8" w:name="OLE_LINK3"/>
            <w:r w:rsidRPr="00B81A28">
              <w:rPr>
                <w:rFonts w:ascii="Verdana" w:hAnsi="Verdana"/>
                <w:b/>
                <w:color w:val="FFFFFF"/>
                <w:sz w:val="20"/>
                <w:szCs w:val="20"/>
              </w:rPr>
              <w:t>MONTHLY PERFORMANCE SURVEY OF INDEX TRACKING ETFS, ETNs AND UNIT TRUSTS</w:t>
            </w:r>
          </w:p>
          <w:p w14:paraId="4C212AD7"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p>
          <w:p w14:paraId="2F755CDD"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327BF9" w:rsidRPr="00B81A28" w14:paraId="419552BD" w14:textId="77777777" w:rsidTr="004B1D7C">
        <w:tc>
          <w:tcPr>
            <w:tcW w:w="4536" w:type="dxa"/>
            <w:shd w:val="clear" w:color="auto" w:fill="4C4C4C"/>
          </w:tcPr>
          <w:p w14:paraId="563658DF" w14:textId="77777777" w:rsidR="00327BF9" w:rsidRPr="0067766B" w:rsidRDefault="00327BF9" w:rsidP="004B1D7C">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7DFC3774"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4FE8522E"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1EA57E10"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4DE1ED00"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6F4DF3E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1C9231F8"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2F93BD27"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51CC54A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26D7D865"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7EA0E6F6" w14:textId="77777777" w:rsidTr="004B1D7C">
        <w:tc>
          <w:tcPr>
            <w:tcW w:w="14884" w:type="dxa"/>
            <w:gridSpan w:val="10"/>
            <w:shd w:val="clear" w:color="auto" w:fill="7583BD"/>
            <w:vAlign w:val="center"/>
          </w:tcPr>
          <w:p w14:paraId="1893F168" w14:textId="77777777" w:rsidR="00327BF9" w:rsidRPr="00B81A28" w:rsidRDefault="00327BF9" w:rsidP="004B1D7C">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40</w:t>
            </w:r>
          </w:p>
        </w:tc>
      </w:tr>
      <w:tr w:rsidR="00327BF9" w:rsidRPr="00DC35BB" w14:paraId="165AD8EB" w14:textId="77777777" w:rsidTr="004B1D7C">
        <w:tc>
          <w:tcPr>
            <w:tcW w:w="4536" w:type="dxa"/>
          </w:tcPr>
          <w:p w14:paraId="7DC976CE" w14:textId="77777777" w:rsidR="00327BF9" w:rsidRPr="00DC35BB" w:rsidRDefault="00327BF9" w:rsidP="004B1D7C">
            <w:pPr>
              <w:spacing w:before="40" w:after="40" w:line="300" w:lineRule="atLeast"/>
              <w:rPr>
                <w:rFonts w:ascii="Verdana" w:hAnsi="Verdana"/>
                <w:b/>
                <w:sz w:val="16"/>
                <w:szCs w:val="16"/>
              </w:rPr>
            </w:pPr>
            <w:r>
              <w:rPr>
                <w:rFonts w:ascii="Verdana" w:hAnsi="Verdana"/>
                <w:b/>
                <w:sz w:val="16"/>
                <w:szCs w:val="16"/>
              </w:rPr>
              <w:t>FTSE/JSE Top 40 Index</w:t>
            </w:r>
          </w:p>
        </w:tc>
        <w:tc>
          <w:tcPr>
            <w:tcW w:w="1134" w:type="dxa"/>
          </w:tcPr>
          <w:p w14:paraId="34DFBE63" w14:textId="4280AF86" w:rsidR="00327BF9" w:rsidRPr="00DC35BB" w:rsidRDefault="004B1D7C" w:rsidP="004B1D7C">
            <w:pPr>
              <w:tabs>
                <w:tab w:val="left" w:pos="1050"/>
              </w:tabs>
              <w:spacing w:before="40" w:after="40" w:line="300" w:lineRule="atLeast"/>
              <w:jc w:val="center"/>
              <w:rPr>
                <w:rFonts w:ascii="Verdana" w:hAnsi="Verdana"/>
                <w:b/>
                <w:sz w:val="16"/>
                <w:szCs w:val="16"/>
              </w:rPr>
            </w:pPr>
            <w:r>
              <w:rPr>
                <w:rFonts w:ascii="Verdana" w:hAnsi="Verdana"/>
                <w:b/>
                <w:sz w:val="16"/>
                <w:szCs w:val="16"/>
              </w:rPr>
              <w:t>3,95%</w:t>
            </w:r>
          </w:p>
        </w:tc>
        <w:tc>
          <w:tcPr>
            <w:tcW w:w="1276" w:type="dxa"/>
          </w:tcPr>
          <w:p w14:paraId="0697B80E" w14:textId="2A764DFA" w:rsidR="00327BF9" w:rsidRPr="00DC35BB" w:rsidRDefault="004B1D7C" w:rsidP="004B1D7C">
            <w:pPr>
              <w:spacing w:before="40" w:after="40" w:line="300" w:lineRule="atLeast"/>
              <w:jc w:val="center"/>
              <w:rPr>
                <w:rFonts w:ascii="Verdana" w:hAnsi="Verdana"/>
                <w:b/>
                <w:sz w:val="16"/>
                <w:szCs w:val="16"/>
              </w:rPr>
            </w:pPr>
            <w:r>
              <w:rPr>
                <w:rFonts w:ascii="Verdana" w:hAnsi="Verdana"/>
                <w:b/>
                <w:sz w:val="16"/>
                <w:szCs w:val="16"/>
              </w:rPr>
              <w:t>6,19%</w:t>
            </w:r>
          </w:p>
        </w:tc>
        <w:tc>
          <w:tcPr>
            <w:tcW w:w="1134" w:type="dxa"/>
          </w:tcPr>
          <w:p w14:paraId="057CADA2" w14:textId="54021918" w:rsidR="00327BF9" w:rsidRPr="00DC35BB" w:rsidRDefault="004B1D7C" w:rsidP="004B1D7C">
            <w:pPr>
              <w:spacing w:before="40" w:after="40" w:line="300" w:lineRule="atLeast"/>
              <w:jc w:val="center"/>
              <w:rPr>
                <w:rFonts w:ascii="Verdana" w:hAnsi="Verdana"/>
                <w:b/>
                <w:sz w:val="16"/>
                <w:szCs w:val="16"/>
              </w:rPr>
            </w:pPr>
            <w:r>
              <w:rPr>
                <w:rFonts w:ascii="Verdana" w:hAnsi="Verdana"/>
                <w:b/>
                <w:sz w:val="16"/>
                <w:szCs w:val="16"/>
              </w:rPr>
              <w:t>(0,52%)</w:t>
            </w:r>
          </w:p>
        </w:tc>
        <w:tc>
          <w:tcPr>
            <w:tcW w:w="1134" w:type="dxa"/>
          </w:tcPr>
          <w:p w14:paraId="1B1DCA57" w14:textId="7BB4893E" w:rsidR="00327BF9" w:rsidRPr="00DC35BB" w:rsidRDefault="004B1D7C" w:rsidP="004B1D7C">
            <w:pPr>
              <w:spacing w:before="40" w:after="40" w:line="300" w:lineRule="atLeast"/>
              <w:jc w:val="center"/>
              <w:rPr>
                <w:rFonts w:ascii="Verdana" w:hAnsi="Verdana"/>
                <w:b/>
                <w:sz w:val="16"/>
                <w:szCs w:val="16"/>
              </w:rPr>
            </w:pPr>
            <w:r>
              <w:rPr>
                <w:rFonts w:ascii="Verdana" w:hAnsi="Verdana"/>
                <w:b/>
                <w:sz w:val="16"/>
                <w:szCs w:val="16"/>
              </w:rPr>
              <w:t>17,29%</w:t>
            </w:r>
          </w:p>
        </w:tc>
        <w:tc>
          <w:tcPr>
            <w:tcW w:w="1134" w:type="dxa"/>
          </w:tcPr>
          <w:p w14:paraId="60E81EB4" w14:textId="7829C44D" w:rsidR="00327BF9" w:rsidRPr="00DC35BB" w:rsidRDefault="004B1D7C" w:rsidP="004B1D7C">
            <w:pPr>
              <w:spacing w:before="40" w:after="40" w:line="300" w:lineRule="atLeast"/>
              <w:jc w:val="center"/>
              <w:rPr>
                <w:rFonts w:ascii="Verdana" w:hAnsi="Verdana"/>
                <w:b/>
                <w:sz w:val="16"/>
                <w:szCs w:val="16"/>
              </w:rPr>
            </w:pPr>
            <w:r>
              <w:rPr>
                <w:rFonts w:ascii="Verdana" w:hAnsi="Verdana"/>
                <w:b/>
                <w:sz w:val="16"/>
                <w:szCs w:val="16"/>
              </w:rPr>
              <w:t>9,18%</w:t>
            </w:r>
          </w:p>
        </w:tc>
        <w:tc>
          <w:tcPr>
            <w:tcW w:w="1134" w:type="dxa"/>
            <w:shd w:val="clear" w:color="auto" w:fill="auto"/>
          </w:tcPr>
          <w:p w14:paraId="43EEDAF3" w14:textId="24EFC480" w:rsidR="00327BF9" w:rsidRPr="00DC35BB" w:rsidRDefault="004B1D7C" w:rsidP="004B1D7C">
            <w:pPr>
              <w:spacing w:before="40" w:after="40" w:line="300" w:lineRule="atLeast"/>
              <w:jc w:val="center"/>
              <w:rPr>
                <w:rFonts w:ascii="Verdana" w:hAnsi="Verdana"/>
                <w:b/>
                <w:sz w:val="16"/>
                <w:szCs w:val="16"/>
              </w:rPr>
            </w:pPr>
            <w:r>
              <w:rPr>
                <w:rFonts w:ascii="Verdana" w:hAnsi="Verdana"/>
                <w:b/>
                <w:sz w:val="16"/>
                <w:szCs w:val="16"/>
              </w:rPr>
              <w:t>6,57%</w:t>
            </w:r>
          </w:p>
        </w:tc>
        <w:tc>
          <w:tcPr>
            <w:tcW w:w="1134" w:type="dxa"/>
            <w:shd w:val="clear" w:color="auto" w:fill="auto"/>
          </w:tcPr>
          <w:p w14:paraId="3D5263E9" w14:textId="4235E75E" w:rsidR="00327BF9" w:rsidRPr="00DC35BB" w:rsidRDefault="004B1D7C" w:rsidP="004B1D7C">
            <w:pPr>
              <w:spacing w:before="40" w:after="40" w:line="300" w:lineRule="atLeast"/>
              <w:jc w:val="center"/>
              <w:rPr>
                <w:rFonts w:ascii="Verdana" w:hAnsi="Verdana"/>
                <w:b/>
                <w:sz w:val="16"/>
                <w:szCs w:val="16"/>
              </w:rPr>
            </w:pPr>
            <w:r>
              <w:rPr>
                <w:rFonts w:ascii="Verdana" w:hAnsi="Verdana"/>
                <w:b/>
                <w:sz w:val="16"/>
                <w:szCs w:val="16"/>
              </w:rPr>
              <w:t>11,20%</w:t>
            </w:r>
          </w:p>
        </w:tc>
        <w:tc>
          <w:tcPr>
            <w:tcW w:w="1134" w:type="dxa"/>
          </w:tcPr>
          <w:p w14:paraId="1CCFAE00" w14:textId="67640F5D" w:rsidR="00327BF9" w:rsidRPr="00DC35BB" w:rsidRDefault="004B1D7C" w:rsidP="004B1D7C">
            <w:pPr>
              <w:spacing w:before="40" w:after="40" w:line="300" w:lineRule="atLeast"/>
              <w:jc w:val="center"/>
              <w:rPr>
                <w:rFonts w:ascii="Verdana" w:hAnsi="Verdana"/>
                <w:b/>
                <w:sz w:val="16"/>
                <w:szCs w:val="16"/>
              </w:rPr>
            </w:pPr>
            <w:r>
              <w:rPr>
                <w:rFonts w:ascii="Verdana" w:hAnsi="Verdana"/>
                <w:b/>
                <w:sz w:val="16"/>
                <w:szCs w:val="16"/>
              </w:rPr>
              <w:t>12,13%</w:t>
            </w:r>
          </w:p>
        </w:tc>
        <w:tc>
          <w:tcPr>
            <w:tcW w:w="1134" w:type="dxa"/>
          </w:tcPr>
          <w:p w14:paraId="6652ECFF" w14:textId="35749006" w:rsidR="00327BF9" w:rsidRPr="00DC35BB" w:rsidRDefault="004B1D7C" w:rsidP="004B1D7C">
            <w:pPr>
              <w:spacing w:before="40" w:after="40" w:line="300" w:lineRule="atLeast"/>
              <w:jc w:val="center"/>
              <w:rPr>
                <w:rFonts w:ascii="Verdana" w:hAnsi="Verdana"/>
                <w:b/>
                <w:sz w:val="16"/>
                <w:szCs w:val="16"/>
              </w:rPr>
            </w:pPr>
            <w:r>
              <w:rPr>
                <w:rFonts w:ascii="Verdana" w:hAnsi="Verdana"/>
                <w:b/>
                <w:sz w:val="16"/>
                <w:szCs w:val="16"/>
              </w:rPr>
              <w:t>9,10%</w:t>
            </w:r>
          </w:p>
        </w:tc>
      </w:tr>
      <w:tr w:rsidR="00327BF9" w:rsidRPr="00B81A28" w14:paraId="4B8009A6" w14:textId="77777777" w:rsidTr="004B1D7C">
        <w:tc>
          <w:tcPr>
            <w:tcW w:w="4536" w:type="dxa"/>
          </w:tcPr>
          <w:p w14:paraId="36406086"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Absa NewFunds SWIX Top 40 (Total Return)</w:t>
            </w:r>
          </w:p>
        </w:tc>
        <w:tc>
          <w:tcPr>
            <w:tcW w:w="1134" w:type="dxa"/>
          </w:tcPr>
          <w:p w14:paraId="5EC3D483" w14:textId="3D672C4C" w:rsidR="00327BF9" w:rsidRPr="00B81A28" w:rsidRDefault="0038020F" w:rsidP="004B1D7C">
            <w:pPr>
              <w:tabs>
                <w:tab w:val="left" w:pos="1050"/>
              </w:tabs>
              <w:spacing w:before="40" w:after="40" w:line="300" w:lineRule="atLeast"/>
              <w:jc w:val="center"/>
              <w:rPr>
                <w:rFonts w:ascii="Verdana" w:hAnsi="Verdana"/>
                <w:sz w:val="16"/>
                <w:szCs w:val="16"/>
              </w:rPr>
            </w:pPr>
            <w:r>
              <w:rPr>
                <w:rFonts w:ascii="Verdana" w:hAnsi="Verdana"/>
                <w:sz w:val="16"/>
                <w:szCs w:val="16"/>
              </w:rPr>
              <w:t>3,44%</w:t>
            </w:r>
          </w:p>
        </w:tc>
        <w:tc>
          <w:tcPr>
            <w:tcW w:w="1276" w:type="dxa"/>
          </w:tcPr>
          <w:p w14:paraId="19BC8BA5" w14:textId="50AE10A6" w:rsidR="00327BF9" w:rsidRPr="00B81A28" w:rsidRDefault="0038020F" w:rsidP="004B1D7C">
            <w:pPr>
              <w:spacing w:before="40" w:after="40" w:line="300" w:lineRule="atLeast"/>
              <w:jc w:val="center"/>
              <w:rPr>
                <w:rFonts w:ascii="Verdana" w:hAnsi="Verdana"/>
                <w:sz w:val="16"/>
                <w:szCs w:val="16"/>
              </w:rPr>
            </w:pPr>
            <w:r>
              <w:rPr>
                <w:rFonts w:ascii="Verdana" w:hAnsi="Verdana"/>
                <w:sz w:val="16"/>
                <w:szCs w:val="16"/>
              </w:rPr>
              <w:t>3,26%</w:t>
            </w:r>
          </w:p>
        </w:tc>
        <w:tc>
          <w:tcPr>
            <w:tcW w:w="1134" w:type="dxa"/>
          </w:tcPr>
          <w:p w14:paraId="7145FB8D" w14:textId="7FDE09CF" w:rsidR="00327BF9" w:rsidRPr="00B81A28" w:rsidRDefault="0038020F" w:rsidP="004B1D7C">
            <w:pPr>
              <w:spacing w:before="40" w:after="40" w:line="300" w:lineRule="atLeast"/>
              <w:jc w:val="center"/>
              <w:rPr>
                <w:rFonts w:ascii="Verdana" w:hAnsi="Verdana"/>
                <w:sz w:val="16"/>
                <w:szCs w:val="16"/>
              </w:rPr>
            </w:pPr>
            <w:r>
              <w:rPr>
                <w:rFonts w:ascii="Verdana" w:hAnsi="Verdana"/>
                <w:sz w:val="16"/>
                <w:szCs w:val="16"/>
              </w:rPr>
              <w:t>(4,26%)</w:t>
            </w:r>
          </w:p>
        </w:tc>
        <w:tc>
          <w:tcPr>
            <w:tcW w:w="1134" w:type="dxa"/>
          </w:tcPr>
          <w:p w14:paraId="24D03C6C" w14:textId="5D3BF248" w:rsidR="00327BF9" w:rsidRPr="00B81A28" w:rsidRDefault="0038020F" w:rsidP="004B1D7C">
            <w:pPr>
              <w:spacing w:before="40" w:after="40" w:line="300" w:lineRule="atLeast"/>
              <w:jc w:val="center"/>
              <w:rPr>
                <w:rFonts w:ascii="Verdana" w:hAnsi="Verdana"/>
                <w:sz w:val="16"/>
                <w:szCs w:val="16"/>
              </w:rPr>
            </w:pPr>
            <w:r>
              <w:rPr>
                <w:rFonts w:ascii="Verdana" w:hAnsi="Verdana"/>
                <w:sz w:val="16"/>
                <w:szCs w:val="16"/>
              </w:rPr>
              <w:t>13,35%</w:t>
            </w:r>
          </w:p>
        </w:tc>
        <w:tc>
          <w:tcPr>
            <w:tcW w:w="1134" w:type="dxa"/>
          </w:tcPr>
          <w:p w14:paraId="63AAB9CC" w14:textId="423106F9" w:rsidR="00327BF9" w:rsidRPr="00B81A28" w:rsidRDefault="0038020F" w:rsidP="004B1D7C">
            <w:pPr>
              <w:spacing w:before="40" w:after="40" w:line="300" w:lineRule="atLeast"/>
              <w:jc w:val="center"/>
              <w:rPr>
                <w:rFonts w:ascii="Verdana" w:hAnsi="Verdana"/>
                <w:sz w:val="16"/>
                <w:szCs w:val="16"/>
              </w:rPr>
            </w:pPr>
            <w:r>
              <w:rPr>
                <w:rFonts w:ascii="Verdana" w:hAnsi="Verdana"/>
                <w:sz w:val="16"/>
                <w:szCs w:val="16"/>
              </w:rPr>
              <w:t>6,10%</w:t>
            </w:r>
          </w:p>
        </w:tc>
        <w:tc>
          <w:tcPr>
            <w:tcW w:w="1134" w:type="dxa"/>
            <w:shd w:val="clear" w:color="auto" w:fill="auto"/>
          </w:tcPr>
          <w:p w14:paraId="27A6BAA7" w14:textId="1499D781" w:rsidR="00327BF9" w:rsidRPr="00B81A28" w:rsidRDefault="0038020F" w:rsidP="004B1D7C">
            <w:pPr>
              <w:spacing w:before="40" w:after="40" w:line="300" w:lineRule="atLeast"/>
              <w:jc w:val="center"/>
              <w:rPr>
                <w:rFonts w:ascii="Verdana" w:hAnsi="Verdana"/>
                <w:sz w:val="16"/>
                <w:szCs w:val="16"/>
              </w:rPr>
            </w:pPr>
            <w:r>
              <w:rPr>
                <w:rFonts w:ascii="Verdana" w:hAnsi="Verdana"/>
                <w:sz w:val="16"/>
                <w:szCs w:val="16"/>
              </w:rPr>
              <w:t>4,76%</w:t>
            </w:r>
          </w:p>
        </w:tc>
        <w:tc>
          <w:tcPr>
            <w:tcW w:w="1134" w:type="dxa"/>
            <w:shd w:val="clear" w:color="auto" w:fill="auto"/>
          </w:tcPr>
          <w:p w14:paraId="42534F97" w14:textId="41C5E335" w:rsidR="00327BF9" w:rsidRPr="00B81A28" w:rsidRDefault="0038020F" w:rsidP="004B1D7C">
            <w:pPr>
              <w:spacing w:before="40" w:after="40" w:line="300" w:lineRule="atLeast"/>
              <w:jc w:val="center"/>
              <w:rPr>
                <w:rFonts w:ascii="Verdana" w:hAnsi="Verdana"/>
                <w:sz w:val="16"/>
                <w:szCs w:val="16"/>
              </w:rPr>
            </w:pPr>
            <w:r>
              <w:rPr>
                <w:rFonts w:ascii="Verdana" w:hAnsi="Verdana"/>
                <w:sz w:val="16"/>
                <w:szCs w:val="16"/>
              </w:rPr>
              <w:t>10,64%</w:t>
            </w:r>
          </w:p>
        </w:tc>
        <w:tc>
          <w:tcPr>
            <w:tcW w:w="1134" w:type="dxa"/>
          </w:tcPr>
          <w:p w14:paraId="1121332B"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1B4ADE5"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5A10D684" w14:textId="77777777" w:rsidTr="004B1D7C">
        <w:tc>
          <w:tcPr>
            <w:tcW w:w="4536" w:type="dxa"/>
          </w:tcPr>
          <w:p w14:paraId="09FF0EE2"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Ashburton Top 40 Portfolio</w:t>
            </w:r>
          </w:p>
        </w:tc>
        <w:tc>
          <w:tcPr>
            <w:tcW w:w="1134" w:type="dxa"/>
            <w:vAlign w:val="center"/>
          </w:tcPr>
          <w:p w14:paraId="18EAA4F5" w14:textId="540CF4CB" w:rsidR="00327BF9" w:rsidRPr="00B81A28" w:rsidRDefault="004E6342" w:rsidP="004B1D7C">
            <w:pPr>
              <w:tabs>
                <w:tab w:val="left" w:pos="1050"/>
              </w:tabs>
              <w:spacing w:before="40" w:after="40" w:line="300" w:lineRule="atLeast"/>
              <w:jc w:val="center"/>
              <w:rPr>
                <w:rFonts w:ascii="Verdana" w:hAnsi="Verdana"/>
                <w:sz w:val="16"/>
                <w:szCs w:val="16"/>
              </w:rPr>
            </w:pPr>
            <w:r>
              <w:rPr>
                <w:rFonts w:ascii="Verdana" w:hAnsi="Verdana"/>
                <w:sz w:val="16"/>
                <w:szCs w:val="16"/>
              </w:rPr>
              <w:t>3,91%</w:t>
            </w:r>
          </w:p>
        </w:tc>
        <w:tc>
          <w:tcPr>
            <w:tcW w:w="1276" w:type="dxa"/>
            <w:vAlign w:val="center"/>
          </w:tcPr>
          <w:p w14:paraId="7CC70EF6" w14:textId="5AA2DD87"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6,09%</w:t>
            </w:r>
          </w:p>
        </w:tc>
        <w:tc>
          <w:tcPr>
            <w:tcW w:w="1134" w:type="dxa"/>
            <w:vAlign w:val="center"/>
          </w:tcPr>
          <w:p w14:paraId="7B95E9E7" w14:textId="732FC657"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(0,62%)</w:t>
            </w:r>
          </w:p>
        </w:tc>
        <w:tc>
          <w:tcPr>
            <w:tcW w:w="1134" w:type="dxa"/>
            <w:vAlign w:val="center"/>
          </w:tcPr>
          <w:p w14:paraId="413B2A8B" w14:textId="2C773E9E"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17,00%</w:t>
            </w:r>
          </w:p>
        </w:tc>
        <w:tc>
          <w:tcPr>
            <w:tcW w:w="1134" w:type="dxa"/>
            <w:vAlign w:val="center"/>
          </w:tcPr>
          <w:p w14:paraId="15DBF86E" w14:textId="040FE0CC"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9,43%</w:t>
            </w:r>
          </w:p>
        </w:tc>
        <w:tc>
          <w:tcPr>
            <w:tcW w:w="1134" w:type="dxa"/>
            <w:shd w:val="clear" w:color="auto" w:fill="auto"/>
          </w:tcPr>
          <w:p w14:paraId="32D656F3" w14:textId="11D9D8E3"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6,18%</w:t>
            </w:r>
          </w:p>
        </w:tc>
        <w:tc>
          <w:tcPr>
            <w:tcW w:w="1134" w:type="dxa"/>
            <w:shd w:val="clear" w:color="auto" w:fill="auto"/>
          </w:tcPr>
          <w:p w14:paraId="63D26A96" w14:textId="2021978C"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10,85%</w:t>
            </w:r>
          </w:p>
        </w:tc>
        <w:tc>
          <w:tcPr>
            <w:tcW w:w="1134" w:type="dxa"/>
          </w:tcPr>
          <w:p w14:paraId="1A4FF32E" w14:textId="72316D46"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11,80%</w:t>
            </w:r>
          </w:p>
        </w:tc>
        <w:tc>
          <w:tcPr>
            <w:tcW w:w="1134" w:type="dxa"/>
          </w:tcPr>
          <w:p w14:paraId="0830FAC4"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722E01B6" w14:textId="77777777" w:rsidTr="004B1D7C">
        <w:tc>
          <w:tcPr>
            <w:tcW w:w="4536" w:type="dxa"/>
          </w:tcPr>
          <w:p w14:paraId="53027153"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CoreShares Equally Weighted Top 40</w:t>
            </w:r>
          </w:p>
        </w:tc>
        <w:tc>
          <w:tcPr>
            <w:tcW w:w="1134" w:type="dxa"/>
          </w:tcPr>
          <w:p w14:paraId="1FC26228" w14:textId="08EC4E9C" w:rsidR="00327BF9" w:rsidRPr="00B81A28" w:rsidRDefault="004E6342" w:rsidP="004B1D7C">
            <w:pPr>
              <w:tabs>
                <w:tab w:val="left" w:pos="1050"/>
              </w:tabs>
              <w:spacing w:before="40" w:after="40" w:line="300" w:lineRule="atLeast"/>
              <w:jc w:val="center"/>
              <w:rPr>
                <w:rFonts w:ascii="Verdana" w:hAnsi="Verdana"/>
                <w:sz w:val="16"/>
                <w:szCs w:val="16"/>
              </w:rPr>
            </w:pPr>
            <w:r>
              <w:rPr>
                <w:rFonts w:ascii="Verdana" w:hAnsi="Verdana"/>
                <w:sz w:val="16"/>
                <w:szCs w:val="16"/>
              </w:rPr>
              <w:t>(0,85%)</w:t>
            </w:r>
          </w:p>
        </w:tc>
        <w:tc>
          <w:tcPr>
            <w:tcW w:w="1276" w:type="dxa"/>
          </w:tcPr>
          <w:p w14:paraId="7F3C6CAC" w14:textId="42E56BD2"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(4,03%)</w:t>
            </w:r>
          </w:p>
        </w:tc>
        <w:tc>
          <w:tcPr>
            <w:tcW w:w="1134" w:type="dxa"/>
          </w:tcPr>
          <w:p w14:paraId="4C220203" w14:textId="3B6118D8"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(10,13%)</w:t>
            </w:r>
          </w:p>
        </w:tc>
        <w:tc>
          <w:tcPr>
            <w:tcW w:w="1134" w:type="dxa"/>
          </w:tcPr>
          <w:p w14:paraId="4FB40CEC" w14:textId="2BE7129C"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3,10%</w:t>
            </w:r>
          </w:p>
        </w:tc>
        <w:tc>
          <w:tcPr>
            <w:tcW w:w="1134" w:type="dxa"/>
          </w:tcPr>
          <w:p w14:paraId="49609FC9" w14:textId="0CBE5C39"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(1,30%)</w:t>
            </w:r>
          </w:p>
        </w:tc>
        <w:tc>
          <w:tcPr>
            <w:tcW w:w="1134" w:type="dxa"/>
            <w:shd w:val="clear" w:color="auto" w:fill="auto"/>
          </w:tcPr>
          <w:p w14:paraId="1ADECAFF" w14:textId="0C105371"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(0,05%)</w:t>
            </w:r>
          </w:p>
        </w:tc>
        <w:tc>
          <w:tcPr>
            <w:tcW w:w="1134" w:type="dxa"/>
            <w:shd w:val="clear" w:color="auto" w:fill="auto"/>
          </w:tcPr>
          <w:p w14:paraId="701E5E78" w14:textId="73297C29"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5,48%</w:t>
            </w:r>
          </w:p>
        </w:tc>
        <w:tc>
          <w:tcPr>
            <w:tcW w:w="1134" w:type="dxa"/>
          </w:tcPr>
          <w:p w14:paraId="581B0685" w14:textId="3FE36DD0"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8,10%</w:t>
            </w:r>
          </w:p>
        </w:tc>
        <w:tc>
          <w:tcPr>
            <w:tcW w:w="1134" w:type="dxa"/>
          </w:tcPr>
          <w:p w14:paraId="1FD60FEF"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9FF95F3" w14:textId="77777777" w:rsidTr="004B1D7C">
        <w:tc>
          <w:tcPr>
            <w:tcW w:w="4536" w:type="dxa"/>
          </w:tcPr>
          <w:p w14:paraId="6A04A4AA"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Satrix 40 Portfolio</w:t>
            </w:r>
          </w:p>
        </w:tc>
        <w:tc>
          <w:tcPr>
            <w:tcW w:w="1134" w:type="dxa"/>
          </w:tcPr>
          <w:p w14:paraId="4F2E1035" w14:textId="33567FB7"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3,91%</w:t>
            </w:r>
          </w:p>
        </w:tc>
        <w:tc>
          <w:tcPr>
            <w:tcW w:w="1276" w:type="dxa"/>
          </w:tcPr>
          <w:p w14:paraId="3530A429" w14:textId="2A9AF6A4"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6,12%</w:t>
            </w:r>
          </w:p>
        </w:tc>
        <w:tc>
          <w:tcPr>
            <w:tcW w:w="1134" w:type="dxa"/>
          </w:tcPr>
          <w:p w14:paraId="261689BE" w14:textId="67232C13"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(0,59%)</w:t>
            </w:r>
          </w:p>
        </w:tc>
        <w:tc>
          <w:tcPr>
            <w:tcW w:w="1134" w:type="dxa"/>
          </w:tcPr>
          <w:p w14:paraId="49AF177D" w14:textId="1363E500"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17,05%</w:t>
            </w:r>
          </w:p>
        </w:tc>
        <w:tc>
          <w:tcPr>
            <w:tcW w:w="1134" w:type="dxa"/>
          </w:tcPr>
          <w:p w14:paraId="5D24EB9A" w14:textId="576FD45D"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8,84%</w:t>
            </w:r>
          </w:p>
        </w:tc>
        <w:tc>
          <w:tcPr>
            <w:tcW w:w="1134" w:type="dxa"/>
            <w:shd w:val="clear" w:color="auto" w:fill="auto"/>
          </w:tcPr>
          <w:p w14:paraId="6C6F60F0" w14:textId="0E1FCC56"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6,20%</w:t>
            </w:r>
          </w:p>
        </w:tc>
        <w:tc>
          <w:tcPr>
            <w:tcW w:w="1134" w:type="dxa"/>
            <w:shd w:val="clear" w:color="auto" w:fill="auto"/>
          </w:tcPr>
          <w:p w14:paraId="07E6C9E8" w14:textId="763D61BE"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10,73%</w:t>
            </w:r>
          </w:p>
        </w:tc>
        <w:tc>
          <w:tcPr>
            <w:tcW w:w="1134" w:type="dxa"/>
          </w:tcPr>
          <w:p w14:paraId="3BDC805B" w14:textId="5A768C8F"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11,62%</w:t>
            </w:r>
          </w:p>
        </w:tc>
        <w:tc>
          <w:tcPr>
            <w:tcW w:w="1134" w:type="dxa"/>
          </w:tcPr>
          <w:p w14:paraId="1534E9F2" w14:textId="61060A2C" w:rsidR="00327BF9" w:rsidRPr="00B81A28" w:rsidRDefault="004E6342" w:rsidP="004B1D7C">
            <w:pPr>
              <w:spacing w:before="40" w:after="40" w:line="300" w:lineRule="atLeast"/>
              <w:jc w:val="center"/>
              <w:rPr>
                <w:rFonts w:ascii="Verdana" w:hAnsi="Verdana"/>
                <w:sz w:val="16"/>
                <w:szCs w:val="16"/>
              </w:rPr>
            </w:pPr>
            <w:r>
              <w:rPr>
                <w:rFonts w:ascii="Verdana" w:hAnsi="Verdana"/>
                <w:sz w:val="16"/>
                <w:szCs w:val="16"/>
              </w:rPr>
              <w:t>8,68%</w:t>
            </w:r>
          </w:p>
        </w:tc>
      </w:tr>
      <w:tr w:rsidR="00327BF9" w:rsidRPr="00B81A28" w14:paraId="735AC884" w14:textId="77777777" w:rsidTr="004B1D7C">
        <w:tc>
          <w:tcPr>
            <w:tcW w:w="4536" w:type="dxa"/>
          </w:tcPr>
          <w:p w14:paraId="4D28451F"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Satrix SWIX Top 40 Portfolio </w:t>
            </w:r>
          </w:p>
        </w:tc>
        <w:tc>
          <w:tcPr>
            <w:tcW w:w="1134" w:type="dxa"/>
          </w:tcPr>
          <w:p w14:paraId="1CF098CB" w14:textId="4667BE2E" w:rsidR="00327BF9" w:rsidRPr="00B81A28" w:rsidRDefault="00224204" w:rsidP="004B1D7C">
            <w:pPr>
              <w:spacing w:before="40" w:after="40" w:line="300" w:lineRule="atLeast"/>
              <w:jc w:val="center"/>
              <w:rPr>
                <w:rFonts w:ascii="Verdana" w:hAnsi="Verdana"/>
                <w:sz w:val="16"/>
                <w:szCs w:val="16"/>
              </w:rPr>
            </w:pPr>
            <w:r>
              <w:rPr>
                <w:rFonts w:ascii="Verdana" w:hAnsi="Verdana"/>
                <w:sz w:val="16"/>
                <w:szCs w:val="16"/>
              </w:rPr>
              <w:t>3,51%</w:t>
            </w:r>
          </w:p>
        </w:tc>
        <w:tc>
          <w:tcPr>
            <w:tcW w:w="1276" w:type="dxa"/>
          </w:tcPr>
          <w:p w14:paraId="5522781D" w14:textId="0D1172C4"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3,41%</w:t>
            </w:r>
          </w:p>
        </w:tc>
        <w:tc>
          <w:tcPr>
            <w:tcW w:w="1134" w:type="dxa"/>
          </w:tcPr>
          <w:p w14:paraId="2666DE9B" w14:textId="178E0304"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(4,08%)</w:t>
            </w:r>
          </w:p>
        </w:tc>
        <w:tc>
          <w:tcPr>
            <w:tcW w:w="1134" w:type="dxa"/>
          </w:tcPr>
          <w:p w14:paraId="5376B3A1" w14:textId="3FA22050"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13,60%</w:t>
            </w:r>
          </w:p>
        </w:tc>
        <w:tc>
          <w:tcPr>
            <w:tcW w:w="1134" w:type="dxa"/>
          </w:tcPr>
          <w:p w14:paraId="0BD600BB" w14:textId="3B320499"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6,29%</w:t>
            </w:r>
          </w:p>
        </w:tc>
        <w:tc>
          <w:tcPr>
            <w:tcW w:w="1134" w:type="dxa"/>
            <w:shd w:val="clear" w:color="auto" w:fill="auto"/>
          </w:tcPr>
          <w:p w14:paraId="2BE6C639" w14:textId="3F839664"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4,93%</w:t>
            </w:r>
          </w:p>
        </w:tc>
        <w:tc>
          <w:tcPr>
            <w:tcW w:w="1134" w:type="dxa"/>
            <w:shd w:val="clear" w:color="auto" w:fill="auto"/>
          </w:tcPr>
          <w:p w14:paraId="4F4F4CB3" w14:textId="3DB2C5F6"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10,93%</w:t>
            </w:r>
          </w:p>
        </w:tc>
        <w:tc>
          <w:tcPr>
            <w:tcW w:w="1134" w:type="dxa"/>
          </w:tcPr>
          <w:p w14:paraId="303E609F" w14:textId="1850575F"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12,28%</w:t>
            </w:r>
          </w:p>
        </w:tc>
        <w:tc>
          <w:tcPr>
            <w:tcW w:w="1134" w:type="dxa"/>
          </w:tcPr>
          <w:p w14:paraId="640D7552" w14:textId="6AE71918"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9,76%</w:t>
            </w:r>
          </w:p>
        </w:tc>
      </w:tr>
      <w:tr w:rsidR="00327BF9" w:rsidRPr="00B81A28" w14:paraId="58401ADD" w14:textId="77777777" w:rsidTr="004B1D7C">
        <w:tc>
          <w:tcPr>
            <w:tcW w:w="4536" w:type="dxa"/>
          </w:tcPr>
          <w:p w14:paraId="7CCB6836"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Stanlib Top 40</w:t>
            </w:r>
          </w:p>
        </w:tc>
        <w:tc>
          <w:tcPr>
            <w:tcW w:w="1134" w:type="dxa"/>
            <w:vAlign w:val="center"/>
          </w:tcPr>
          <w:p w14:paraId="2269CDFD" w14:textId="5A5D65E5"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3,91%</w:t>
            </w:r>
          </w:p>
        </w:tc>
        <w:tc>
          <w:tcPr>
            <w:tcW w:w="1276" w:type="dxa"/>
            <w:vAlign w:val="center"/>
          </w:tcPr>
          <w:p w14:paraId="50102BD1" w14:textId="6C9D4A20"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6,12%</w:t>
            </w:r>
          </w:p>
        </w:tc>
        <w:tc>
          <w:tcPr>
            <w:tcW w:w="1134" w:type="dxa"/>
            <w:vAlign w:val="center"/>
          </w:tcPr>
          <w:p w14:paraId="176DC0A7" w14:textId="5701E937"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(0,61%)</w:t>
            </w:r>
          </w:p>
        </w:tc>
        <w:tc>
          <w:tcPr>
            <w:tcW w:w="1134" w:type="dxa"/>
            <w:vAlign w:val="center"/>
          </w:tcPr>
          <w:p w14:paraId="68848455" w14:textId="5A535243"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17,00%</w:t>
            </w:r>
          </w:p>
        </w:tc>
        <w:tc>
          <w:tcPr>
            <w:tcW w:w="1134" w:type="dxa"/>
            <w:vAlign w:val="center"/>
          </w:tcPr>
          <w:p w14:paraId="3ED59D86" w14:textId="2A1945D6"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8,93%</w:t>
            </w:r>
          </w:p>
        </w:tc>
        <w:tc>
          <w:tcPr>
            <w:tcW w:w="1134" w:type="dxa"/>
            <w:shd w:val="clear" w:color="auto" w:fill="auto"/>
          </w:tcPr>
          <w:p w14:paraId="2409060F" w14:textId="358EC81D"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6,32%</w:t>
            </w:r>
          </w:p>
        </w:tc>
        <w:tc>
          <w:tcPr>
            <w:tcW w:w="1134" w:type="dxa"/>
            <w:shd w:val="clear" w:color="auto" w:fill="auto"/>
          </w:tcPr>
          <w:p w14:paraId="093A21E7" w14:textId="4AEFD250"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10,53%</w:t>
            </w:r>
          </w:p>
        </w:tc>
        <w:tc>
          <w:tcPr>
            <w:tcW w:w="1134" w:type="dxa"/>
          </w:tcPr>
          <w:p w14:paraId="16335417" w14:textId="6073A76E"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11,58%</w:t>
            </w:r>
          </w:p>
        </w:tc>
        <w:tc>
          <w:tcPr>
            <w:tcW w:w="1134" w:type="dxa"/>
          </w:tcPr>
          <w:p w14:paraId="4A2DC089"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61B76C57" w14:textId="77777777" w:rsidTr="004B1D7C">
        <w:tc>
          <w:tcPr>
            <w:tcW w:w="4536" w:type="dxa"/>
          </w:tcPr>
          <w:p w14:paraId="2E537AFC"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Stanlib Swix Top 40</w:t>
            </w:r>
          </w:p>
        </w:tc>
        <w:tc>
          <w:tcPr>
            <w:tcW w:w="1134" w:type="dxa"/>
          </w:tcPr>
          <w:p w14:paraId="53A1E233" w14:textId="3488E45C"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3,55%</w:t>
            </w:r>
          </w:p>
        </w:tc>
        <w:tc>
          <w:tcPr>
            <w:tcW w:w="1276" w:type="dxa"/>
          </w:tcPr>
          <w:p w14:paraId="046F9167" w14:textId="1EA6FD48"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3,54%</w:t>
            </w:r>
          </w:p>
        </w:tc>
        <w:tc>
          <w:tcPr>
            <w:tcW w:w="1134" w:type="dxa"/>
          </w:tcPr>
          <w:p w14:paraId="4729CBD9" w14:textId="46142658"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(3,92%)</w:t>
            </w:r>
          </w:p>
        </w:tc>
        <w:tc>
          <w:tcPr>
            <w:tcW w:w="1134" w:type="dxa"/>
          </w:tcPr>
          <w:p w14:paraId="297E1CD9" w14:textId="537569B7"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13,96%</w:t>
            </w:r>
          </w:p>
        </w:tc>
        <w:tc>
          <w:tcPr>
            <w:tcW w:w="1134" w:type="dxa"/>
          </w:tcPr>
          <w:p w14:paraId="66258294" w14:textId="6C6FA923"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6,59%</w:t>
            </w:r>
          </w:p>
        </w:tc>
        <w:tc>
          <w:tcPr>
            <w:tcW w:w="1134" w:type="dxa"/>
            <w:shd w:val="clear" w:color="auto" w:fill="auto"/>
          </w:tcPr>
          <w:p w14:paraId="480F4820" w14:textId="4EE82B20"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5,20%</w:t>
            </w:r>
          </w:p>
        </w:tc>
        <w:tc>
          <w:tcPr>
            <w:tcW w:w="1134" w:type="dxa"/>
            <w:shd w:val="clear" w:color="auto" w:fill="auto"/>
          </w:tcPr>
          <w:p w14:paraId="0D4EBDBC" w14:textId="15C97C40"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11,13%</w:t>
            </w:r>
          </w:p>
        </w:tc>
        <w:tc>
          <w:tcPr>
            <w:tcW w:w="1134" w:type="dxa"/>
          </w:tcPr>
          <w:p w14:paraId="20D17B10" w14:textId="2D137BA7"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12,42%</w:t>
            </w:r>
          </w:p>
        </w:tc>
        <w:tc>
          <w:tcPr>
            <w:tcW w:w="1134" w:type="dxa"/>
          </w:tcPr>
          <w:p w14:paraId="1F6ADD45"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187BAE5E" w14:textId="77777777" w:rsidTr="004B1D7C">
        <w:tc>
          <w:tcPr>
            <w:tcW w:w="4536" w:type="dxa"/>
          </w:tcPr>
          <w:p w14:paraId="54C4425C"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Sygnia/Itrix Top 40 </w:t>
            </w:r>
          </w:p>
        </w:tc>
        <w:tc>
          <w:tcPr>
            <w:tcW w:w="1134" w:type="dxa"/>
          </w:tcPr>
          <w:p w14:paraId="0832ADD3" w14:textId="6C463682"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3,87%</w:t>
            </w:r>
          </w:p>
        </w:tc>
        <w:tc>
          <w:tcPr>
            <w:tcW w:w="1276" w:type="dxa"/>
          </w:tcPr>
          <w:p w14:paraId="1B43286F" w14:textId="299318F8"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6,05%</w:t>
            </w:r>
          </w:p>
        </w:tc>
        <w:tc>
          <w:tcPr>
            <w:tcW w:w="1134" w:type="dxa"/>
          </w:tcPr>
          <w:p w14:paraId="7A72E750" w14:textId="25EC8F80"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(0,67%)</w:t>
            </w:r>
          </w:p>
        </w:tc>
        <w:tc>
          <w:tcPr>
            <w:tcW w:w="1134" w:type="dxa"/>
          </w:tcPr>
          <w:p w14:paraId="2520E2B9"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9A69404"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689623B"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5F8A1FD0"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0F3591C"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2AE6C41"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E631346" w14:textId="77777777" w:rsidTr="004B1D7C">
        <w:tc>
          <w:tcPr>
            <w:tcW w:w="4536" w:type="dxa"/>
          </w:tcPr>
          <w:p w14:paraId="5BDCFAD4"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Sygnia/Itrix SWIX 40</w:t>
            </w:r>
          </w:p>
        </w:tc>
        <w:tc>
          <w:tcPr>
            <w:tcW w:w="1134" w:type="dxa"/>
          </w:tcPr>
          <w:p w14:paraId="478F7713" w14:textId="4603D970"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3,50%</w:t>
            </w:r>
          </w:p>
        </w:tc>
        <w:tc>
          <w:tcPr>
            <w:tcW w:w="1276" w:type="dxa"/>
          </w:tcPr>
          <w:p w14:paraId="65D7E87F" w14:textId="73F535A6"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3,47%</w:t>
            </w:r>
          </w:p>
        </w:tc>
        <w:tc>
          <w:tcPr>
            <w:tcW w:w="1134" w:type="dxa"/>
          </w:tcPr>
          <w:p w14:paraId="26FF2CC0" w14:textId="10883ABC" w:rsidR="00327BF9" w:rsidRPr="00B81A28" w:rsidRDefault="00AF68FC" w:rsidP="004B1D7C">
            <w:pPr>
              <w:spacing w:before="40" w:after="40" w:line="300" w:lineRule="atLeast"/>
              <w:jc w:val="center"/>
              <w:rPr>
                <w:rFonts w:ascii="Verdana" w:hAnsi="Verdana"/>
                <w:sz w:val="16"/>
                <w:szCs w:val="16"/>
              </w:rPr>
            </w:pPr>
            <w:r>
              <w:rPr>
                <w:rFonts w:ascii="Verdana" w:hAnsi="Verdana"/>
                <w:sz w:val="16"/>
                <w:szCs w:val="16"/>
              </w:rPr>
              <w:t>(3,99%)</w:t>
            </w:r>
          </w:p>
        </w:tc>
        <w:tc>
          <w:tcPr>
            <w:tcW w:w="1134" w:type="dxa"/>
          </w:tcPr>
          <w:p w14:paraId="266488B5"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9DD621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D09F4FC"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2084A87"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31FF4DC"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C017145"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40B143F" w14:textId="77777777" w:rsidTr="004B1D7C">
        <w:tc>
          <w:tcPr>
            <w:tcW w:w="14884" w:type="dxa"/>
            <w:gridSpan w:val="10"/>
            <w:shd w:val="clear" w:color="auto" w:fill="7583BD"/>
            <w:vAlign w:val="center"/>
          </w:tcPr>
          <w:p w14:paraId="29E7288B" w14:textId="77777777" w:rsidR="00327BF9" w:rsidRPr="00B81A28" w:rsidRDefault="00327BF9" w:rsidP="004B1D7C">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50</w:t>
            </w:r>
          </w:p>
        </w:tc>
      </w:tr>
      <w:tr w:rsidR="00327BF9" w:rsidRPr="00DC35BB" w14:paraId="54BB6892" w14:textId="77777777" w:rsidTr="004B1D7C">
        <w:tc>
          <w:tcPr>
            <w:tcW w:w="4536" w:type="dxa"/>
          </w:tcPr>
          <w:p w14:paraId="58146DC2" w14:textId="77777777" w:rsidR="00327BF9" w:rsidRPr="00DC35BB" w:rsidRDefault="00327BF9" w:rsidP="004B1D7C">
            <w:pPr>
              <w:spacing w:before="40" w:after="40" w:line="300" w:lineRule="atLeast"/>
              <w:rPr>
                <w:rFonts w:ascii="Verdana" w:hAnsi="Verdana"/>
                <w:b/>
                <w:sz w:val="16"/>
                <w:szCs w:val="16"/>
              </w:rPr>
            </w:pPr>
            <w:r>
              <w:rPr>
                <w:rFonts w:ascii="Verdana" w:hAnsi="Verdana"/>
                <w:b/>
                <w:sz w:val="16"/>
                <w:szCs w:val="16"/>
              </w:rPr>
              <w:t>FTSE/JSE All Share Index</w:t>
            </w:r>
          </w:p>
        </w:tc>
        <w:tc>
          <w:tcPr>
            <w:tcW w:w="1134" w:type="dxa"/>
          </w:tcPr>
          <w:p w14:paraId="22C38026" w14:textId="0757DE74" w:rsidR="00327BF9" w:rsidRPr="00DC35BB" w:rsidRDefault="00AF68FC" w:rsidP="004B1D7C">
            <w:pPr>
              <w:spacing w:before="40" w:after="40" w:line="300" w:lineRule="atLeast"/>
              <w:jc w:val="center"/>
              <w:rPr>
                <w:rFonts w:ascii="Verdana" w:hAnsi="Verdana"/>
                <w:b/>
                <w:sz w:val="16"/>
                <w:szCs w:val="16"/>
              </w:rPr>
            </w:pPr>
            <w:r>
              <w:rPr>
                <w:rFonts w:ascii="Verdana" w:hAnsi="Verdana"/>
                <w:b/>
                <w:sz w:val="16"/>
                <w:szCs w:val="16"/>
              </w:rPr>
              <w:t>3,20%</w:t>
            </w:r>
          </w:p>
        </w:tc>
        <w:tc>
          <w:tcPr>
            <w:tcW w:w="1276" w:type="dxa"/>
          </w:tcPr>
          <w:p w14:paraId="4117EF05" w14:textId="2621CC9F" w:rsidR="00327BF9" w:rsidRPr="00DC35BB" w:rsidRDefault="00AF68FC" w:rsidP="004B1D7C">
            <w:pPr>
              <w:spacing w:before="40" w:after="40" w:line="300" w:lineRule="atLeast"/>
              <w:jc w:val="center"/>
              <w:rPr>
                <w:rFonts w:ascii="Verdana" w:hAnsi="Verdana"/>
                <w:b/>
                <w:sz w:val="16"/>
                <w:szCs w:val="16"/>
              </w:rPr>
            </w:pPr>
            <w:r>
              <w:rPr>
                <w:rFonts w:ascii="Verdana" w:hAnsi="Verdana"/>
                <w:b/>
                <w:sz w:val="16"/>
                <w:szCs w:val="16"/>
              </w:rPr>
              <w:t>4,54%</w:t>
            </w:r>
          </w:p>
        </w:tc>
        <w:tc>
          <w:tcPr>
            <w:tcW w:w="1134" w:type="dxa"/>
          </w:tcPr>
          <w:p w14:paraId="4E397C04" w14:textId="125997AB" w:rsidR="00327BF9" w:rsidRPr="00DC35BB" w:rsidRDefault="00AF68FC" w:rsidP="004B1D7C">
            <w:pPr>
              <w:spacing w:before="40" w:after="40" w:line="300" w:lineRule="atLeast"/>
              <w:jc w:val="center"/>
              <w:rPr>
                <w:rFonts w:ascii="Verdana" w:hAnsi="Verdana"/>
                <w:b/>
                <w:sz w:val="16"/>
                <w:szCs w:val="16"/>
              </w:rPr>
            </w:pPr>
            <w:r>
              <w:rPr>
                <w:rFonts w:ascii="Verdana" w:hAnsi="Verdana"/>
                <w:b/>
                <w:sz w:val="16"/>
                <w:szCs w:val="16"/>
              </w:rPr>
              <w:t>(1,70%)</w:t>
            </w:r>
          </w:p>
        </w:tc>
        <w:tc>
          <w:tcPr>
            <w:tcW w:w="1134" w:type="dxa"/>
          </w:tcPr>
          <w:p w14:paraId="0E578032" w14:textId="3C4494AE" w:rsidR="00327BF9" w:rsidRPr="00DC35BB" w:rsidRDefault="00AF68FC" w:rsidP="004B1D7C">
            <w:pPr>
              <w:spacing w:before="40" w:after="40" w:line="300" w:lineRule="atLeast"/>
              <w:jc w:val="center"/>
              <w:rPr>
                <w:rFonts w:ascii="Verdana" w:hAnsi="Verdana"/>
                <w:b/>
                <w:sz w:val="16"/>
                <w:szCs w:val="16"/>
              </w:rPr>
            </w:pPr>
            <w:r>
              <w:rPr>
                <w:rFonts w:ascii="Verdana" w:hAnsi="Verdana"/>
                <w:b/>
                <w:sz w:val="16"/>
                <w:szCs w:val="16"/>
              </w:rPr>
              <w:t>15,59%</w:t>
            </w:r>
          </w:p>
        </w:tc>
        <w:tc>
          <w:tcPr>
            <w:tcW w:w="1134" w:type="dxa"/>
          </w:tcPr>
          <w:p w14:paraId="4DDDB05E" w14:textId="6BB1A6E4" w:rsidR="00327BF9" w:rsidRPr="00DC35BB" w:rsidRDefault="00AF68FC" w:rsidP="004B1D7C">
            <w:pPr>
              <w:spacing w:before="40" w:after="40" w:line="300" w:lineRule="atLeast"/>
              <w:jc w:val="center"/>
              <w:rPr>
                <w:rFonts w:ascii="Verdana" w:hAnsi="Verdana"/>
                <w:b/>
                <w:sz w:val="16"/>
                <w:szCs w:val="16"/>
              </w:rPr>
            </w:pPr>
            <w:r>
              <w:rPr>
                <w:rFonts w:ascii="Verdana" w:hAnsi="Verdana"/>
                <w:b/>
                <w:sz w:val="16"/>
                <w:szCs w:val="16"/>
              </w:rPr>
              <w:t>8,49%</w:t>
            </w:r>
          </w:p>
        </w:tc>
        <w:tc>
          <w:tcPr>
            <w:tcW w:w="1134" w:type="dxa"/>
            <w:shd w:val="clear" w:color="auto" w:fill="auto"/>
          </w:tcPr>
          <w:p w14:paraId="4CC3D473" w14:textId="6BD85ADA" w:rsidR="00327BF9" w:rsidRPr="00DC35BB" w:rsidRDefault="00AF68FC" w:rsidP="004B1D7C">
            <w:pPr>
              <w:spacing w:before="40" w:after="40" w:line="300" w:lineRule="atLeast"/>
              <w:jc w:val="center"/>
              <w:rPr>
                <w:rFonts w:ascii="Verdana" w:hAnsi="Verdana"/>
                <w:b/>
                <w:sz w:val="16"/>
                <w:szCs w:val="16"/>
              </w:rPr>
            </w:pPr>
            <w:r>
              <w:rPr>
                <w:rFonts w:ascii="Verdana" w:hAnsi="Verdana"/>
                <w:b/>
                <w:sz w:val="16"/>
                <w:szCs w:val="16"/>
              </w:rPr>
              <w:t>6,56%</w:t>
            </w:r>
          </w:p>
        </w:tc>
        <w:tc>
          <w:tcPr>
            <w:tcW w:w="1134" w:type="dxa"/>
            <w:shd w:val="clear" w:color="auto" w:fill="auto"/>
          </w:tcPr>
          <w:p w14:paraId="0FBA1280" w14:textId="7C8BA04A" w:rsidR="00327BF9" w:rsidRPr="00DC35BB" w:rsidRDefault="00AF68FC" w:rsidP="004B1D7C">
            <w:pPr>
              <w:spacing w:before="40" w:after="40" w:line="300" w:lineRule="atLeast"/>
              <w:jc w:val="center"/>
              <w:rPr>
                <w:rFonts w:ascii="Verdana" w:hAnsi="Verdana"/>
                <w:b/>
                <w:sz w:val="16"/>
                <w:szCs w:val="16"/>
              </w:rPr>
            </w:pPr>
            <w:r>
              <w:rPr>
                <w:rFonts w:ascii="Verdana" w:hAnsi="Verdana"/>
                <w:b/>
                <w:sz w:val="16"/>
                <w:szCs w:val="16"/>
              </w:rPr>
              <w:t>11,05%</w:t>
            </w:r>
          </w:p>
        </w:tc>
        <w:tc>
          <w:tcPr>
            <w:tcW w:w="1134" w:type="dxa"/>
          </w:tcPr>
          <w:p w14:paraId="7064805B" w14:textId="09604D9D" w:rsidR="00327BF9" w:rsidRPr="00DC35BB" w:rsidRDefault="00AF68FC" w:rsidP="004B1D7C">
            <w:pPr>
              <w:spacing w:before="40" w:after="40" w:line="300" w:lineRule="atLeast"/>
              <w:jc w:val="center"/>
              <w:rPr>
                <w:rFonts w:ascii="Verdana" w:hAnsi="Verdana"/>
                <w:b/>
                <w:sz w:val="16"/>
                <w:szCs w:val="16"/>
              </w:rPr>
            </w:pPr>
            <w:r>
              <w:rPr>
                <w:rFonts w:ascii="Verdana" w:hAnsi="Verdana"/>
                <w:b/>
                <w:sz w:val="16"/>
                <w:szCs w:val="16"/>
              </w:rPr>
              <w:t>12,23%</w:t>
            </w:r>
          </w:p>
        </w:tc>
        <w:tc>
          <w:tcPr>
            <w:tcW w:w="1134" w:type="dxa"/>
          </w:tcPr>
          <w:p w14:paraId="5A9D0450" w14:textId="2D5B41C4" w:rsidR="00327BF9" w:rsidRPr="00DC35BB" w:rsidRDefault="00AF68FC" w:rsidP="004B1D7C">
            <w:pPr>
              <w:spacing w:before="40" w:after="40" w:line="300" w:lineRule="atLeast"/>
              <w:jc w:val="center"/>
              <w:rPr>
                <w:rFonts w:ascii="Verdana" w:hAnsi="Verdana"/>
                <w:b/>
                <w:sz w:val="16"/>
                <w:szCs w:val="16"/>
              </w:rPr>
            </w:pPr>
            <w:r>
              <w:rPr>
                <w:rFonts w:ascii="Verdana" w:hAnsi="Verdana"/>
                <w:b/>
                <w:sz w:val="16"/>
                <w:szCs w:val="16"/>
              </w:rPr>
              <w:t>9,825</w:t>
            </w:r>
          </w:p>
        </w:tc>
      </w:tr>
      <w:tr w:rsidR="00327BF9" w:rsidRPr="00B81A28" w14:paraId="5019B38D" w14:textId="77777777" w:rsidTr="004B1D7C">
        <w:tc>
          <w:tcPr>
            <w:tcW w:w="4536" w:type="dxa"/>
          </w:tcPr>
          <w:p w14:paraId="34A79E61"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CoreShares S&amp;P Top 50</w:t>
            </w:r>
          </w:p>
        </w:tc>
        <w:tc>
          <w:tcPr>
            <w:tcW w:w="1134" w:type="dxa"/>
          </w:tcPr>
          <w:p w14:paraId="1D73B3F3" w14:textId="40CEF924"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1,95%</w:t>
            </w:r>
          </w:p>
        </w:tc>
        <w:tc>
          <w:tcPr>
            <w:tcW w:w="1276" w:type="dxa"/>
          </w:tcPr>
          <w:p w14:paraId="7ACB3A67" w14:textId="02BCEAEE"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3,61%</w:t>
            </w:r>
          </w:p>
        </w:tc>
        <w:tc>
          <w:tcPr>
            <w:tcW w:w="1134" w:type="dxa"/>
          </w:tcPr>
          <w:p w14:paraId="618C8C69" w14:textId="74286778"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0,08%</w:t>
            </w:r>
          </w:p>
        </w:tc>
        <w:tc>
          <w:tcPr>
            <w:tcW w:w="1134" w:type="dxa"/>
          </w:tcPr>
          <w:p w14:paraId="67F36FE2" w14:textId="55F23B91"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18,70%</w:t>
            </w:r>
          </w:p>
        </w:tc>
        <w:tc>
          <w:tcPr>
            <w:tcW w:w="1134" w:type="dxa"/>
          </w:tcPr>
          <w:p w14:paraId="011825D8" w14:textId="024E9C7D"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9,78%</w:t>
            </w:r>
          </w:p>
        </w:tc>
        <w:tc>
          <w:tcPr>
            <w:tcW w:w="1134" w:type="dxa"/>
            <w:shd w:val="clear" w:color="auto" w:fill="auto"/>
          </w:tcPr>
          <w:p w14:paraId="167082CC" w14:textId="0C731944"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7,20%</w:t>
            </w:r>
          </w:p>
        </w:tc>
        <w:tc>
          <w:tcPr>
            <w:tcW w:w="1134" w:type="dxa"/>
            <w:shd w:val="clear" w:color="auto" w:fill="auto"/>
          </w:tcPr>
          <w:p w14:paraId="75568FD8"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4D93E9B"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D43762E"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6F2E4CC1" w14:textId="77777777" w:rsidTr="004B1D7C">
        <w:tc>
          <w:tcPr>
            <w:tcW w:w="14884" w:type="dxa"/>
            <w:gridSpan w:val="10"/>
            <w:shd w:val="clear" w:color="auto" w:fill="7583BD"/>
          </w:tcPr>
          <w:p w14:paraId="050A1758" w14:textId="77777777" w:rsidR="00327BF9" w:rsidRPr="00B81A28" w:rsidRDefault="00327BF9" w:rsidP="004B1D7C">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JSE Equity Sector Exposure</w:t>
            </w:r>
          </w:p>
        </w:tc>
      </w:tr>
      <w:tr w:rsidR="00327BF9" w:rsidRPr="00B81A28" w14:paraId="63C6842F" w14:textId="77777777" w:rsidTr="004B1D7C">
        <w:tc>
          <w:tcPr>
            <w:tcW w:w="4536" w:type="dxa"/>
          </w:tcPr>
          <w:p w14:paraId="5E437462"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Ashburton MidCap</w:t>
            </w:r>
          </w:p>
        </w:tc>
        <w:tc>
          <w:tcPr>
            <w:tcW w:w="1134" w:type="dxa"/>
          </w:tcPr>
          <w:p w14:paraId="5CD4BF92" w14:textId="4753B19A"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(1,11%)</w:t>
            </w:r>
          </w:p>
        </w:tc>
        <w:tc>
          <w:tcPr>
            <w:tcW w:w="1276" w:type="dxa"/>
          </w:tcPr>
          <w:p w14:paraId="68C63A6C" w14:textId="40E932A6"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(7,32%)</w:t>
            </w:r>
          </w:p>
        </w:tc>
        <w:tc>
          <w:tcPr>
            <w:tcW w:w="1134" w:type="dxa"/>
          </w:tcPr>
          <w:p w14:paraId="17BC4124" w14:textId="227B5477"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(10,79%)</w:t>
            </w:r>
          </w:p>
        </w:tc>
        <w:tc>
          <w:tcPr>
            <w:tcW w:w="1134" w:type="dxa"/>
          </w:tcPr>
          <w:p w14:paraId="2C1BB7E1" w14:textId="73B1299D"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3,91%</w:t>
            </w:r>
          </w:p>
        </w:tc>
        <w:tc>
          <w:tcPr>
            <w:tcW w:w="1134" w:type="dxa"/>
          </w:tcPr>
          <w:p w14:paraId="3E69F640" w14:textId="74FA061A"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1,17%</w:t>
            </w:r>
          </w:p>
        </w:tc>
        <w:tc>
          <w:tcPr>
            <w:tcW w:w="1134" w:type="dxa"/>
            <w:shd w:val="clear" w:color="auto" w:fill="auto"/>
          </w:tcPr>
          <w:p w14:paraId="0218C1FB" w14:textId="75CCF55D"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3,39%</w:t>
            </w:r>
          </w:p>
        </w:tc>
        <w:tc>
          <w:tcPr>
            <w:tcW w:w="1134" w:type="dxa"/>
            <w:shd w:val="clear" w:color="auto" w:fill="auto"/>
          </w:tcPr>
          <w:p w14:paraId="0AD66DAA" w14:textId="0D9D2CB1"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7,60%</w:t>
            </w:r>
          </w:p>
        </w:tc>
        <w:tc>
          <w:tcPr>
            <w:tcW w:w="1134" w:type="dxa"/>
          </w:tcPr>
          <w:p w14:paraId="5F39BE11"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53D828F"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031D8798" w14:textId="77777777" w:rsidTr="004B1D7C">
        <w:tc>
          <w:tcPr>
            <w:tcW w:w="4536" w:type="dxa"/>
          </w:tcPr>
          <w:p w14:paraId="51C9EFEA"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Satrix FINI 15</w:t>
            </w:r>
          </w:p>
        </w:tc>
        <w:tc>
          <w:tcPr>
            <w:tcW w:w="1134" w:type="dxa"/>
          </w:tcPr>
          <w:p w14:paraId="4B05D2FA" w14:textId="40E3F1E2"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(2,47%)</w:t>
            </w:r>
          </w:p>
        </w:tc>
        <w:tc>
          <w:tcPr>
            <w:tcW w:w="1276" w:type="dxa"/>
          </w:tcPr>
          <w:p w14:paraId="397B9B09" w14:textId="0715B869"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(6,66%)</w:t>
            </w:r>
          </w:p>
        </w:tc>
        <w:tc>
          <w:tcPr>
            <w:tcW w:w="1134" w:type="dxa"/>
          </w:tcPr>
          <w:p w14:paraId="55F7766B" w14:textId="66C8C2D2"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(7,68%)</w:t>
            </w:r>
          </w:p>
        </w:tc>
        <w:tc>
          <w:tcPr>
            <w:tcW w:w="1134" w:type="dxa"/>
          </w:tcPr>
          <w:p w14:paraId="1186D206" w14:textId="7ABF45A7"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16,42%</w:t>
            </w:r>
          </w:p>
        </w:tc>
        <w:tc>
          <w:tcPr>
            <w:tcW w:w="1134" w:type="dxa"/>
          </w:tcPr>
          <w:p w14:paraId="7C33D9E9" w14:textId="46E01E90"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9,92%</w:t>
            </w:r>
          </w:p>
        </w:tc>
        <w:tc>
          <w:tcPr>
            <w:tcW w:w="1134" w:type="dxa"/>
            <w:shd w:val="clear" w:color="auto" w:fill="auto"/>
          </w:tcPr>
          <w:p w14:paraId="6C3BC683" w14:textId="467696E0"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3,56%</w:t>
            </w:r>
          </w:p>
        </w:tc>
        <w:tc>
          <w:tcPr>
            <w:tcW w:w="1134" w:type="dxa"/>
            <w:shd w:val="clear" w:color="auto" w:fill="auto"/>
          </w:tcPr>
          <w:p w14:paraId="4C3B8DFE" w14:textId="64629E65"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11,79%</w:t>
            </w:r>
          </w:p>
        </w:tc>
        <w:tc>
          <w:tcPr>
            <w:tcW w:w="1134" w:type="dxa"/>
          </w:tcPr>
          <w:p w14:paraId="23C33399" w14:textId="43526F9D"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14,53%</w:t>
            </w:r>
          </w:p>
        </w:tc>
        <w:tc>
          <w:tcPr>
            <w:tcW w:w="1134" w:type="dxa"/>
          </w:tcPr>
          <w:p w14:paraId="129F44C2" w14:textId="0411EFC2"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14,32%</w:t>
            </w:r>
          </w:p>
        </w:tc>
      </w:tr>
      <w:tr w:rsidR="00327BF9" w:rsidRPr="00B81A28" w14:paraId="1901E209" w14:textId="77777777" w:rsidTr="004B1D7C">
        <w:tc>
          <w:tcPr>
            <w:tcW w:w="4536" w:type="dxa"/>
          </w:tcPr>
          <w:p w14:paraId="1EE77FC7"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Satrix </w:t>
            </w:r>
            <w:r>
              <w:rPr>
                <w:rFonts w:ascii="Verdana" w:hAnsi="Verdana"/>
                <w:sz w:val="16"/>
                <w:szCs w:val="16"/>
              </w:rPr>
              <w:t xml:space="preserve">Capped </w:t>
            </w:r>
            <w:r w:rsidRPr="00B81A28">
              <w:rPr>
                <w:rFonts w:ascii="Verdana" w:hAnsi="Verdana"/>
                <w:sz w:val="16"/>
                <w:szCs w:val="16"/>
              </w:rPr>
              <w:t xml:space="preserve">INDI </w:t>
            </w:r>
            <w:r>
              <w:rPr>
                <w:rFonts w:ascii="Verdana" w:hAnsi="Verdana"/>
                <w:sz w:val="16"/>
                <w:szCs w:val="16"/>
              </w:rPr>
              <w:t>25</w:t>
            </w:r>
          </w:p>
        </w:tc>
        <w:tc>
          <w:tcPr>
            <w:tcW w:w="1134" w:type="dxa"/>
          </w:tcPr>
          <w:p w14:paraId="321DB98E" w14:textId="6EF02DA1"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2,90%</w:t>
            </w:r>
          </w:p>
        </w:tc>
        <w:tc>
          <w:tcPr>
            <w:tcW w:w="1276" w:type="dxa"/>
          </w:tcPr>
          <w:p w14:paraId="39645946" w14:textId="1B080357"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2,74%</w:t>
            </w:r>
          </w:p>
        </w:tc>
        <w:tc>
          <w:tcPr>
            <w:tcW w:w="1134" w:type="dxa"/>
          </w:tcPr>
          <w:p w14:paraId="59C1A05B" w14:textId="3D31D790"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(4,69%)</w:t>
            </w:r>
          </w:p>
        </w:tc>
        <w:tc>
          <w:tcPr>
            <w:tcW w:w="1134" w:type="dxa"/>
          </w:tcPr>
          <w:p w14:paraId="7431994C" w14:textId="27061C2E"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8,45%</w:t>
            </w:r>
          </w:p>
        </w:tc>
        <w:tc>
          <w:tcPr>
            <w:tcW w:w="1134" w:type="dxa"/>
          </w:tcPr>
          <w:p w14:paraId="2DD2FB70" w14:textId="7CC07EA8"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4,48%</w:t>
            </w:r>
          </w:p>
        </w:tc>
        <w:tc>
          <w:tcPr>
            <w:tcW w:w="1134" w:type="dxa"/>
            <w:shd w:val="clear" w:color="auto" w:fill="auto"/>
          </w:tcPr>
          <w:p w14:paraId="1204B0DC" w14:textId="4CED7002"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5,55%</w:t>
            </w:r>
          </w:p>
        </w:tc>
        <w:tc>
          <w:tcPr>
            <w:tcW w:w="1134" w:type="dxa"/>
            <w:shd w:val="clear" w:color="auto" w:fill="auto"/>
          </w:tcPr>
          <w:p w14:paraId="5901B21A" w14:textId="370D3582"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12,06%</w:t>
            </w:r>
          </w:p>
        </w:tc>
        <w:tc>
          <w:tcPr>
            <w:tcW w:w="1134" w:type="dxa"/>
          </w:tcPr>
          <w:p w14:paraId="311A628B" w14:textId="52A936C5"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17,47%</w:t>
            </w:r>
          </w:p>
        </w:tc>
        <w:tc>
          <w:tcPr>
            <w:tcW w:w="1134" w:type="dxa"/>
          </w:tcPr>
          <w:p w14:paraId="5C4332D4" w14:textId="69361CD2"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16,69%</w:t>
            </w:r>
          </w:p>
        </w:tc>
      </w:tr>
      <w:tr w:rsidR="00327BF9" w:rsidRPr="00B81A28" w14:paraId="791BC67E" w14:textId="77777777" w:rsidTr="004B1D7C">
        <w:tc>
          <w:tcPr>
            <w:tcW w:w="4536" w:type="dxa"/>
          </w:tcPr>
          <w:p w14:paraId="78491FC6"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Satrix RESI 10</w:t>
            </w:r>
          </w:p>
        </w:tc>
        <w:tc>
          <w:tcPr>
            <w:tcW w:w="1134" w:type="dxa"/>
          </w:tcPr>
          <w:p w14:paraId="2854EB16" w14:textId="42B9DB3A"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8,30%</w:t>
            </w:r>
          </w:p>
        </w:tc>
        <w:tc>
          <w:tcPr>
            <w:tcW w:w="1276" w:type="dxa"/>
          </w:tcPr>
          <w:p w14:paraId="5CCB8415" w14:textId="12E8E7E4"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20,34%</w:t>
            </w:r>
          </w:p>
        </w:tc>
        <w:tc>
          <w:tcPr>
            <w:tcW w:w="1134" w:type="dxa"/>
          </w:tcPr>
          <w:p w14:paraId="0696F259" w14:textId="6753053A"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17,15%</w:t>
            </w:r>
          </w:p>
        </w:tc>
        <w:tc>
          <w:tcPr>
            <w:tcW w:w="1134" w:type="dxa"/>
          </w:tcPr>
          <w:p w14:paraId="67DBF634" w14:textId="4BC48B62"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42,53%</w:t>
            </w:r>
          </w:p>
        </w:tc>
        <w:tc>
          <w:tcPr>
            <w:tcW w:w="1134" w:type="dxa"/>
          </w:tcPr>
          <w:p w14:paraId="7C8119BB" w14:textId="4891EF6C"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20,65%</w:t>
            </w:r>
          </w:p>
        </w:tc>
        <w:tc>
          <w:tcPr>
            <w:tcW w:w="1134" w:type="dxa"/>
            <w:shd w:val="clear" w:color="auto" w:fill="auto"/>
          </w:tcPr>
          <w:p w14:paraId="7FC509E6" w14:textId="47AF5DE7"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4,12%</w:t>
            </w:r>
          </w:p>
        </w:tc>
        <w:tc>
          <w:tcPr>
            <w:tcW w:w="1134" w:type="dxa"/>
            <w:shd w:val="clear" w:color="auto" w:fill="auto"/>
          </w:tcPr>
          <w:p w14:paraId="4519BD35" w14:textId="6A9AD99E"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(0,60%)</w:t>
            </w:r>
          </w:p>
        </w:tc>
        <w:tc>
          <w:tcPr>
            <w:tcW w:w="1134" w:type="dxa"/>
          </w:tcPr>
          <w:p w14:paraId="077C6F73" w14:textId="20BF7B2A" w:rsidR="00327BF9" w:rsidRPr="00B81A28" w:rsidRDefault="00CB411A" w:rsidP="004B1D7C">
            <w:pPr>
              <w:spacing w:before="40" w:after="40" w:line="300" w:lineRule="atLeast"/>
              <w:jc w:val="center"/>
              <w:rPr>
                <w:rFonts w:ascii="Verdana" w:hAnsi="Verdana"/>
                <w:sz w:val="16"/>
                <w:szCs w:val="16"/>
              </w:rPr>
            </w:pPr>
            <w:r>
              <w:rPr>
                <w:rFonts w:ascii="Verdana" w:hAnsi="Verdana"/>
                <w:sz w:val="16"/>
                <w:szCs w:val="16"/>
              </w:rPr>
              <w:t>(2,15%)</w:t>
            </w:r>
          </w:p>
        </w:tc>
        <w:tc>
          <w:tcPr>
            <w:tcW w:w="1134" w:type="dxa"/>
          </w:tcPr>
          <w:p w14:paraId="4BCC5669" w14:textId="6B80110A" w:rsidR="00327BF9" w:rsidRPr="00B81A28" w:rsidRDefault="00716932" w:rsidP="004B1D7C">
            <w:pPr>
              <w:spacing w:before="40" w:after="40" w:line="300" w:lineRule="atLeast"/>
              <w:jc w:val="center"/>
              <w:rPr>
                <w:rFonts w:ascii="Verdana" w:hAnsi="Verdana"/>
                <w:sz w:val="16"/>
                <w:szCs w:val="16"/>
              </w:rPr>
            </w:pPr>
            <w:r>
              <w:rPr>
                <w:rFonts w:ascii="Verdana" w:hAnsi="Verdana"/>
                <w:sz w:val="16"/>
                <w:szCs w:val="16"/>
              </w:rPr>
              <w:t>(2,81%)</w:t>
            </w:r>
          </w:p>
        </w:tc>
      </w:tr>
    </w:tbl>
    <w:p w14:paraId="399AD380" w14:textId="77777777" w:rsidR="00327BF9" w:rsidRDefault="00327BF9" w:rsidP="00327BF9">
      <w:pPr>
        <w:spacing w:after="0" w:line="240" w:lineRule="auto"/>
        <w:rPr>
          <w:rFonts w:ascii="Verdana" w:hAnsi="Verdana"/>
          <w:sz w:val="16"/>
          <w:szCs w:val="16"/>
        </w:rPr>
      </w:pPr>
    </w:p>
    <w:p w14:paraId="03B09591" w14:textId="77777777" w:rsidR="00327BF9" w:rsidRDefault="00327BF9" w:rsidP="00327BF9">
      <w:pPr>
        <w:spacing w:after="0" w:line="240" w:lineRule="auto"/>
        <w:rPr>
          <w:rFonts w:ascii="Verdana" w:hAnsi="Verdana"/>
          <w:sz w:val="16"/>
          <w:szCs w:val="16"/>
        </w:rPr>
      </w:pPr>
    </w:p>
    <w:p w14:paraId="28669AC4" w14:textId="77777777" w:rsidR="00327BF9" w:rsidRPr="00B81A28" w:rsidRDefault="00327BF9" w:rsidP="00327BF9">
      <w:pPr>
        <w:spacing w:after="0" w:line="240" w:lineRule="auto"/>
        <w:rPr>
          <w:rFonts w:ascii="Verdana" w:hAnsi="Verdana"/>
          <w:sz w:val="16"/>
          <w:szCs w:val="16"/>
        </w:rPr>
      </w:pPr>
      <w:r w:rsidRPr="00B81A28">
        <w:rPr>
          <w:rFonts w:ascii="Verdana" w:hAnsi="Verdana"/>
          <w:noProof/>
          <w:lang w:eastAsia="en-ZA"/>
        </w:rPr>
        <w:drawing>
          <wp:inline distT="0" distB="0" distL="0" distR="0" wp14:anchorId="36C5B208" wp14:editId="594B9B9F">
            <wp:extent cx="3057525" cy="642486"/>
            <wp:effectExtent l="0" t="0" r="0" b="5715"/>
            <wp:docPr id="8" name="Picture 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327BF9" w:rsidRPr="00B81A28" w14:paraId="036A5BBD" w14:textId="77777777" w:rsidTr="004B1D7C">
        <w:tc>
          <w:tcPr>
            <w:tcW w:w="14884" w:type="dxa"/>
            <w:gridSpan w:val="10"/>
            <w:shd w:val="clear" w:color="auto" w:fill="CB2229"/>
            <w:vAlign w:val="center"/>
          </w:tcPr>
          <w:p w14:paraId="034C28CC"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1BC5DA8D"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p>
          <w:p w14:paraId="105E0ECC"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327BF9" w:rsidRPr="00B81A28" w14:paraId="6F8CAC12" w14:textId="77777777" w:rsidTr="004B1D7C">
        <w:tc>
          <w:tcPr>
            <w:tcW w:w="4536" w:type="dxa"/>
            <w:shd w:val="clear" w:color="auto" w:fill="4C4C4C"/>
          </w:tcPr>
          <w:p w14:paraId="224E1AE8" w14:textId="77777777" w:rsidR="00327BF9" w:rsidRPr="0067766B" w:rsidRDefault="00327BF9" w:rsidP="004B1D7C">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296B076E"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0A08D5F0"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10041CE6"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08D56CB0"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7EB75A3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5B0C548E"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0314B98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4D1D759C"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7E35C327"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078D0E39" w14:textId="77777777" w:rsidTr="004B1D7C">
        <w:tc>
          <w:tcPr>
            <w:tcW w:w="14884" w:type="dxa"/>
            <w:gridSpan w:val="10"/>
            <w:shd w:val="clear" w:color="auto" w:fill="7583BD"/>
            <w:vAlign w:val="center"/>
          </w:tcPr>
          <w:p w14:paraId="02B226F4" w14:textId="77777777" w:rsidR="00327BF9" w:rsidRPr="00B81A28" w:rsidRDefault="00327BF9" w:rsidP="004B1D7C">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Floating Interest Rates</w:t>
            </w:r>
          </w:p>
        </w:tc>
      </w:tr>
      <w:tr w:rsidR="00327BF9" w:rsidRPr="00B81A28" w14:paraId="14393D5B" w14:textId="77777777" w:rsidTr="004B1D7C">
        <w:tc>
          <w:tcPr>
            <w:tcW w:w="4536" w:type="dxa"/>
          </w:tcPr>
          <w:p w14:paraId="4967614C" w14:textId="77777777" w:rsidR="00327BF9" w:rsidRPr="00B81A28" w:rsidRDefault="00327BF9" w:rsidP="004B1D7C">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TRACI (Total Return)</w:t>
            </w:r>
          </w:p>
        </w:tc>
        <w:tc>
          <w:tcPr>
            <w:tcW w:w="1134" w:type="dxa"/>
          </w:tcPr>
          <w:p w14:paraId="1E0C811C" w14:textId="1E99ED33" w:rsidR="00327BF9" w:rsidRPr="00B81A28" w:rsidRDefault="0064469C" w:rsidP="004B1D7C">
            <w:pPr>
              <w:tabs>
                <w:tab w:val="left" w:pos="1050"/>
              </w:tabs>
              <w:spacing w:before="40" w:after="40" w:line="320" w:lineRule="atLeast"/>
              <w:jc w:val="center"/>
              <w:rPr>
                <w:rFonts w:ascii="Verdana" w:hAnsi="Verdana"/>
                <w:sz w:val="16"/>
                <w:szCs w:val="16"/>
              </w:rPr>
            </w:pPr>
            <w:r>
              <w:rPr>
                <w:rFonts w:ascii="Verdana" w:hAnsi="Verdana"/>
                <w:sz w:val="16"/>
                <w:szCs w:val="16"/>
              </w:rPr>
              <w:t>0,55%</w:t>
            </w:r>
          </w:p>
        </w:tc>
        <w:tc>
          <w:tcPr>
            <w:tcW w:w="1276" w:type="dxa"/>
          </w:tcPr>
          <w:p w14:paraId="60C1D7ED" w14:textId="68E94E59" w:rsidR="00327BF9" w:rsidRPr="00B81A28" w:rsidRDefault="0064469C" w:rsidP="004B1D7C">
            <w:pPr>
              <w:spacing w:before="40" w:after="40" w:line="320" w:lineRule="atLeast"/>
              <w:jc w:val="center"/>
              <w:rPr>
                <w:rFonts w:ascii="Verdana" w:hAnsi="Verdana"/>
                <w:sz w:val="16"/>
                <w:szCs w:val="16"/>
              </w:rPr>
            </w:pPr>
            <w:r>
              <w:rPr>
                <w:rFonts w:ascii="Verdana" w:hAnsi="Verdana"/>
                <w:sz w:val="16"/>
                <w:szCs w:val="16"/>
              </w:rPr>
              <w:t>1,67%</w:t>
            </w:r>
          </w:p>
        </w:tc>
        <w:tc>
          <w:tcPr>
            <w:tcW w:w="1134" w:type="dxa"/>
          </w:tcPr>
          <w:p w14:paraId="07858740" w14:textId="2BC72CA3" w:rsidR="00327BF9" w:rsidRPr="00B81A28" w:rsidRDefault="0064469C" w:rsidP="004B1D7C">
            <w:pPr>
              <w:spacing w:before="40" w:after="40" w:line="320" w:lineRule="atLeast"/>
              <w:jc w:val="center"/>
              <w:rPr>
                <w:rFonts w:ascii="Verdana" w:hAnsi="Verdana"/>
                <w:sz w:val="16"/>
                <w:szCs w:val="16"/>
              </w:rPr>
            </w:pPr>
            <w:r>
              <w:rPr>
                <w:rFonts w:ascii="Verdana" w:hAnsi="Verdana"/>
                <w:sz w:val="16"/>
                <w:szCs w:val="16"/>
              </w:rPr>
              <w:t>3,44%</w:t>
            </w:r>
          </w:p>
        </w:tc>
        <w:tc>
          <w:tcPr>
            <w:tcW w:w="1134" w:type="dxa"/>
          </w:tcPr>
          <w:p w14:paraId="28A26829" w14:textId="4E8DDEFF" w:rsidR="00327BF9" w:rsidRPr="00B81A28" w:rsidRDefault="0064469C" w:rsidP="004B1D7C">
            <w:pPr>
              <w:spacing w:before="40" w:after="40" w:line="320" w:lineRule="atLeast"/>
              <w:jc w:val="center"/>
              <w:rPr>
                <w:rFonts w:ascii="Verdana" w:hAnsi="Verdana"/>
                <w:sz w:val="16"/>
                <w:szCs w:val="16"/>
              </w:rPr>
            </w:pPr>
            <w:r>
              <w:rPr>
                <w:rFonts w:ascii="Verdana" w:hAnsi="Verdana"/>
                <w:sz w:val="16"/>
                <w:szCs w:val="16"/>
              </w:rPr>
              <w:t>7,08%</w:t>
            </w:r>
          </w:p>
        </w:tc>
        <w:tc>
          <w:tcPr>
            <w:tcW w:w="1134" w:type="dxa"/>
          </w:tcPr>
          <w:p w14:paraId="7982B26D" w14:textId="3B4F461E" w:rsidR="00327BF9" w:rsidRPr="00B81A28" w:rsidRDefault="0064469C" w:rsidP="004B1D7C">
            <w:pPr>
              <w:spacing w:before="40" w:after="40" w:line="320" w:lineRule="atLeast"/>
              <w:jc w:val="center"/>
              <w:rPr>
                <w:rFonts w:ascii="Verdana" w:hAnsi="Verdana"/>
                <w:sz w:val="16"/>
                <w:szCs w:val="16"/>
              </w:rPr>
            </w:pPr>
            <w:r>
              <w:rPr>
                <w:rFonts w:ascii="Verdana" w:hAnsi="Verdana"/>
                <w:sz w:val="16"/>
                <w:szCs w:val="16"/>
              </w:rPr>
              <w:t>7,14%</w:t>
            </w:r>
          </w:p>
        </w:tc>
        <w:tc>
          <w:tcPr>
            <w:tcW w:w="1134" w:type="dxa"/>
            <w:shd w:val="clear" w:color="auto" w:fill="auto"/>
          </w:tcPr>
          <w:p w14:paraId="2603EF05" w14:textId="59479A7E" w:rsidR="00327BF9" w:rsidRPr="00B81A28" w:rsidRDefault="0064469C" w:rsidP="004B1D7C">
            <w:pPr>
              <w:spacing w:before="40" w:after="40" w:line="320" w:lineRule="atLeast"/>
              <w:jc w:val="center"/>
              <w:rPr>
                <w:rFonts w:ascii="Verdana" w:hAnsi="Verdana"/>
                <w:sz w:val="16"/>
                <w:szCs w:val="16"/>
              </w:rPr>
            </w:pPr>
            <w:r>
              <w:rPr>
                <w:rFonts w:ascii="Verdana" w:hAnsi="Verdana"/>
                <w:sz w:val="16"/>
                <w:szCs w:val="16"/>
              </w:rPr>
              <w:t>6,92%</w:t>
            </w:r>
          </w:p>
        </w:tc>
        <w:tc>
          <w:tcPr>
            <w:tcW w:w="1134" w:type="dxa"/>
            <w:shd w:val="clear" w:color="auto" w:fill="auto"/>
          </w:tcPr>
          <w:p w14:paraId="7FF54A2F" w14:textId="6E4A3ADC" w:rsidR="00327BF9" w:rsidRPr="00B81A28" w:rsidRDefault="0064469C" w:rsidP="004B1D7C">
            <w:pPr>
              <w:spacing w:before="40" w:after="40" w:line="320" w:lineRule="atLeast"/>
              <w:jc w:val="center"/>
              <w:rPr>
                <w:rFonts w:ascii="Verdana" w:hAnsi="Verdana"/>
                <w:sz w:val="16"/>
                <w:szCs w:val="16"/>
              </w:rPr>
            </w:pPr>
            <w:r>
              <w:rPr>
                <w:rFonts w:ascii="Verdana" w:hAnsi="Verdana"/>
                <w:sz w:val="16"/>
                <w:szCs w:val="16"/>
              </w:rPr>
              <w:t>6,36%</w:t>
            </w:r>
          </w:p>
        </w:tc>
        <w:tc>
          <w:tcPr>
            <w:tcW w:w="1134" w:type="dxa"/>
          </w:tcPr>
          <w:p w14:paraId="002BF632"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31909F3A"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r>
      <w:tr w:rsidR="00327BF9" w:rsidRPr="00B81A28" w14:paraId="324E5150" w14:textId="77777777" w:rsidTr="004B1D7C">
        <w:tc>
          <w:tcPr>
            <w:tcW w:w="4536" w:type="dxa"/>
          </w:tcPr>
          <w:p w14:paraId="72F38048" w14:textId="77777777" w:rsidR="00327BF9" w:rsidRPr="00B81A28" w:rsidRDefault="00327BF9" w:rsidP="004B1D7C">
            <w:pPr>
              <w:spacing w:before="40" w:after="40" w:line="320" w:lineRule="atLeast"/>
              <w:rPr>
                <w:rFonts w:ascii="Verdana" w:hAnsi="Verdana"/>
                <w:sz w:val="16"/>
                <w:szCs w:val="16"/>
              </w:rPr>
            </w:pPr>
            <w:r w:rsidRPr="00B81A28">
              <w:rPr>
                <w:rFonts w:ascii="Verdana" w:hAnsi="Verdana"/>
                <w:sz w:val="16"/>
                <w:szCs w:val="16"/>
              </w:rPr>
              <w:t>CoreShares PrefTrax</w:t>
            </w:r>
          </w:p>
        </w:tc>
        <w:tc>
          <w:tcPr>
            <w:tcW w:w="1134" w:type="dxa"/>
          </w:tcPr>
          <w:p w14:paraId="028D3B27" w14:textId="6FCFDD32" w:rsidR="00327BF9" w:rsidRPr="00B81A28" w:rsidRDefault="0092286E" w:rsidP="004B1D7C">
            <w:pPr>
              <w:tabs>
                <w:tab w:val="left" w:pos="1050"/>
              </w:tabs>
              <w:spacing w:before="40" w:after="40" w:line="320" w:lineRule="atLeast"/>
              <w:jc w:val="center"/>
              <w:rPr>
                <w:rFonts w:ascii="Verdana" w:hAnsi="Verdana"/>
                <w:sz w:val="16"/>
                <w:szCs w:val="16"/>
              </w:rPr>
            </w:pPr>
            <w:r>
              <w:rPr>
                <w:rFonts w:ascii="Verdana" w:hAnsi="Verdana"/>
                <w:sz w:val="16"/>
                <w:szCs w:val="16"/>
              </w:rPr>
              <w:t>1,36%</w:t>
            </w:r>
          </w:p>
        </w:tc>
        <w:tc>
          <w:tcPr>
            <w:tcW w:w="1276" w:type="dxa"/>
          </w:tcPr>
          <w:p w14:paraId="7F22F758" w14:textId="68C3A566"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3,73%</w:t>
            </w:r>
          </w:p>
        </w:tc>
        <w:tc>
          <w:tcPr>
            <w:tcW w:w="1134" w:type="dxa"/>
          </w:tcPr>
          <w:p w14:paraId="7B77E34D" w14:textId="401BC0E8"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4,22%</w:t>
            </w:r>
          </w:p>
        </w:tc>
        <w:tc>
          <w:tcPr>
            <w:tcW w:w="1134" w:type="dxa"/>
          </w:tcPr>
          <w:p w14:paraId="41580D50" w14:textId="012D7660"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(2,97%)</w:t>
            </w:r>
          </w:p>
        </w:tc>
        <w:tc>
          <w:tcPr>
            <w:tcW w:w="1134" w:type="dxa"/>
          </w:tcPr>
          <w:p w14:paraId="6A039824" w14:textId="1E24E94C"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2,86%</w:t>
            </w:r>
          </w:p>
        </w:tc>
        <w:tc>
          <w:tcPr>
            <w:tcW w:w="1134" w:type="dxa"/>
            <w:shd w:val="clear" w:color="auto" w:fill="auto"/>
          </w:tcPr>
          <w:p w14:paraId="26F0945E" w14:textId="097D056A"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5,06%</w:t>
            </w:r>
          </w:p>
        </w:tc>
        <w:tc>
          <w:tcPr>
            <w:tcW w:w="1134" w:type="dxa"/>
            <w:shd w:val="clear" w:color="auto" w:fill="auto"/>
          </w:tcPr>
          <w:p w14:paraId="76789437" w14:textId="0ABD69F2"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3,81%</w:t>
            </w:r>
          </w:p>
        </w:tc>
        <w:tc>
          <w:tcPr>
            <w:tcW w:w="1134" w:type="dxa"/>
          </w:tcPr>
          <w:p w14:paraId="0ADAF96B"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0D9F4608"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r>
      <w:tr w:rsidR="00327BF9" w:rsidRPr="00B81A28" w14:paraId="5F78324D" w14:textId="77777777" w:rsidTr="004B1D7C">
        <w:tc>
          <w:tcPr>
            <w:tcW w:w="14884" w:type="dxa"/>
            <w:gridSpan w:val="10"/>
            <w:shd w:val="clear" w:color="auto" w:fill="7583BD"/>
            <w:vAlign w:val="center"/>
          </w:tcPr>
          <w:p w14:paraId="01922A94" w14:textId="77777777" w:rsidR="00327BF9" w:rsidRPr="00E91BAA" w:rsidRDefault="00327BF9" w:rsidP="004B1D7C">
            <w:pPr>
              <w:spacing w:before="40" w:after="40" w:line="320" w:lineRule="atLeast"/>
              <w:rPr>
                <w:rFonts w:ascii="Verdana" w:hAnsi="Verdana"/>
                <w:b/>
                <w:sz w:val="16"/>
                <w:szCs w:val="16"/>
              </w:rPr>
            </w:pPr>
            <w:r w:rsidRPr="00E91BAA">
              <w:rPr>
                <w:rFonts w:ascii="Verdana" w:hAnsi="Verdana"/>
                <w:b/>
                <w:color w:val="FFFFFF" w:themeColor="background1"/>
                <w:sz w:val="16"/>
                <w:szCs w:val="16"/>
              </w:rPr>
              <w:t>Bond (fixed interest)</w:t>
            </w:r>
          </w:p>
        </w:tc>
      </w:tr>
      <w:tr w:rsidR="00327BF9" w:rsidRPr="00253513" w14:paraId="4F1192B0" w14:textId="77777777" w:rsidTr="004B1D7C">
        <w:tc>
          <w:tcPr>
            <w:tcW w:w="4536" w:type="dxa"/>
          </w:tcPr>
          <w:p w14:paraId="212E9934" w14:textId="77777777" w:rsidR="00327BF9" w:rsidRPr="00253513" w:rsidRDefault="00327BF9" w:rsidP="004B1D7C">
            <w:pPr>
              <w:spacing w:before="40" w:after="40" w:line="320" w:lineRule="atLeast"/>
              <w:rPr>
                <w:rFonts w:ascii="Verdana" w:hAnsi="Verdana"/>
                <w:b/>
                <w:sz w:val="16"/>
                <w:szCs w:val="16"/>
              </w:rPr>
            </w:pPr>
            <w:r>
              <w:rPr>
                <w:rFonts w:ascii="Verdana" w:hAnsi="Verdana"/>
                <w:b/>
                <w:sz w:val="16"/>
                <w:szCs w:val="16"/>
              </w:rPr>
              <w:t>All Bond Index</w:t>
            </w:r>
          </w:p>
        </w:tc>
        <w:tc>
          <w:tcPr>
            <w:tcW w:w="1134" w:type="dxa"/>
          </w:tcPr>
          <w:p w14:paraId="13B82E0B" w14:textId="5AA9309C" w:rsidR="00327BF9" w:rsidRPr="00253513" w:rsidRDefault="0092286E" w:rsidP="004B1D7C">
            <w:pPr>
              <w:tabs>
                <w:tab w:val="left" w:pos="1050"/>
              </w:tabs>
              <w:spacing w:before="40" w:after="40" w:line="320" w:lineRule="atLeast"/>
              <w:jc w:val="center"/>
              <w:rPr>
                <w:rFonts w:ascii="Verdana" w:hAnsi="Verdana"/>
                <w:b/>
                <w:sz w:val="16"/>
                <w:szCs w:val="16"/>
              </w:rPr>
            </w:pPr>
            <w:r>
              <w:rPr>
                <w:rFonts w:ascii="Verdana" w:hAnsi="Verdana"/>
                <w:b/>
                <w:sz w:val="16"/>
                <w:szCs w:val="16"/>
              </w:rPr>
              <w:t>(1,27%)</w:t>
            </w:r>
          </w:p>
        </w:tc>
        <w:tc>
          <w:tcPr>
            <w:tcW w:w="1276" w:type="dxa"/>
          </w:tcPr>
          <w:p w14:paraId="1BCB20C8" w14:textId="36ADE2E7"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(3,76%)</w:t>
            </w:r>
          </w:p>
        </w:tc>
        <w:tc>
          <w:tcPr>
            <w:tcW w:w="1134" w:type="dxa"/>
          </w:tcPr>
          <w:p w14:paraId="5AB568C1" w14:textId="4D72C0D3"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3,99%</w:t>
            </w:r>
          </w:p>
        </w:tc>
        <w:tc>
          <w:tcPr>
            <w:tcW w:w="1134" w:type="dxa"/>
          </w:tcPr>
          <w:p w14:paraId="7C80949E" w14:textId="3E483C3B"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9,67%</w:t>
            </w:r>
          </w:p>
        </w:tc>
        <w:tc>
          <w:tcPr>
            <w:tcW w:w="1134" w:type="dxa"/>
          </w:tcPr>
          <w:p w14:paraId="6BD26FCD" w14:textId="5FDD1FF9"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8,86%</w:t>
            </w:r>
          </w:p>
        </w:tc>
        <w:tc>
          <w:tcPr>
            <w:tcW w:w="1134" w:type="dxa"/>
            <w:shd w:val="clear" w:color="auto" w:fill="auto"/>
          </w:tcPr>
          <w:p w14:paraId="0317F5CD" w14:textId="63DA7F48"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7,92%</w:t>
            </w:r>
          </w:p>
        </w:tc>
        <w:tc>
          <w:tcPr>
            <w:tcW w:w="1134" w:type="dxa"/>
            <w:shd w:val="clear" w:color="auto" w:fill="auto"/>
          </w:tcPr>
          <w:p w14:paraId="493D635B" w14:textId="01A7DA4E"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7,39%</w:t>
            </w:r>
          </w:p>
        </w:tc>
        <w:tc>
          <w:tcPr>
            <w:tcW w:w="1134" w:type="dxa"/>
          </w:tcPr>
          <w:p w14:paraId="53198881" w14:textId="0150D6FC"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8,23%</w:t>
            </w:r>
          </w:p>
        </w:tc>
        <w:tc>
          <w:tcPr>
            <w:tcW w:w="1134" w:type="dxa"/>
          </w:tcPr>
          <w:p w14:paraId="1596A3AB" w14:textId="2ACD4106"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9,75%</w:t>
            </w:r>
          </w:p>
        </w:tc>
      </w:tr>
      <w:tr w:rsidR="00327BF9" w:rsidRPr="00B81A28" w14:paraId="4953F13C" w14:textId="77777777" w:rsidTr="004B1D7C">
        <w:tc>
          <w:tcPr>
            <w:tcW w:w="4536" w:type="dxa"/>
          </w:tcPr>
          <w:p w14:paraId="70355349" w14:textId="77777777" w:rsidR="00327BF9" w:rsidRPr="00B81A28" w:rsidRDefault="00327BF9" w:rsidP="004B1D7C">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GOVI (Total Return)</w:t>
            </w:r>
          </w:p>
        </w:tc>
        <w:tc>
          <w:tcPr>
            <w:tcW w:w="1134" w:type="dxa"/>
          </w:tcPr>
          <w:p w14:paraId="48C90032" w14:textId="755C27CA" w:rsidR="00327BF9" w:rsidRPr="00B81A28" w:rsidRDefault="00C058A8" w:rsidP="004B1D7C">
            <w:pPr>
              <w:tabs>
                <w:tab w:val="left" w:pos="1050"/>
              </w:tabs>
              <w:spacing w:before="40" w:after="40" w:line="320" w:lineRule="atLeast"/>
              <w:jc w:val="center"/>
              <w:rPr>
                <w:rFonts w:ascii="Verdana" w:hAnsi="Verdana"/>
                <w:sz w:val="16"/>
                <w:szCs w:val="16"/>
              </w:rPr>
            </w:pPr>
            <w:r>
              <w:rPr>
                <w:rFonts w:ascii="Verdana" w:hAnsi="Verdana"/>
                <w:sz w:val="16"/>
                <w:szCs w:val="16"/>
              </w:rPr>
              <w:t>(1,36%)</w:t>
            </w:r>
          </w:p>
        </w:tc>
        <w:tc>
          <w:tcPr>
            <w:tcW w:w="1276" w:type="dxa"/>
          </w:tcPr>
          <w:p w14:paraId="62194E8F" w14:textId="75D1E9B0"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(4,02%)</w:t>
            </w:r>
          </w:p>
        </w:tc>
        <w:tc>
          <w:tcPr>
            <w:tcW w:w="1134" w:type="dxa"/>
          </w:tcPr>
          <w:p w14:paraId="7FE7C054" w14:textId="0F4D58B2"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3,26%</w:t>
            </w:r>
          </w:p>
        </w:tc>
        <w:tc>
          <w:tcPr>
            <w:tcW w:w="1134" w:type="dxa"/>
          </w:tcPr>
          <w:p w14:paraId="78CA446F" w14:textId="1FECB89B"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8,77%</w:t>
            </w:r>
          </w:p>
        </w:tc>
        <w:tc>
          <w:tcPr>
            <w:tcW w:w="1134" w:type="dxa"/>
          </w:tcPr>
          <w:p w14:paraId="02B04226" w14:textId="7C09BC38"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8,34%</w:t>
            </w:r>
          </w:p>
        </w:tc>
        <w:tc>
          <w:tcPr>
            <w:tcW w:w="1134" w:type="dxa"/>
            <w:shd w:val="clear" w:color="auto" w:fill="auto"/>
          </w:tcPr>
          <w:p w14:paraId="3EE66DF7" w14:textId="45429A91"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7,80%</w:t>
            </w:r>
          </w:p>
        </w:tc>
        <w:tc>
          <w:tcPr>
            <w:tcW w:w="1134" w:type="dxa"/>
            <w:shd w:val="clear" w:color="auto" w:fill="auto"/>
          </w:tcPr>
          <w:p w14:paraId="2915857C" w14:textId="4084B5DD"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7,03%</w:t>
            </w:r>
          </w:p>
        </w:tc>
        <w:tc>
          <w:tcPr>
            <w:tcW w:w="1134" w:type="dxa"/>
          </w:tcPr>
          <w:p w14:paraId="39AEADFB"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7D55380B"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r>
      <w:tr w:rsidR="00327BF9" w:rsidRPr="00B81A28" w14:paraId="7B20EAC0" w14:textId="77777777" w:rsidTr="004B1D7C">
        <w:tc>
          <w:tcPr>
            <w:tcW w:w="4536" w:type="dxa"/>
          </w:tcPr>
          <w:p w14:paraId="345A72B9" w14:textId="77777777" w:rsidR="00327BF9" w:rsidRPr="00B81A28" w:rsidRDefault="00327BF9" w:rsidP="004B1D7C">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ILBI (Inflation-Linked) (TR)</w:t>
            </w:r>
          </w:p>
        </w:tc>
        <w:tc>
          <w:tcPr>
            <w:tcW w:w="1134" w:type="dxa"/>
          </w:tcPr>
          <w:p w14:paraId="0CEFFA94" w14:textId="1285A673" w:rsidR="00327BF9" w:rsidRPr="00B81A28" w:rsidRDefault="00C058A8" w:rsidP="004B1D7C">
            <w:pPr>
              <w:tabs>
                <w:tab w:val="left" w:pos="1050"/>
              </w:tabs>
              <w:spacing w:before="40" w:after="40" w:line="320" w:lineRule="atLeast"/>
              <w:jc w:val="center"/>
              <w:rPr>
                <w:rFonts w:ascii="Verdana" w:hAnsi="Verdana"/>
                <w:sz w:val="16"/>
                <w:szCs w:val="16"/>
              </w:rPr>
            </w:pPr>
            <w:r>
              <w:rPr>
                <w:rFonts w:ascii="Verdana" w:hAnsi="Verdana"/>
                <w:sz w:val="16"/>
                <w:szCs w:val="16"/>
              </w:rPr>
              <w:t>(1,63%)</w:t>
            </w:r>
          </w:p>
        </w:tc>
        <w:tc>
          <w:tcPr>
            <w:tcW w:w="1276" w:type="dxa"/>
          </w:tcPr>
          <w:p w14:paraId="6D6CAB4C" w14:textId="0D3CA37E"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(4,71%)</w:t>
            </w:r>
          </w:p>
        </w:tc>
        <w:tc>
          <w:tcPr>
            <w:tcW w:w="1134" w:type="dxa"/>
          </w:tcPr>
          <w:p w14:paraId="7CF470E7" w14:textId="7E9D5132"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(0,91%)</w:t>
            </w:r>
          </w:p>
        </w:tc>
        <w:tc>
          <w:tcPr>
            <w:tcW w:w="1134" w:type="dxa"/>
          </w:tcPr>
          <w:p w14:paraId="489C3625" w14:textId="32052434"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0,94%</w:t>
            </w:r>
          </w:p>
        </w:tc>
        <w:tc>
          <w:tcPr>
            <w:tcW w:w="1134" w:type="dxa"/>
          </w:tcPr>
          <w:p w14:paraId="2BD5F665" w14:textId="71570366"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0,28%</w:t>
            </w:r>
          </w:p>
        </w:tc>
        <w:tc>
          <w:tcPr>
            <w:tcW w:w="1134" w:type="dxa"/>
            <w:shd w:val="clear" w:color="auto" w:fill="auto"/>
          </w:tcPr>
          <w:p w14:paraId="4A5A4912" w14:textId="25F8CF00"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2,84%</w:t>
            </w:r>
          </w:p>
        </w:tc>
        <w:tc>
          <w:tcPr>
            <w:tcW w:w="1134" w:type="dxa"/>
            <w:shd w:val="clear" w:color="auto" w:fill="auto"/>
          </w:tcPr>
          <w:p w14:paraId="04B22337" w14:textId="4BD035B4" w:rsidR="00327BF9" w:rsidRPr="00B81A28" w:rsidRDefault="00C058A8" w:rsidP="004B1D7C">
            <w:pPr>
              <w:spacing w:before="40" w:after="40" w:line="320" w:lineRule="atLeast"/>
              <w:jc w:val="center"/>
              <w:rPr>
                <w:rFonts w:ascii="Verdana" w:hAnsi="Verdana"/>
                <w:sz w:val="16"/>
                <w:szCs w:val="16"/>
              </w:rPr>
            </w:pPr>
            <w:r>
              <w:rPr>
                <w:rFonts w:ascii="Verdana" w:hAnsi="Verdana"/>
                <w:sz w:val="16"/>
                <w:szCs w:val="16"/>
              </w:rPr>
              <w:t>4,95%</w:t>
            </w:r>
          </w:p>
        </w:tc>
        <w:tc>
          <w:tcPr>
            <w:tcW w:w="1134" w:type="dxa"/>
          </w:tcPr>
          <w:p w14:paraId="40FDA921"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5E4E4103"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r>
      <w:tr w:rsidR="00327BF9" w:rsidRPr="00B81A28" w14:paraId="4AD777B7" w14:textId="77777777" w:rsidTr="004B1D7C">
        <w:tc>
          <w:tcPr>
            <w:tcW w:w="4536" w:type="dxa"/>
          </w:tcPr>
          <w:p w14:paraId="38DABFB6" w14:textId="77777777" w:rsidR="00327BF9" w:rsidRPr="00B81A28" w:rsidRDefault="00327BF9" w:rsidP="004B1D7C">
            <w:pPr>
              <w:spacing w:before="40" w:after="40" w:line="320" w:lineRule="atLeast"/>
              <w:rPr>
                <w:rFonts w:ascii="Verdana" w:hAnsi="Verdana"/>
                <w:sz w:val="16"/>
                <w:szCs w:val="16"/>
              </w:rPr>
            </w:pPr>
            <w:r w:rsidRPr="00B81A28">
              <w:rPr>
                <w:rFonts w:ascii="Verdana" w:hAnsi="Verdana"/>
                <w:sz w:val="16"/>
                <w:szCs w:val="16"/>
              </w:rPr>
              <w:t xml:space="preserve">Ashburton Government Inflation </w:t>
            </w:r>
          </w:p>
        </w:tc>
        <w:tc>
          <w:tcPr>
            <w:tcW w:w="1134" w:type="dxa"/>
          </w:tcPr>
          <w:p w14:paraId="3AF97B9D" w14:textId="7F8766CD" w:rsidR="00327BF9" w:rsidRPr="00B81A28" w:rsidRDefault="0092286E" w:rsidP="004B1D7C">
            <w:pPr>
              <w:tabs>
                <w:tab w:val="left" w:pos="1050"/>
              </w:tabs>
              <w:spacing w:before="40" w:after="40" w:line="320" w:lineRule="atLeast"/>
              <w:jc w:val="center"/>
              <w:rPr>
                <w:rFonts w:ascii="Verdana" w:hAnsi="Verdana"/>
                <w:sz w:val="16"/>
                <w:szCs w:val="16"/>
              </w:rPr>
            </w:pPr>
            <w:r>
              <w:rPr>
                <w:rFonts w:ascii="Verdana" w:hAnsi="Verdana"/>
                <w:sz w:val="16"/>
                <w:szCs w:val="16"/>
              </w:rPr>
              <w:t>(1,63%)</w:t>
            </w:r>
          </w:p>
        </w:tc>
        <w:tc>
          <w:tcPr>
            <w:tcW w:w="1276" w:type="dxa"/>
          </w:tcPr>
          <w:p w14:paraId="10080F5A" w14:textId="25420BA7"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(4,75%)</w:t>
            </w:r>
          </w:p>
        </w:tc>
        <w:tc>
          <w:tcPr>
            <w:tcW w:w="1134" w:type="dxa"/>
          </w:tcPr>
          <w:p w14:paraId="2041B6F4" w14:textId="0A377936"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(0,91%)</w:t>
            </w:r>
          </w:p>
        </w:tc>
        <w:tc>
          <w:tcPr>
            <w:tcW w:w="1134" w:type="dxa"/>
          </w:tcPr>
          <w:p w14:paraId="14147E84" w14:textId="4CAD84FF"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0,90%</w:t>
            </w:r>
          </w:p>
        </w:tc>
        <w:tc>
          <w:tcPr>
            <w:tcW w:w="1134" w:type="dxa"/>
          </w:tcPr>
          <w:p w14:paraId="7146598E" w14:textId="20467240"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0,27%</w:t>
            </w:r>
          </w:p>
        </w:tc>
        <w:tc>
          <w:tcPr>
            <w:tcW w:w="1134" w:type="dxa"/>
            <w:shd w:val="clear" w:color="auto" w:fill="auto"/>
          </w:tcPr>
          <w:p w14:paraId="32E680FE" w14:textId="6D086FFB"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2,78%</w:t>
            </w:r>
          </w:p>
        </w:tc>
        <w:tc>
          <w:tcPr>
            <w:tcW w:w="1134" w:type="dxa"/>
            <w:shd w:val="clear" w:color="auto" w:fill="auto"/>
          </w:tcPr>
          <w:p w14:paraId="4FEF5309" w14:textId="28479843"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4,82%</w:t>
            </w:r>
          </w:p>
        </w:tc>
        <w:tc>
          <w:tcPr>
            <w:tcW w:w="1134" w:type="dxa"/>
          </w:tcPr>
          <w:p w14:paraId="2B51540A" w14:textId="225D5870"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6,55%</w:t>
            </w:r>
          </w:p>
        </w:tc>
        <w:tc>
          <w:tcPr>
            <w:tcW w:w="1134" w:type="dxa"/>
          </w:tcPr>
          <w:p w14:paraId="6A11E051"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r>
      <w:tr w:rsidR="00327BF9" w:rsidRPr="00B81A28" w14:paraId="55835B0B" w14:textId="77777777" w:rsidTr="004B1D7C">
        <w:tc>
          <w:tcPr>
            <w:tcW w:w="4536" w:type="dxa"/>
          </w:tcPr>
          <w:p w14:paraId="47187DB9" w14:textId="77777777" w:rsidR="00327BF9" w:rsidRPr="00B81A28" w:rsidRDefault="00327BF9" w:rsidP="004B1D7C">
            <w:pPr>
              <w:spacing w:before="40" w:after="40" w:line="320" w:lineRule="atLeast"/>
              <w:rPr>
                <w:rFonts w:ascii="Verdana" w:hAnsi="Verdana"/>
                <w:sz w:val="16"/>
                <w:szCs w:val="16"/>
              </w:rPr>
            </w:pPr>
            <w:r>
              <w:rPr>
                <w:rFonts w:ascii="Verdana" w:hAnsi="Verdana"/>
                <w:sz w:val="16"/>
                <w:szCs w:val="16"/>
              </w:rPr>
              <w:t>Satrix Inflation-Linked Bond (ILBI)</w:t>
            </w:r>
          </w:p>
        </w:tc>
        <w:tc>
          <w:tcPr>
            <w:tcW w:w="1134" w:type="dxa"/>
            <w:vAlign w:val="center"/>
          </w:tcPr>
          <w:p w14:paraId="119BFEAC" w14:textId="5885A83E" w:rsidR="00327BF9" w:rsidRPr="00B81A28" w:rsidRDefault="0092286E" w:rsidP="004B1D7C">
            <w:pPr>
              <w:tabs>
                <w:tab w:val="left" w:pos="1050"/>
              </w:tabs>
              <w:spacing w:before="40" w:after="40" w:line="320" w:lineRule="atLeast"/>
              <w:jc w:val="center"/>
              <w:rPr>
                <w:rFonts w:ascii="Verdana" w:hAnsi="Verdana"/>
                <w:sz w:val="16"/>
                <w:szCs w:val="16"/>
              </w:rPr>
            </w:pPr>
            <w:r>
              <w:rPr>
                <w:rFonts w:ascii="Verdana" w:hAnsi="Verdana"/>
                <w:sz w:val="16"/>
                <w:szCs w:val="16"/>
              </w:rPr>
              <w:t>(1,67%)</w:t>
            </w:r>
          </w:p>
        </w:tc>
        <w:tc>
          <w:tcPr>
            <w:tcW w:w="1276" w:type="dxa"/>
            <w:vAlign w:val="center"/>
          </w:tcPr>
          <w:p w14:paraId="2885C582" w14:textId="26C707ED"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(4,68%)</w:t>
            </w:r>
          </w:p>
        </w:tc>
        <w:tc>
          <w:tcPr>
            <w:tcW w:w="1134" w:type="dxa"/>
            <w:vAlign w:val="center"/>
          </w:tcPr>
          <w:p w14:paraId="2EF6C878" w14:textId="6405B2AD"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(0,81%)</w:t>
            </w:r>
          </w:p>
        </w:tc>
        <w:tc>
          <w:tcPr>
            <w:tcW w:w="1134" w:type="dxa"/>
            <w:vAlign w:val="center"/>
          </w:tcPr>
          <w:p w14:paraId="4C757EEE" w14:textId="0C894924"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1,66%</w:t>
            </w:r>
          </w:p>
        </w:tc>
        <w:tc>
          <w:tcPr>
            <w:tcW w:w="1134" w:type="dxa"/>
            <w:vAlign w:val="center"/>
          </w:tcPr>
          <w:p w14:paraId="52935A69" w14:textId="77777777" w:rsidR="00327BF9" w:rsidRPr="00B81A28" w:rsidRDefault="00327BF9" w:rsidP="004B1D7C">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A0041D6" w14:textId="77777777" w:rsidR="00327BF9" w:rsidRPr="00B81A28" w:rsidRDefault="00327BF9" w:rsidP="004B1D7C">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6EAAAD2" w14:textId="77777777" w:rsidR="00327BF9" w:rsidRPr="00B81A28" w:rsidRDefault="00327BF9" w:rsidP="004B1D7C">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23A832B3" w14:textId="77777777" w:rsidR="00327BF9" w:rsidRPr="00B81A28" w:rsidRDefault="00327BF9" w:rsidP="004B1D7C">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06ADD2F9" w14:textId="77777777" w:rsidR="00327BF9" w:rsidRPr="00B81A28" w:rsidRDefault="00327BF9" w:rsidP="004B1D7C">
            <w:pPr>
              <w:spacing w:before="40" w:after="40" w:line="320" w:lineRule="atLeast"/>
              <w:jc w:val="center"/>
              <w:rPr>
                <w:rFonts w:ascii="Verdana" w:hAnsi="Verdana"/>
                <w:sz w:val="16"/>
                <w:szCs w:val="16"/>
              </w:rPr>
            </w:pPr>
            <w:r>
              <w:rPr>
                <w:rFonts w:ascii="Verdana" w:hAnsi="Verdana"/>
                <w:sz w:val="16"/>
                <w:szCs w:val="16"/>
              </w:rPr>
              <w:t>-</w:t>
            </w:r>
          </w:p>
        </w:tc>
      </w:tr>
      <w:tr w:rsidR="00327BF9" w:rsidRPr="00B81A28" w14:paraId="1CE99365" w14:textId="77777777" w:rsidTr="004B1D7C">
        <w:tc>
          <w:tcPr>
            <w:tcW w:w="14884" w:type="dxa"/>
            <w:gridSpan w:val="10"/>
            <w:shd w:val="clear" w:color="auto" w:fill="7583BD"/>
          </w:tcPr>
          <w:p w14:paraId="2B48A4DE" w14:textId="77777777" w:rsidR="00327BF9" w:rsidRPr="007637F2" w:rsidRDefault="00327BF9" w:rsidP="004B1D7C">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Listed Property</w:t>
            </w:r>
          </w:p>
        </w:tc>
      </w:tr>
      <w:tr w:rsidR="00327BF9" w:rsidRPr="00253513" w14:paraId="31E5E624" w14:textId="77777777" w:rsidTr="004B1D7C">
        <w:tc>
          <w:tcPr>
            <w:tcW w:w="4536" w:type="dxa"/>
          </w:tcPr>
          <w:p w14:paraId="47C84CC1" w14:textId="77777777" w:rsidR="00327BF9" w:rsidRPr="00253513" w:rsidRDefault="00327BF9" w:rsidP="004B1D7C">
            <w:pPr>
              <w:spacing w:before="40" w:after="40" w:line="320" w:lineRule="atLeast"/>
              <w:rPr>
                <w:rFonts w:ascii="Verdana" w:hAnsi="Verdana"/>
                <w:b/>
                <w:sz w:val="16"/>
                <w:szCs w:val="16"/>
              </w:rPr>
            </w:pPr>
            <w:r>
              <w:rPr>
                <w:rFonts w:ascii="Verdana" w:hAnsi="Verdana"/>
                <w:b/>
                <w:sz w:val="16"/>
                <w:szCs w:val="16"/>
              </w:rPr>
              <w:t>SA Listed Property Index (SAPY)</w:t>
            </w:r>
          </w:p>
        </w:tc>
        <w:tc>
          <w:tcPr>
            <w:tcW w:w="1134" w:type="dxa"/>
          </w:tcPr>
          <w:p w14:paraId="6A355164" w14:textId="2318F8D6" w:rsidR="00327BF9" w:rsidRPr="00253513" w:rsidRDefault="0092286E" w:rsidP="004B1D7C">
            <w:pPr>
              <w:tabs>
                <w:tab w:val="left" w:pos="1050"/>
              </w:tabs>
              <w:spacing w:before="40" w:after="40" w:line="320" w:lineRule="atLeast"/>
              <w:jc w:val="center"/>
              <w:rPr>
                <w:rFonts w:ascii="Verdana" w:hAnsi="Verdana"/>
                <w:b/>
                <w:sz w:val="16"/>
                <w:szCs w:val="16"/>
              </w:rPr>
            </w:pPr>
            <w:r>
              <w:rPr>
                <w:rFonts w:ascii="Verdana" w:hAnsi="Verdana"/>
                <w:b/>
                <w:sz w:val="16"/>
                <w:szCs w:val="16"/>
              </w:rPr>
              <w:t>(2,76%)</w:t>
            </w:r>
          </w:p>
        </w:tc>
        <w:tc>
          <w:tcPr>
            <w:tcW w:w="1276" w:type="dxa"/>
          </w:tcPr>
          <w:p w14:paraId="1A805BE5" w14:textId="48774CC2"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(2,19%)</w:t>
            </w:r>
          </w:p>
        </w:tc>
        <w:tc>
          <w:tcPr>
            <w:tcW w:w="1134" w:type="dxa"/>
          </w:tcPr>
          <w:p w14:paraId="49522F9D" w14:textId="44C2513E"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(21,37%)</w:t>
            </w:r>
          </w:p>
        </w:tc>
        <w:tc>
          <w:tcPr>
            <w:tcW w:w="1134" w:type="dxa"/>
          </w:tcPr>
          <w:p w14:paraId="70F9888D" w14:textId="25906496"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(9,87%)</w:t>
            </w:r>
          </w:p>
        </w:tc>
        <w:tc>
          <w:tcPr>
            <w:tcW w:w="1134" w:type="dxa"/>
          </w:tcPr>
          <w:p w14:paraId="2FF8865B" w14:textId="40EF6CBA"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3,53%</w:t>
            </w:r>
          </w:p>
        </w:tc>
        <w:tc>
          <w:tcPr>
            <w:tcW w:w="1134" w:type="dxa"/>
            <w:shd w:val="clear" w:color="auto" w:fill="auto"/>
          </w:tcPr>
          <w:p w14:paraId="6C4711B8" w14:textId="240219C6"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1,32%</w:t>
            </w:r>
          </w:p>
        </w:tc>
        <w:tc>
          <w:tcPr>
            <w:tcW w:w="1134" w:type="dxa"/>
            <w:shd w:val="clear" w:color="auto" w:fill="auto"/>
          </w:tcPr>
          <w:p w14:paraId="7D7FB6AD" w14:textId="7D21BA25"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6,71%</w:t>
            </w:r>
          </w:p>
        </w:tc>
        <w:tc>
          <w:tcPr>
            <w:tcW w:w="1134" w:type="dxa"/>
          </w:tcPr>
          <w:p w14:paraId="27900E59" w14:textId="16B58485"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11,65%</w:t>
            </w:r>
          </w:p>
        </w:tc>
        <w:tc>
          <w:tcPr>
            <w:tcW w:w="1134" w:type="dxa"/>
          </w:tcPr>
          <w:p w14:paraId="5C833DC7" w14:textId="4FFB069E" w:rsidR="00327BF9" w:rsidRPr="00253513" w:rsidRDefault="0092286E" w:rsidP="004B1D7C">
            <w:pPr>
              <w:spacing w:before="40" w:after="40" w:line="320" w:lineRule="atLeast"/>
              <w:jc w:val="center"/>
              <w:rPr>
                <w:rFonts w:ascii="Verdana" w:hAnsi="Verdana"/>
                <w:b/>
                <w:sz w:val="16"/>
                <w:szCs w:val="16"/>
              </w:rPr>
            </w:pPr>
            <w:r>
              <w:rPr>
                <w:rFonts w:ascii="Verdana" w:hAnsi="Verdana"/>
                <w:b/>
                <w:sz w:val="16"/>
                <w:szCs w:val="16"/>
              </w:rPr>
              <w:t>16,06%</w:t>
            </w:r>
          </w:p>
        </w:tc>
      </w:tr>
      <w:tr w:rsidR="00327BF9" w:rsidRPr="00B81A28" w14:paraId="59DAB611" w14:textId="77777777" w:rsidTr="004B1D7C">
        <w:tc>
          <w:tcPr>
            <w:tcW w:w="4536" w:type="dxa"/>
          </w:tcPr>
          <w:p w14:paraId="5BBACDAA" w14:textId="77777777" w:rsidR="00327BF9" w:rsidRPr="00B81A28" w:rsidRDefault="00327BF9" w:rsidP="004B1D7C">
            <w:pPr>
              <w:spacing w:before="40" w:after="40" w:line="320" w:lineRule="atLeast"/>
              <w:rPr>
                <w:rFonts w:ascii="Verdana" w:hAnsi="Verdana"/>
                <w:sz w:val="16"/>
                <w:szCs w:val="16"/>
              </w:rPr>
            </w:pPr>
            <w:r w:rsidRPr="00B81A28">
              <w:rPr>
                <w:rFonts w:ascii="Verdana" w:hAnsi="Verdana"/>
                <w:sz w:val="16"/>
                <w:szCs w:val="16"/>
              </w:rPr>
              <w:t>CoreShares PropTrax SAPY</w:t>
            </w:r>
          </w:p>
        </w:tc>
        <w:tc>
          <w:tcPr>
            <w:tcW w:w="1134" w:type="dxa"/>
          </w:tcPr>
          <w:p w14:paraId="2870E3C0" w14:textId="11063E51" w:rsidR="00327BF9" w:rsidRPr="00B81A28" w:rsidRDefault="0092286E" w:rsidP="004B1D7C">
            <w:pPr>
              <w:tabs>
                <w:tab w:val="left" w:pos="1050"/>
              </w:tabs>
              <w:spacing w:before="40" w:after="40" w:line="320" w:lineRule="atLeast"/>
              <w:jc w:val="center"/>
              <w:rPr>
                <w:rFonts w:ascii="Verdana" w:hAnsi="Verdana"/>
                <w:sz w:val="16"/>
                <w:szCs w:val="16"/>
              </w:rPr>
            </w:pPr>
            <w:r>
              <w:rPr>
                <w:rFonts w:ascii="Verdana" w:hAnsi="Verdana"/>
                <w:sz w:val="16"/>
                <w:szCs w:val="16"/>
              </w:rPr>
              <w:t>(2,86%)</w:t>
            </w:r>
          </w:p>
        </w:tc>
        <w:tc>
          <w:tcPr>
            <w:tcW w:w="1276" w:type="dxa"/>
          </w:tcPr>
          <w:p w14:paraId="0DDE134C" w14:textId="2A22CDE5"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(2,45%)</w:t>
            </w:r>
          </w:p>
        </w:tc>
        <w:tc>
          <w:tcPr>
            <w:tcW w:w="1134" w:type="dxa"/>
          </w:tcPr>
          <w:p w14:paraId="1B96F638" w14:textId="5FD86F03"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(22,00%)</w:t>
            </w:r>
          </w:p>
        </w:tc>
        <w:tc>
          <w:tcPr>
            <w:tcW w:w="1134" w:type="dxa"/>
          </w:tcPr>
          <w:p w14:paraId="0970913F" w14:textId="50520566"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(10,12%)</w:t>
            </w:r>
          </w:p>
        </w:tc>
        <w:tc>
          <w:tcPr>
            <w:tcW w:w="1134" w:type="dxa"/>
          </w:tcPr>
          <w:p w14:paraId="3E80DBA1" w14:textId="2E653F15"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(4,43%)</w:t>
            </w:r>
          </w:p>
        </w:tc>
        <w:tc>
          <w:tcPr>
            <w:tcW w:w="1134" w:type="dxa"/>
            <w:shd w:val="clear" w:color="auto" w:fill="auto"/>
          </w:tcPr>
          <w:p w14:paraId="70767CBD" w14:textId="5D8E2226"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0,91%</w:t>
            </w:r>
          </w:p>
        </w:tc>
        <w:tc>
          <w:tcPr>
            <w:tcW w:w="1134" w:type="dxa"/>
            <w:shd w:val="clear" w:color="auto" w:fill="auto"/>
          </w:tcPr>
          <w:p w14:paraId="0C9C42EB" w14:textId="63C6FA25"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6,86%</w:t>
            </w:r>
          </w:p>
        </w:tc>
        <w:tc>
          <w:tcPr>
            <w:tcW w:w="1134" w:type="dxa"/>
          </w:tcPr>
          <w:p w14:paraId="61BFE658" w14:textId="625FF8FC"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11,00%</w:t>
            </w:r>
          </w:p>
        </w:tc>
        <w:tc>
          <w:tcPr>
            <w:tcW w:w="1134" w:type="dxa"/>
          </w:tcPr>
          <w:p w14:paraId="19F4A7EC" w14:textId="6F5D8311" w:rsidR="00327BF9" w:rsidRPr="00B81A28" w:rsidRDefault="0092286E" w:rsidP="004B1D7C">
            <w:pPr>
              <w:spacing w:before="40" w:after="40" w:line="320" w:lineRule="atLeast"/>
              <w:jc w:val="center"/>
              <w:rPr>
                <w:rFonts w:ascii="Verdana" w:hAnsi="Verdana"/>
                <w:sz w:val="16"/>
                <w:szCs w:val="16"/>
              </w:rPr>
            </w:pPr>
            <w:r>
              <w:rPr>
                <w:rFonts w:ascii="Verdana" w:hAnsi="Verdana"/>
                <w:sz w:val="16"/>
                <w:szCs w:val="16"/>
              </w:rPr>
              <w:t>15,27%</w:t>
            </w:r>
          </w:p>
        </w:tc>
      </w:tr>
      <w:tr w:rsidR="00327BF9" w:rsidRPr="00B81A28" w14:paraId="1D268708" w14:textId="77777777" w:rsidTr="004B1D7C">
        <w:tc>
          <w:tcPr>
            <w:tcW w:w="4536" w:type="dxa"/>
          </w:tcPr>
          <w:p w14:paraId="36877FE5" w14:textId="77777777" w:rsidR="00327BF9" w:rsidRPr="00B81A28" w:rsidRDefault="00327BF9" w:rsidP="004B1D7C">
            <w:pPr>
              <w:spacing w:before="40" w:after="40" w:line="320" w:lineRule="atLeast"/>
              <w:rPr>
                <w:rFonts w:ascii="Verdana" w:hAnsi="Verdana"/>
                <w:sz w:val="16"/>
                <w:szCs w:val="16"/>
              </w:rPr>
            </w:pPr>
            <w:r w:rsidRPr="00B81A28">
              <w:rPr>
                <w:rFonts w:ascii="Verdana" w:hAnsi="Verdana"/>
                <w:sz w:val="16"/>
                <w:szCs w:val="16"/>
              </w:rPr>
              <w:t>CoreShares PropTrax TEN</w:t>
            </w:r>
          </w:p>
        </w:tc>
        <w:tc>
          <w:tcPr>
            <w:tcW w:w="1134" w:type="dxa"/>
          </w:tcPr>
          <w:p w14:paraId="0742463E" w14:textId="7244D880" w:rsidR="00327BF9" w:rsidRPr="00B81A28" w:rsidRDefault="005D5AA4" w:rsidP="004B1D7C">
            <w:pPr>
              <w:tabs>
                <w:tab w:val="left" w:pos="1050"/>
              </w:tabs>
              <w:spacing w:before="40" w:after="40" w:line="320" w:lineRule="atLeast"/>
              <w:jc w:val="center"/>
              <w:rPr>
                <w:rFonts w:ascii="Verdana" w:hAnsi="Verdana"/>
                <w:sz w:val="16"/>
                <w:szCs w:val="16"/>
              </w:rPr>
            </w:pPr>
            <w:r>
              <w:rPr>
                <w:rFonts w:ascii="Verdana" w:hAnsi="Verdana"/>
                <w:sz w:val="16"/>
                <w:szCs w:val="16"/>
              </w:rPr>
              <w:t>(2,49%)</w:t>
            </w:r>
          </w:p>
        </w:tc>
        <w:tc>
          <w:tcPr>
            <w:tcW w:w="1276" w:type="dxa"/>
          </w:tcPr>
          <w:p w14:paraId="148D6808" w14:textId="12064EB8" w:rsidR="00327BF9" w:rsidRPr="00B81A28" w:rsidRDefault="005D5AA4" w:rsidP="004B1D7C">
            <w:pPr>
              <w:spacing w:before="40" w:after="40" w:line="320" w:lineRule="atLeast"/>
              <w:jc w:val="center"/>
              <w:rPr>
                <w:rFonts w:ascii="Verdana" w:hAnsi="Verdana"/>
                <w:sz w:val="16"/>
                <w:szCs w:val="16"/>
              </w:rPr>
            </w:pPr>
            <w:r>
              <w:rPr>
                <w:rFonts w:ascii="Verdana" w:hAnsi="Verdana"/>
                <w:sz w:val="16"/>
                <w:szCs w:val="16"/>
              </w:rPr>
              <w:t>(2,15%)</w:t>
            </w:r>
          </w:p>
        </w:tc>
        <w:tc>
          <w:tcPr>
            <w:tcW w:w="1134" w:type="dxa"/>
          </w:tcPr>
          <w:p w14:paraId="0FDCB488" w14:textId="24731BA8" w:rsidR="00327BF9" w:rsidRPr="00B81A28" w:rsidRDefault="005D5AA4" w:rsidP="004B1D7C">
            <w:pPr>
              <w:spacing w:before="40" w:after="40" w:line="320" w:lineRule="atLeast"/>
              <w:jc w:val="center"/>
              <w:rPr>
                <w:rFonts w:ascii="Verdana" w:hAnsi="Verdana"/>
                <w:sz w:val="16"/>
                <w:szCs w:val="16"/>
              </w:rPr>
            </w:pPr>
            <w:r>
              <w:rPr>
                <w:rFonts w:ascii="Verdana" w:hAnsi="Verdana"/>
                <w:sz w:val="16"/>
                <w:szCs w:val="16"/>
              </w:rPr>
              <w:t>(21,52%)</w:t>
            </w:r>
          </w:p>
        </w:tc>
        <w:tc>
          <w:tcPr>
            <w:tcW w:w="1134" w:type="dxa"/>
          </w:tcPr>
          <w:p w14:paraId="21066CAC" w14:textId="2B152D36" w:rsidR="00327BF9" w:rsidRPr="00B81A28" w:rsidRDefault="005D5AA4" w:rsidP="004B1D7C">
            <w:pPr>
              <w:spacing w:before="40" w:after="40" w:line="320" w:lineRule="atLeast"/>
              <w:jc w:val="center"/>
              <w:rPr>
                <w:rFonts w:ascii="Verdana" w:hAnsi="Verdana"/>
                <w:sz w:val="16"/>
                <w:szCs w:val="16"/>
              </w:rPr>
            </w:pPr>
            <w:r>
              <w:rPr>
                <w:rFonts w:ascii="Verdana" w:hAnsi="Verdana"/>
                <w:sz w:val="16"/>
                <w:szCs w:val="16"/>
              </w:rPr>
              <w:t>(13,21%)</w:t>
            </w:r>
          </w:p>
        </w:tc>
        <w:tc>
          <w:tcPr>
            <w:tcW w:w="1134" w:type="dxa"/>
          </w:tcPr>
          <w:p w14:paraId="0E83BCDB" w14:textId="00244633" w:rsidR="00327BF9" w:rsidRPr="00B81A28" w:rsidRDefault="005D5AA4" w:rsidP="004B1D7C">
            <w:pPr>
              <w:spacing w:before="40" w:after="40" w:line="320" w:lineRule="atLeast"/>
              <w:jc w:val="center"/>
              <w:rPr>
                <w:rFonts w:ascii="Verdana" w:hAnsi="Verdana"/>
                <w:sz w:val="16"/>
                <w:szCs w:val="16"/>
              </w:rPr>
            </w:pPr>
            <w:r>
              <w:rPr>
                <w:rFonts w:ascii="Verdana" w:hAnsi="Verdana"/>
                <w:sz w:val="16"/>
                <w:szCs w:val="16"/>
              </w:rPr>
              <w:t>(5,66%)</w:t>
            </w:r>
          </w:p>
        </w:tc>
        <w:tc>
          <w:tcPr>
            <w:tcW w:w="1134" w:type="dxa"/>
            <w:shd w:val="clear" w:color="auto" w:fill="auto"/>
          </w:tcPr>
          <w:p w14:paraId="6EF0E423" w14:textId="189C7E46" w:rsidR="00327BF9" w:rsidRPr="00B81A28" w:rsidRDefault="005D5AA4" w:rsidP="004B1D7C">
            <w:pPr>
              <w:spacing w:before="40" w:after="40" w:line="320" w:lineRule="atLeast"/>
              <w:jc w:val="center"/>
              <w:rPr>
                <w:rFonts w:ascii="Verdana" w:hAnsi="Verdana"/>
                <w:sz w:val="16"/>
                <w:szCs w:val="16"/>
              </w:rPr>
            </w:pPr>
            <w:r>
              <w:rPr>
                <w:rFonts w:ascii="Verdana" w:hAnsi="Verdana"/>
                <w:sz w:val="16"/>
                <w:szCs w:val="16"/>
              </w:rPr>
              <w:t>1,81%</w:t>
            </w:r>
          </w:p>
        </w:tc>
        <w:tc>
          <w:tcPr>
            <w:tcW w:w="1134" w:type="dxa"/>
            <w:shd w:val="clear" w:color="auto" w:fill="auto"/>
          </w:tcPr>
          <w:p w14:paraId="2A6D16F7" w14:textId="7BA590D5" w:rsidR="00327BF9" w:rsidRPr="00B81A28" w:rsidRDefault="005D5AA4" w:rsidP="004B1D7C">
            <w:pPr>
              <w:spacing w:before="40" w:after="40" w:line="320" w:lineRule="atLeast"/>
              <w:jc w:val="center"/>
              <w:rPr>
                <w:rFonts w:ascii="Verdana" w:hAnsi="Verdana"/>
                <w:sz w:val="16"/>
                <w:szCs w:val="16"/>
              </w:rPr>
            </w:pPr>
            <w:r>
              <w:rPr>
                <w:rFonts w:ascii="Verdana" w:hAnsi="Verdana"/>
                <w:sz w:val="16"/>
                <w:szCs w:val="16"/>
              </w:rPr>
              <w:t>8,15%</w:t>
            </w:r>
          </w:p>
        </w:tc>
        <w:tc>
          <w:tcPr>
            <w:tcW w:w="1134" w:type="dxa"/>
          </w:tcPr>
          <w:p w14:paraId="3616CC23" w14:textId="0FA6BE8F" w:rsidR="00327BF9" w:rsidRPr="00B81A28" w:rsidRDefault="005D5AA4" w:rsidP="004B1D7C">
            <w:pPr>
              <w:spacing w:before="40" w:after="40" w:line="320" w:lineRule="atLeast"/>
              <w:jc w:val="center"/>
              <w:rPr>
                <w:rFonts w:ascii="Verdana" w:hAnsi="Verdana"/>
                <w:sz w:val="16"/>
                <w:szCs w:val="16"/>
              </w:rPr>
            </w:pPr>
            <w:r>
              <w:rPr>
                <w:rFonts w:ascii="Verdana" w:hAnsi="Verdana"/>
                <w:sz w:val="16"/>
                <w:szCs w:val="16"/>
              </w:rPr>
              <w:t>12,04%</w:t>
            </w:r>
          </w:p>
        </w:tc>
        <w:tc>
          <w:tcPr>
            <w:tcW w:w="1134" w:type="dxa"/>
          </w:tcPr>
          <w:p w14:paraId="23A21C5B"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r>
      <w:tr w:rsidR="00327BF9" w:rsidRPr="00B81A28" w14:paraId="350CA4F3" w14:textId="77777777" w:rsidTr="004B1D7C">
        <w:tc>
          <w:tcPr>
            <w:tcW w:w="4536" w:type="dxa"/>
          </w:tcPr>
          <w:p w14:paraId="6A170BAE" w14:textId="77777777" w:rsidR="00327BF9" w:rsidRPr="00B81A28" w:rsidRDefault="00327BF9" w:rsidP="004B1D7C">
            <w:pPr>
              <w:spacing w:before="40" w:after="40" w:line="320" w:lineRule="atLeast"/>
              <w:rPr>
                <w:rFonts w:ascii="Verdana" w:hAnsi="Verdana"/>
                <w:sz w:val="16"/>
                <w:szCs w:val="16"/>
              </w:rPr>
            </w:pPr>
            <w:r w:rsidRPr="00B81A28">
              <w:rPr>
                <w:rFonts w:ascii="Verdana" w:hAnsi="Verdana"/>
                <w:sz w:val="16"/>
                <w:szCs w:val="16"/>
              </w:rPr>
              <w:t>Satrix Property</w:t>
            </w:r>
          </w:p>
        </w:tc>
        <w:tc>
          <w:tcPr>
            <w:tcW w:w="1134" w:type="dxa"/>
          </w:tcPr>
          <w:p w14:paraId="112800E2" w14:textId="0D8495CD" w:rsidR="00327BF9" w:rsidRPr="00B81A28" w:rsidRDefault="00AB10A1" w:rsidP="004B1D7C">
            <w:pPr>
              <w:tabs>
                <w:tab w:val="left" w:pos="1050"/>
              </w:tabs>
              <w:spacing w:before="40" w:after="40" w:line="320" w:lineRule="atLeast"/>
              <w:jc w:val="center"/>
              <w:rPr>
                <w:rFonts w:ascii="Verdana" w:hAnsi="Verdana"/>
                <w:sz w:val="16"/>
                <w:szCs w:val="16"/>
              </w:rPr>
            </w:pPr>
            <w:r>
              <w:rPr>
                <w:rFonts w:ascii="Verdana" w:hAnsi="Verdana"/>
                <w:sz w:val="16"/>
                <w:szCs w:val="16"/>
              </w:rPr>
              <w:t>(2,45%)</w:t>
            </w:r>
          </w:p>
        </w:tc>
        <w:tc>
          <w:tcPr>
            <w:tcW w:w="1276" w:type="dxa"/>
          </w:tcPr>
          <w:p w14:paraId="46B69C71" w14:textId="63B6BBAA" w:rsidR="00327BF9" w:rsidRPr="00B81A28" w:rsidRDefault="00AB10A1" w:rsidP="004B1D7C">
            <w:pPr>
              <w:spacing w:before="40" w:after="40" w:line="320" w:lineRule="atLeast"/>
              <w:jc w:val="center"/>
              <w:rPr>
                <w:rFonts w:ascii="Verdana" w:hAnsi="Verdana"/>
                <w:sz w:val="16"/>
                <w:szCs w:val="16"/>
              </w:rPr>
            </w:pPr>
            <w:r>
              <w:rPr>
                <w:rFonts w:ascii="Verdana" w:hAnsi="Verdana"/>
                <w:sz w:val="16"/>
                <w:szCs w:val="16"/>
              </w:rPr>
              <w:t>(0,80%)</w:t>
            </w:r>
          </w:p>
        </w:tc>
        <w:tc>
          <w:tcPr>
            <w:tcW w:w="1134" w:type="dxa"/>
          </w:tcPr>
          <w:p w14:paraId="669C79AF" w14:textId="61E9A22E" w:rsidR="00327BF9" w:rsidRPr="00B81A28" w:rsidRDefault="00AB10A1" w:rsidP="004B1D7C">
            <w:pPr>
              <w:spacing w:before="40" w:after="40" w:line="320" w:lineRule="atLeast"/>
              <w:jc w:val="center"/>
              <w:rPr>
                <w:rFonts w:ascii="Verdana" w:hAnsi="Verdana"/>
                <w:sz w:val="16"/>
                <w:szCs w:val="16"/>
              </w:rPr>
            </w:pPr>
            <w:r>
              <w:rPr>
                <w:rFonts w:ascii="Verdana" w:hAnsi="Verdana"/>
                <w:sz w:val="16"/>
                <w:szCs w:val="16"/>
              </w:rPr>
              <w:t>(14,49%)</w:t>
            </w:r>
          </w:p>
        </w:tc>
        <w:tc>
          <w:tcPr>
            <w:tcW w:w="1134" w:type="dxa"/>
          </w:tcPr>
          <w:p w14:paraId="1BF5183A" w14:textId="58D89E24" w:rsidR="00327BF9" w:rsidRPr="00B81A28" w:rsidRDefault="00AB10A1" w:rsidP="004B1D7C">
            <w:pPr>
              <w:spacing w:before="40" w:after="40" w:line="320" w:lineRule="atLeast"/>
              <w:jc w:val="center"/>
              <w:rPr>
                <w:rFonts w:ascii="Verdana" w:hAnsi="Verdana"/>
                <w:sz w:val="16"/>
                <w:szCs w:val="16"/>
              </w:rPr>
            </w:pPr>
            <w:r>
              <w:rPr>
                <w:rFonts w:ascii="Verdana" w:hAnsi="Verdana"/>
                <w:sz w:val="16"/>
                <w:szCs w:val="16"/>
              </w:rPr>
              <w:t>(8,80%)</w:t>
            </w:r>
          </w:p>
        </w:tc>
        <w:tc>
          <w:tcPr>
            <w:tcW w:w="1134" w:type="dxa"/>
          </w:tcPr>
          <w:p w14:paraId="24AF20E5"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6D8DB107"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6FCD5074"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3294562C"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7FBA9C57"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r>
      <w:tr w:rsidR="00327BF9" w:rsidRPr="00B81A28" w14:paraId="6756D119" w14:textId="77777777" w:rsidTr="004B1D7C">
        <w:tc>
          <w:tcPr>
            <w:tcW w:w="4536" w:type="dxa"/>
          </w:tcPr>
          <w:p w14:paraId="4120D51F" w14:textId="77777777" w:rsidR="00327BF9" w:rsidRPr="00B81A28" w:rsidRDefault="00327BF9" w:rsidP="004B1D7C">
            <w:pPr>
              <w:spacing w:before="40" w:after="40" w:line="320" w:lineRule="atLeast"/>
              <w:rPr>
                <w:rFonts w:ascii="Verdana" w:hAnsi="Verdana"/>
                <w:sz w:val="16"/>
                <w:szCs w:val="16"/>
              </w:rPr>
            </w:pPr>
            <w:r w:rsidRPr="00B81A28">
              <w:rPr>
                <w:rFonts w:ascii="Verdana" w:hAnsi="Verdana"/>
                <w:sz w:val="16"/>
                <w:szCs w:val="16"/>
              </w:rPr>
              <w:t>S</w:t>
            </w:r>
            <w:r>
              <w:rPr>
                <w:rFonts w:ascii="Verdana" w:hAnsi="Verdana"/>
                <w:sz w:val="16"/>
                <w:szCs w:val="16"/>
              </w:rPr>
              <w:t>tanlib</w:t>
            </w:r>
            <w:r w:rsidRPr="00B81A28">
              <w:rPr>
                <w:rFonts w:ascii="Verdana" w:hAnsi="Verdana"/>
                <w:sz w:val="16"/>
                <w:szCs w:val="16"/>
              </w:rPr>
              <w:t xml:space="preserve"> Property </w:t>
            </w:r>
          </w:p>
        </w:tc>
        <w:tc>
          <w:tcPr>
            <w:tcW w:w="1134" w:type="dxa"/>
          </w:tcPr>
          <w:p w14:paraId="239CCDBF" w14:textId="5DA2F23D" w:rsidR="00327BF9" w:rsidRPr="00B81A28" w:rsidRDefault="00AB10A1" w:rsidP="004B1D7C">
            <w:pPr>
              <w:tabs>
                <w:tab w:val="left" w:pos="1050"/>
              </w:tabs>
              <w:spacing w:before="40" w:after="40" w:line="320" w:lineRule="atLeast"/>
              <w:jc w:val="center"/>
              <w:rPr>
                <w:rFonts w:ascii="Verdana" w:hAnsi="Verdana"/>
                <w:sz w:val="16"/>
                <w:szCs w:val="16"/>
              </w:rPr>
            </w:pPr>
            <w:r>
              <w:rPr>
                <w:rFonts w:ascii="Verdana" w:hAnsi="Verdana"/>
                <w:sz w:val="16"/>
                <w:szCs w:val="16"/>
              </w:rPr>
              <w:t>(2,76%)</w:t>
            </w:r>
          </w:p>
        </w:tc>
        <w:tc>
          <w:tcPr>
            <w:tcW w:w="1276" w:type="dxa"/>
          </w:tcPr>
          <w:p w14:paraId="518DD6CD" w14:textId="041233EA" w:rsidR="00327BF9" w:rsidRPr="00B81A28" w:rsidRDefault="00AB10A1" w:rsidP="004B1D7C">
            <w:pPr>
              <w:spacing w:before="40" w:after="40" w:line="320" w:lineRule="atLeast"/>
              <w:jc w:val="center"/>
              <w:rPr>
                <w:rFonts w:ascii="Verdana" w:hAnsi="Verdana"/>
                <w:sz w:val="16"/>
                <w:szCs w:val="16"/>
              </w:rPr>
            </w:pPr>
            <w:r>
              <w:rPr>
                <w:rFonts w:ascii="Verdana" w:hAnsi="Verdana"/>
                <w:sz w:val="16"/>
                <w:szCs w:val="16"/>
              </w:rPr>
              <w:t>(2,32%)</w:t>
            </w:r>
          </w:p>
        </w:tc>
        <w:tc>
          <w:tcPr>
            <w:tcW w:w="1134" w:type="dxa"/>
          </w:tcPr>
          <w:p w14:paraId="49765C13" w14:textId="604ACF7E" w:rsidR="00327BF9" w:rsidRPr="00B81A28" w:rsidRDefault="00AB10A1" w:rsidP="004B1D7C">
            <w:pPr>
              <w:spacing w:before="40" w:after="40" w:line="320" w:lineRule="atLeast"/>
              <w:jc w:val="center"/>
              <w:rPr>
                <w:rFonts w:ascii="Verdana" w:hAnsi="Verdana"/>
                <w:sz w:val="16"/>
                <w:szCs w:val="16"/>
              </w:rPr>
            </w:pPr>
            <w:r>
              <w:rPr>
                <w:rFonts w:ascii="Verdana" w:hAnsi="Verdana"/>
                <w:sz w:val="16"/>
                <w:szCs w:val="16"/>
              </w:rPr>
              <w:t>(21,45%)</w:t>
            </w:r>
          </w:p>
        </w:tc>
        <w:tc>
          <w:tcPr>
            <w:tcW w:w="1134" w:type="dxa"/>
          </w:tcPr>
          <w:p w14:paraId="5CB72A6E" w14:textId="345FFD21" w:rsidR="00327BF9" w:rsidRPr="00B81A28" w:rsidRDefault="00AB10A1" w:rsidP="004B1D7C">
            <w:pPr>
              <w:spacing w:before="40" w:after="40" w:line="320" w:lineRule="atLeast"/>
              <w:jc w:val="center"/>
              <w:rPr>
                <w:rFonts w:ascii="Verdana" w:hAnsi="Verdana"/>
                <w:sz w:val="16"/>
                <w:szCs w:val="16"/>
              </w:rPr>
            </w:pPr>
            <w:r>
              <w:rPr>
                <w:rFonts w:ascii="Verdana" w:hAnsi="Verdana"/>
                <w:sz w:val="16"/>
                <w:szCs w:val="16"/>
              </w:rPr>
              <w:t>(10,2%%)</w:t>
            </w:r>
          </w:p>
        </w:tc>
        <w:tc>
          <w:tcPr>
            <w:tcW w:w="1134" w:type="dxa"/>
          </w:tcPr>
          <w:p w14:paraId="79E39C84" w14:textId="1D5FB7B3" w:rsidR="00327BF9" w:rsidRPr="00B81A28" w:rsidRDefault="00AB10A1" w:rsidP="004B1D7C">
            <w:pPr>
              <w:spacing w:before="40" w:after="40" w:line="320" w:lineRule="atLeast"/>
              <w:jc w:val="center"/>
              <w:rPr>
                <w:rFonts w:ascii="Verdana" w:hAnsi="Verdana"/>
                <w:sz w:val="16"/>
                <w:szCs w:val="16"/>
              </w:rPr>
            </w:pPr>
            <w:r>
              <w:rPr>
                <w:rFonts w:ascii="Verdana" w:hAnsi="Verdana"/>
                <w:sz w:val="16"/>
                <w:szCs w:val="16"/>
              </w:rPr>
              <w:t>(3,92%)</w:t>
            </w:r>
          </w:p>
        </w:tc>
        <w:tc>
          <w:tcPr>
            <w:tcW w:w="1134" w:type="dxa"/>
            <w:shd w:val="clear" w:color="auto" w:fill="auto"/>
          </w:tcPr>
          <w:p w14:paraId="2BF87D00" w14:textId="611C7C60" w:rsidR="00327BF9" w:rsidRPr="00B81A28" w:rsidRDefault="00AB10A1" w:rsidP="004B1D7C">
            <w:pPr>
              <w:spacing w:before="40" w:after="40" w:line="320" w:lineRule="atLeast"/>
              <w:jc w:val="center"/>
              <w:rPr>
                <w:rFonts w:ascii="Verdana" w:hAnsi="Verdana"/>
                <w:sz w:val="16"/>
                <w:szCs w:val="16"/>
              </w:rPr>
            </w:pPr>
            <w:r>
              <w:rPr>
                <w:rFonts w:ascii="Verdana" w:hAnsi="Verdana"/>
                <w:sz w:val="16"/>
                <w:szCs w:val="16"/>
              </w:rPr>
              <w:t>1,23%</w:t>
            </w:r>
          </w:p>
        </w:tc>
        <w:tc>
          <w:tcPr>
            <w:tcW w:w="1134" w:type="dxa"/>
            <w:shd w:val="clear" w:color="auto" w:fill="auto"/>
          </w:tcPr>
          <w:p w14:paraId="76E02504" w14:textId="407CF954" w:rsidR="00327BF9" w:rsidRPr="00B81A28" w:rsidRDefault="00AB10A1" w:rsidP="004B1D7C">
            <w:pPr>
              <w:spacing w:before="40" w:after="40" w:line="320" w:lineRule="atLeast"/>
              <w:jc w:val="center"/>
              <w:rPr>
                <w:rFonts w:ascii="Verdana" w:hAnsi="Verdana"/>
                <w:sz w:val="16"/>
                <w:szCs w:val="16"/>
              </w:rPr>
            </w:pPr>
            <w:r>
              <w:rPr>
                <w:rFonts w:ascii="Verdana" w:hAnsi="Verdana"/>
                <w:sz w:val="16"/>
                <w:szCs w:val="16"/>
              </w:rPr>
              <w:t>6,88%</w:t>
            </w:r>
          </w:p>
        </w:tc>
        <w:tc>
          <w:tcPr>
            <w:tcW w:w="1134" w:type="dxa"/>
          </w:tcPr>
          <w:p w14:paraId="0FF8F741"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5D322232" w14:textId="77777777" w:rsidR="00327BF9" w:rsidRPr="00B81A28" w:rsidRDefault="00327BF9" w:rsidP="004B1D7C">
            <w:pPr>
              <w:spacing w:before="40" w:after="40" w:line="320" w:lineRule="atLeast"/>
              <w:jc w:val="center"/>
              <w:rPr>
                <w:rFonts w:ascii="Verdana" w:hAnsi="Verdana"/>
                <w:sz w:val="16"/>
                <w:szCs w:val="16"/>
              </w:rPr>
            </w:pPr>
            <w:r w:rsidRPr="00B81A28">
              <w:rPr>
                <w:rFonts w:ascii="Verdana" w:hAnsi="Verdana"/>
                <w:sz w:val="16"/>
                <w:szCs w:val="16"/>
              </w:rPr>
              <w:t>-</w:t>
            </w:r>
          </w:p>
        </w:tc>
      </w:tr>
    </w:tbl>
    <w:p w14:paraId="08A08C5E" w14:textId="77777777" w:rsidR="00327BF9" w:rsidRDefault="00327BF9" w:rsidP="00327BF9">
      <w:pPr>
        <w:rPr>
          <w:rFonts w:ascii="Verdana" w:hAnsi="Verdana"/>
        </w:rPr>
      </w:pPr>
    </w:p>
    <w:p w14:paraId="1235B54A" w14:textId="77777777" w:rsidR="00327BF9" w:rsidRDefault="00327BF9" w:rsidP="00327BF9">
      <w:pPr>
        <w:spacing w:after="160" w:line="259" w:lineRule="auto"/>
        <w:rPr>
          <w:rFonts w:ascii="Verdana" w:hAnsi="Verdana"/>
        </w:rPr>
      </w:pPr>
      <w:r>
        <w:rPr>
          <w:rFonts w:ascii="Verdana" w:hAnsi="Verdana"/>
        </w:rPr>
        <w:br w:type="page"/>
      </w:r>
    </w:p>
    <w:p w14:paraId="317881C5" w14:textId="77777777" w:rsidR="00327BF9" w:rsidRDefault="00327BF9" w:rsidP="00327BF9">
      <w:pPr>
        <w:spacing w:after="0" w:line="240" w:lineRule="auto"/>
        <w:rPr>
          <w:rFonts w:ascii="Verdana" w:hAnsi="Verdana"/>
          <w:sz w:val="16"/>
          <w:szCs w:val="16"/>
        </w:rPr>
      </w:pPr>
    </w:p>
    <w:p w14:paraId="77172AA5" w14:textId="77777777" w:rsidR="00327BF9" w:rsidRPr="00B81A28" w:rsidRDefault="00327BF9" w:rsidP="00327BF9">
      <w:pPr>
        <w:spacing w:after="0" w:line="240" w:lineRule="auto"/>
        <w:rPr>
          <w:rFonts w:ascii="Verdana" w:hAnsi="Verdana"/>
          <w:sz w:val="16"/>
          <w:szCs w:val="16"/>
        </w:rPr>
      </w:pPr>
      <w:r w:rsidRPr="00B81A28">
        <w:rPr>
          <w:rFonts w:ascii="Verdana" w:hAnsi="Verdana"/>
          <w:noProof/>
          <w:lang w:eastAsia="en-ZA"/>
        </w:rPr>
        <w:drawing>
          <wp:inline distT="0" distB="0" distL="0" distR="0" wp14:anchorId="449DFDE0" wp14:editId="7C214F6A">
            <wp:extent cx="3057525" cy="642486"/>
            <wp:effectExtent l="0" t="0" r="0" b="5715"/>
            <wp:docPr id="12" name="Picture 1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327BF9" w:rsidRPr="00B81A28" w14:paraId="7FF97F0A" w14:textId="77777777" w:rsidTr="004B1D7C">
        <w:tc>
          <w:tcPr>
            <w:tcW w:w="14884" w:type="dxa"/>
            <w:gridSpan w:val="10"/>
            <w:shd w:val="clear" w:color="auto" w:fill="CB2229"/>
            <w:vAlign w:val="center"/>
          </w:tcPr>
          <w:p w14:paraId="4ECBF21A" w14:textId="77777777" w:rsidR="00327BF9" w:rsidRPr="00B81A28" w:rsidRDefault="00327BF9" w:rsidP="004B1D7C">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0113BA86" w14:textId="77777777" w:rsidR="00327BF9" w:rsidRPr="00B81A28" w:rsidRDefault="00327BF9" w:rsidP="004B1D7C">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p>
          <w:p w14:paraId="6CE74972" w14:textId="77777777" w:rsidR="00327BF9" w:rsidRPr="00B81A28" w:rsidRDefault="00327BF9" w:rsidP="004B1D7C">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327BF9" w:rsidRPr="00B81A28" w14:paraId="42ABD1DC" w14:textId="77777777" w:rsidTr="004B1D7C">
        <w:tc>
          <w:tcPr>
            <w:tcW w:w="4536" w:type="dxa"/>
            <w:shd w:val="clear" w:color="auto" w:fill="4C4C4C"/>
          </w:tcPr>
          <w:p w14:paraId="218BAC47" w14:textId="77777777" w:rsidR="00327BF9" w:rsidRPr="0067766B" w:rsidRDefault="00327BF9" w:rsidP="004B1D7C">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065CED3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360462FE"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61567D38"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4E0EAA1B"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23A0A2B4"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48EA58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4F706F6D"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276F8476"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7C3970DD"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68CF9319" w14:textId="77777777" w:rsidTr="004B1D7C">
        <w:tc>
          <w:tcPr>
            <w:tcW w:w="14884" w:type="dxa"/>
            <w:gridSpan w:val="10"/>
            <w:shd w:val="clear" w:color="auto" w:fill="7583BD"/>
            <w:vAlign w:val="center"/>
          </w:tcPr>
          <w:p w14:paraId="549EBD43" w14:textId="77777777" w:rsidR="00327BF9" w:rsidRPr="00B81A28" w:rsidRDefault="00327BF9" w:rsidP="004B1D7C">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Style / Smart Beta</w:t>
            </w:r>
          </w:p>
        </w:tc>
      </w:tr>
      <w:tr w:rsidR="00327BF9" w:rsidRPr="00CE5E68" w14:paraId="3A7D9D10" w14:textId="77777777" w:rsidTr="004B1D7C">
        <w:tc>
          <w:tcPr>
            <w:tcW w:w="4536" w:type="dxa"/>
          </w:tcPr>
          <w:p w14:paraId="7E4B052A" w14:textId="77777777" w:rsidR="00327BF9" w:rsidRPr="00CE5E68" w:rsidRDefault="00327BF9" w:rsidP="004B1D7C">
            <w:pPr>
              <w:spacing w:before="40" w:after="40" w:line="300" w:lineRule="atLeast"/>
              <w:rPr>
                <w:rFonts w:ascii="Verdana" w:hAnsi="Verdana"/>
                <w:b/>
                <w:sz w:val="16"/>
                <w:szCs w:val="16"/>
              </w:rPr>
            </w:pPr>
            <w:r>
              <w:rPr>
                <w:rFonts w:ascii="Verdana" w:hAnsi="Verdana"/>
                <w:b/>
                <w:sz w:val="16"/>
                <w:szCs w:val="16"/>
              </w:rPr>
              <w:t>FTSE/JSE All Share Index</w:t>
            </w:r>
          </w:p>
        </w:tc>
        <w:tc>
          <w:tcPr>
            <w:tcW w:w="1134" w:type="dxa"/>
          </w:tcPr>
          <w:p w14:paraId="1F12095B" w14:textId="3261ACFD" w:rsidR="00327BF9" w:rsidRPr="00CE5E68" w:rsidRDefault="008A62B1" w:rsidP="004B1D7C">
            <w:pPr>
              <w:tabs>
                <w:tab w:val="left" w:pos="1050"/>
              </w:tabs>
              <w:spacing w:before="40" w:after="40" w:line="300" w:lineRule="atLeast"/>
              <w:jc w:val="center"/>
              <w:rPr>
                <w:rFonts w:ascii="Verdana" w:hAnsi="Verdana"/>
                <w:b/>
                <w:sz w:val="16"/>
                <w:szCs w:val="16"/>
              </w:rPr>
            </w:pPr>
            <w:r>
              <w:rPr>
                <w:rFonts w:ascii="Verdana" w:hAnsi="Verdana"/>
                <w:b/>
                <w:sz w:val="16"/>
                <w:szCs w:val="16"/>
              </w:rPr>
              <w:t>3,20%</w:t>
            </w:r>
          </w:p>
        </w:tc>
        <w:tc>
          <w:tcPr>
            <w:tcW w:w="1276" w:type="dxa"/>
          </w:tcPr>
          <w:p w14:paraId="11FDAD85" w14:textId="26F9EDF7" w:rsidR="00327BF9" w:rsidRPr="00CE5E68" w:rsidRDefault="008A62B1" w:rsidP="004B1D7C">
            <w:pPr>
              <w:spacing w:before="40" w:after="40" w:line="300" w:lineRule="atLeast"/>
              <w:jc w:val="center"/>
              <w:rPr>
                <w:rFonts w:ascii="Verdana" w:hAnsi="Verdana"/>
                <w:b/>
                <w:sz w:val="16"/>
                <w:szCs w:val="16"/>
              </w:rPr>
            </w:pPr>
            <w:r>
              <w:rPr>
                <w:rFonts w:ascii="Verdana" w:hAnsi="Verdana"/>
                <w:b/>
                <w:sz w:val="16"/>
                <w:szCs w:val="16"/>
              </w:rPr>
              <w:t>4,54%</w:t>
            </w:r>
          </w:p>
        </w:tc>
        <w:tc>
          <w:tcPr>
            <w:tcW w:w="1134" w:type="dxa"/>
          </w:tcPr>
          <w:p w14:paraId="4BF68967" w14:textId="1ABCADB6" w:rsidR="00327BF9" w:rsidRPr="00CE5E68" w:rsidRDefault="008A62B1" w:rsidP="004B1D7C">
            <w:pPr>
              <w:spacing w:before="40" w:after="40" w:line="300" w:lineRule="atLeast"/>
              <w:jc w:val="center"/>
              <w:rPr>
                <w:rFonts w:ascii="Verdana" w:hAnsi="Verdana"/>
                <w:b/>
                <w:sz w:val="16"/>
                <w:szCs w:val="16"/>
              </w:rPr>
            </w:pPr>
            <w:r>
              <w:rPr>
                <w:rFonts w:ascii="Verdana" w:hAnsi="Verdana"/>
                <w:b/>
                <w:sz w:val="16"/>
                <w:szCs w:val="16"/>
              </w:rPr>
              <w:t>(1,70%)</w:t>
            </w:r>
          </w:p>
        </w:tc>
        <w:tc>
          <w:tcPr>
            <w:tcW w:w="1134" w:type="dxa"/>
          </w:tcPr>
          <w:p w14:paraId="4C021633" w14:textId="7D132578" w:rsidR="00327BF9" w:rsidRPr="00CE5E68" w:rsidRDefault="008A62B1" w:rsidP="004B1D7C">
            <w:pPr>
              <w:spacing w:before="40" w:after="40" w:line="300" w:lineRule="atLeast"/>
              <w:jc w:val="center"/>
              <w:rPr>
                <w:rFonts w:ascii="Verdana" w:hAnsi="Verdana"/>
                <w:b/>
                <w:sz w:val="16"/>
                <w:szCs w:val="16"/>
              </w:rPr>
            </w:pPr>
            <w:r>
              <w:rPr>
                <w:rFonts w:ascii="Verdana" w:hAnsi="Verdana"/>
                <w:b/>
                <w:sz w:val="16"/>
                <w:szCs w:val="16"/>
              </w:rPr>
              <w:t>15,59%</w:t>
            </w:r>
          </w:p>
        </w:tc>
        <w:tc>
          <w:tcPr>
            <w:tcW w:w="1134" w:type="dxa"/>
          </w:tcPr>
          <w:p w14:paraId="071A7DF2" w14:textId="1F31AAAF" w:rsidR="00327BF9" w:rsidRPr="00CE5E68" w:rsidRDefault="008A62B1" w:rsidP="004B1D7C">
            <w:pPr>
              <w:spacing w:before="40" w:after="40" w:line="300" w:lineRule="atLeast"/>
              <w:jc w:val="center"/>
              <w:rPr>
                <w:rFonts w:ascii="Verdana" w:hAnsi="Verdana"/>
                <w:b/>
                <w:sz w:val="16"/>
                <w:szCs w:val="16"/>
              </w:rPr>
            </w:pPr>
            <w:r>
              <w:rPr>
                <w:rFonts w:ascii="Verdana" w:hAnsi="Verdana"/>
                <w:b/>
                <w:sz w:val="16"/>
                <w:szCs w:val="16"/>
              </w:rPr>
              <w:t>8,49%</w:t>
            </w:r>
          </w:p>
        </w:tc>
        <w:tc>
          <w:tcPr>
            <w:tcW w:w="1134" w:type="dxa"/>
            <w:shd w:val="clear" w:color="auto" w:fill="auto"/>
          </w:tcPr>
          <w:p w14:paraId="1E5E511B" w14:textId="4558CC2F" w:rsidR="00327BF9" w:rsidRPr="00CE5E68" w:rsidRDefault="008A62B1" w:rsidP="004B1D7C">
            <w:pPr>
              <w:spacing w:before="40" w:after="40" w:line="300" w:lineRule="atLeast"/>
              <w:jc w:val="center"/>
              <w:rPr>
                <w:rFonts w:ascii="Verdana" w:hAnsi="Verdana"/>
                <w:b/>
                <w:sz w:val="16"/>
                <w:szCs w:val="16"/>
              </w:rPr>
            </w:pPr>
            <w:r>
              <w:rPr>
                <w:rFonts w:ascii="Verdana" w:hAnsi="Verdana"/>
                <w:b/>
                <w:sz w:val="16"/>
                <w:szCs w:val="16"/>
              </w:rPr>
              <w:t>6,56%</w:t>
            </w:r>
          </w:p>
        </w:tc>
        <w:tc>
          <w:tcPr>
            <w:tcW w:w="1134" w:type="dxa"/>
            <w:shd w:val="clear" w:color="auto" w:fill="auto"/>
          </w:tcPr>
          <w:p w14:paraId="235A4862" w14:textId="5C29F152" w:rsidR="00327BF9" w:rsidRPr="00CE5E68" w:rsidRDefault="008A62B1" w:rsidP="004B1D7C">
            <w:pPr>
              <w:spacing w:before="40" w:after="40" w:line="300" w:lineRule="atLeast"/>
              <w:jc w:val="center"/>
              <w:rPr>
                <w:rFonts w:ascii="Verdana" w:hAnsi="Verdana"/>
                <w:b/>
                <w:sz w:val="16"/>
                <w:szCs w:val="16"/>
              </w:rPr>
            </w:pPr>
            <w:r>
              <w:rPr>
                <w:rFonts w:ascii="Verdana" w:hAnsi="Verdana"/>
                <w:b/>
                <w:sz w:val="16"/>
                <w:szCs w:val="16"/>
              </w:rPr>
              <w:t>11,05%</w:t>
            </w:r>
          </w:p>
        </w:tc>
        <w:tc>
          <w:tcPr>
            <w:tcW w:w="1134" w:type="dxa"/>
          </w:tcPr>
          <w:p w14:paraId="5997ADB1" w14:textId="69737B75" w:rsidR="00327BF9" w:rsidRPr="00CE5E68" w:rsidRDefault="008A62B1" w:rsidP="004B1D7C">
            <w:pPr>
              <w:spacing w:before="40" w:after="40" w:line="300" w:lineRule="atLeast"/>
              <w:jc w:val="center"/>
              <w:rPr>
                <w:rFonts w:ascii="Verdana" w:hAnsi="Verdana"/>
                <w:b/>
                <w:sz w:val="16"/>
                <w:szCs w:val="16"/>
              </w:rPr>
            </w:pPr>
            <w:r>
              <w:rPr>
                <w:rFonts w:ascii="Verdana" w:hAnsi="Verdana"/>
                <w:b/>
                <w:sz w:val="16"/>
                <w:szCs w:val="16"/>
              </w:rPr>
              <w:t>12,23%</w:t>
            </w:r>
          </w:p>
        </w:tc>
        <w:tc>
          <w:tcPr>
            <w:tcW w:w="1134" w:type="dxa"/>
          </w:tcPr>
          <w:p w14:paraId="2AEF5431" w14:textId="5A89CCFA" w:rsidR="00327BF9" w:rsidRPr="00CE5E68" w:rsidRDefault="008A62B1" w:rsidP="004B1D7C">
            <w:pPr>
              <w:spacing w:before="40" w:after="40" w:line="300" w:lineRule="atLeast"/>
              <w:jc w:val="center"/>
              <w:rPr>
                <w:rFonts w:ascii="Verdana" w:hAnsi="Verdana"/>
                <w:b/>
                <w:sz w:val="16"/>
                <w:szCs w:val="16"/>
              </w:rPr>
            </w:pPr>
            <w:r>
              <w:rPr>
                <w:rFonts w:ascii="Verdana" w:hAnsi="Verdana"/>
                <w:b/>
                <w:sz w:val="16"/>
                <w:szCs w:val="16"/>
              </w:rPr>
              <w:t>9,82%</w:t>
            </w:r>
          </w:p>
        </w:tc>
      </w:tr>
      <w:tr w:rsidR="00327BF9" w:rsidRPr="00B81A28" w14:paraId="3CB08D7F" w14:textId="77777777" w:rsidTr="004B1D7C">
        <w:tc>
          <w:tcPr>
            <w:tcW w:w="4536" w:type="dxa"/>
          </w:tcPr>
          <w:p w14:paraId="7FFF50AA"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Equity Momentum Fund (TR)</w:t>
            </w:r>
          </w:p>
        </w:tc>
        <w:tc>
          <w:tcPr>
            <w:tcW w:w="1134" w:type="dxa"/>
          </w:tcPr>
          <w:p w14:paraId="00C69282" w14:textId="029E6B77" w:rsidR="00327BF9" w:rsidRPr="00B81A28" w:rsidRDefault="004217C4" w:rsidP="004B1D7C">
            <w:pPr>
              <w:tabs>
                <w:tab w:val="left" w:pos="1050"/>
              </w:tabs>
              <w:spacing w:before="40" w:after="40" w:line="300" w:lineRule="atLeast"/>
              <w:jc w:val="center"/>
              <w:rPr>
                <w:rFonts w:ascii="Verdana" w:hAnsi="Verdana"/>
                <w:sz w:val="16"/>
                <w:szCs w:val="16"/>
              </w:rPr>
            </w:pPr>
            <w:r>
              <w:rPr>
                <w:rFonts w:ascii="Verdana" w:hAnsi="Verdana"/>
                <w:sz w:val="16"/>
                <w:szCs w:val="16"/>
              </w:rPr>
              <w:t>(2,10%)</w:t>
            </w:r>
          </w:p>
        </w:tc>
        <w:tc>
          <w:tcPr>
            <w:tcW w:w="1276" w:type="dxa"/>
          </w:tcPr>
          <w:p w14:paraId="5CEF255F" w14:textId="733C2855"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(4,88%)</w:t>
            </w:r>
          </w:p>
        </w:tc>
        <w:tc>
          <w:tcPr>
            <w:tcW w:w="1134" w:type="dxa"/>
          </w:tcPr>
          <w:p w14:paraId="5D79846E" w14:textId="5CEAFCE4"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(17,62%)</w:t>
            </w:r>
          </w:p>
        </w:tc>
        <w:tc>
          <w:tcPr>
            <w:tcW w:w="1134" w:type="dxa"/>
          </w:tcPr>
          <w:p w14:paraId="19DA49E1" w14:textId="7001DA51"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1,14%</w:t>
            </w:r>
          </w:p>
        </w:tc>
        <w:tc>
          <w:tcPr>
            <w:tcW w:w="1134" w:type="dxa"/>
          </w:tcPr>
          <w:p w14:paraId="6650EF03" w14:textId="1FEC3B54"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(0,26%)</w:t>
            </w:r>
          </w:p>
        </w:tc>
        <w:tc>
          <w:tcPr>
            <w:tcW w:w="1134" w:type="dxa"/>
            <w:shd w:val="clear" w:color="auto" w:fill="auto"/>
          </w:tcPr>
          <w:p w14:paraId="49EE41B9" w14:textId="262BEB42"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1,47%</w:t>
            </w:r>
          </w:p>
        </w:tc>
        <w:tc>
          <w:tcPr>
            <w:tcW w:w="1134" w:type="dxa"/>
            <w:shd w:val="clear" w:color="auto" w:fill="auto"/>
          </w:tcPr>
          <w:p w14:paraId="545C24CE" w14:textId="36189298"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6,96%</w:t>
            </w:r>
          </w:p>
        </w:tc>
        <w:tc>
          <w:tcPr>
            <w:tcW w:w="1134" w:type="dxa"/>
          </w:tcPr>
          <w:p w14:paraId="6DFCE16D"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96116B3"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6CBA726F" w14:textId="77777777" w:rsidTr="004B1D7C">
        <w:tc>
          <w:tcPr>
            <w:tcW w:w="4536" w:type="dxa"/>
          </w:tcPr>
          <w:p w14:paraId="5C310B04"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 NewFunds Low Volatility (TR)</w:t>
            </w:r>
          </w:p>
        </w:tc>
        <w:tc>
          <w:tcPr>
            <w:tcW w:w="1134" w:type="dxa"/>
          </w:tcPr>
          <w:p w14:paraId="60807609" w14:textId="5186A55C" w:rsidR="00327BF9" w:rsidRPr="00B81A28" w:rsidRDefault="004217C4" w:rsidP="004B1D7C">
            <w:pPr>
              <w:tabs>
                <w:tab w:val="left" w:pos="1050"/>
              </w:tabs>
              <w:spacing w:before="40" w:after="40" w:line="300" w:lineRule="atLeast"/>
              <w:jc w:val="center"/>
              <w:rPr>
                <w:rFonts w:ascii="Verdana" w:hAnsi="Verdana"/>
                <w:sz w:val="16"/>
                <w:szCs w:val="16"/>
              </w:rPr>
            </w:pPr>
            <w:r>
              <w:rPr>
                <w:rFonts w:ascii="Verdana" w:hAnsi="Verdana"/>
                <w:sz w:val="16"/>
                <w:szCs w:val="16"/>
              </w:rPr>
              <w:t>0,89%</w:t>
            </w:r>
          </w:p>
        </w:tc>
        <w:tc>
          <w:tcPr>
            <w:tcW w:w="1276" w:type="dxa"/>
          </w:tcPr>
          <w:p w14:paraId="3B3D3274" w14:textId="35829BAE"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5C5574B" w14:textId="6E9B3335"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EB2B933" w14:textId="53085FA7"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977DB60" w14:textId="034A7CFD"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627E9D5" w14:textId="5BA997ED"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442892A" w14:textId="14364AC6"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794E29B" w14:textId="01DF5916"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5C61FB0" w14:textId="70695B95" w:rsidR="00327BF9" w:rsidRPr="00B81A28" w:rsidRDefault="004217C4"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09BEBAFF" w14:textId="77777777" w:rsidTr="004B1D7C">
        <w:tc>
          <w:tcPr>
            <w:tcW w:w="4536" w:type="dxa"/>
          </w:tcPr>
          <w:p w14:paraId="47C501D0"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NewSA</w:t>
            </w:r>
          </w:p>
        </w:tc>
        <w:tc>
          <w:tcPr>
            <w:tcW w:w="1134" w:type="dxa"/>
          </w:tcPr>
          <w:p w14:paraId="6BE35B35" w14:textId="3D7DB072" w:rsidR="00327BF9" w:rsidRPr="00B81A28" w:rsidRDefault="00E5066F" w:rsidP="004B1D7C">
            <w:pPr>
              <w:tabs>
                <w:tab w:val="left" w:pos="1050"/>
              </w:tabs>
              <w:spacing w:before="40" w:after="40" w:line="300" w:lineRule="atLeast"/>
              <w:jc w:val="center"/>
              <w:rPr>
                <w:rFonts w:ascii="Verdana" w:hAnsi="Verdana"/>
                <w:sz w:val="16"/>
                <w:szCs w:val="16"/>
              </w:rPr>
            </w:pPr>
            <w:r>
              <w:rPr>
                <w:rFonts w:ascii="Verdana" w:hAnsi="Verdana"/>
                <w:sz w:val="16"/>
                <w:szCs w:val="16"/>
              </w:rPr>
              <w:t>3,52%</w:t>
            </w:r>
          </w:p>
        </w:tc>
        <w:tc>
          <w:tcPr>
            <w:tcW w:w="1276" w:type="dxa"/>
          </w:tcPr>
          <w:p w14:paraId="0C2EE782" w14:textId="6FD4CCF8"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3,12%</w:t>
            </w:r>
          </w:p>
        </w:tc>
        <w:tc>
          <w:tcPr>
            <w:tcW w:w="1134" w:type="dxa"/>
          </w:tcPr>
          <w:p w14:paraId="7E742563" w14:textId="0CEE9459"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(4,15%)</w:t>
            </w:r>
          </w:p>
        </w:tc>
        <w:tc>
          <w:tcPr>
            <w:tcW w:w="1134" w:type="dxa"/>
          </w:tcPr>
          <w:p w14:paraId="48CB4BE3" w14:textId="6E0E6D01"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15,38%</w:t>
            </w:r>
          </w:p>
        </w:tc>
        <w:tc>
          <w:tcPr>
            <w:tcW w:w="1134" w:type="dxa"/>
          </w:tcPr>
          <w:p w14:paraId="3A2B264C" w14:textId="5569015F"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6,95%</w:t>
            </w:r>
          </w:p>
        </w:tc>
        <w:tc>
          <w:tcPr>
            <w:tcW w:w="1134" w:type="dxa"/>
            <w:shd w:val="clear" w:color="auto" w:fill="auto"/>
          </w:tcPr>
          <w:p w14:paraId="2468FB7E" w14:textId="2ACA12E3"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2,36%</w:t>
            </w:r>
          </w:p>
        </w:tc>
        <w:tc>
          <w:tcPr>
            <w:tcW w:w="1134" w:type="dxa"/>
            <w:shd w:val="clear" w:color="auto" w:fill="auto"/>
          </w:tcPr>
          <w:p w14:paraId="6A84C7FE" w14:textId="48366E71"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8,54%</w:t>
            </w:r>
          </w:p>
        </w:tc>
        <w:tc>
          <w:tcPr>
            <w:tcW w:w="1134" w:type="dxa"/>
          </w:tcPr>
          <w:p w14:paraId="02F95676" w14:textId="23FC7B20"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10,87%</w:t>
            </w:r>
          </w:p>
        </w:tc>
        <w:tc>
          <w:tcPr>
            <w:tcW w:w="1134" w:type="dxa"/>
          </w:tcPr>
          <w:p w14:paraId="327691A8"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05DFF68" w14:textId="77777777" w:rsidTr="004B1D7C">
        <w:tc>
          <w:tcPr>
            <w:tcW w:w="4536" w:type="dxa"/>
          </w:tcPr>
          <w:p w14:paraId="75186E66"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Shari’ah Top 40</w:t>
            </w:r>
          </w:p>
        </w:tc>
        <w:tc>
          <w:tcPr>
            <w:tcW w:w="1134" w:type="dxa"/>
          </w:tcPr>
          <w:p w14:paraId="45502DE0" w14:textId="4EF36136" w:rsidR="00327BF9" w:rsidRPr="00B81A28" w:rsidRDefault="00E5066F" w:rsidP="004B1D7C">
            <w:pPr>
              <w:tabs>
                <w:tab w:val="left" w:pos="1050"/>
              </w:tabs>
              <w:spacing w:before="40" w:after="40" w:line="300" w:lineRule="atLeast"/>
              <w:jc w:val="center"/>
              <w:rPr>
                <w:rFonts w:ascii="Verdana" w:hAnsi="Verdana"/>
                <w:sz w:val="16"/>
                <w:szCs w:val="16"/>
              </w:rPr>
            </w:pPr>
            <w:r>
              <w:rPr>
                <w:rFonts w:ascii="Verdana" w:hAnsi="Verdana"/>
                <w:sz w:val="16"/>
                <w:szCs w:val="16"/>
              </w:rPr>
              <w:t>4,47%</w:t>
            </w:r>
          </w:p>
        </w:tc>
        <w:tc>
          <w:tcPr>
            <w:tcW w:w="1276" w:type="dxa"/>
          </w:tcPr>
          <w:p w14:paraId="2FFCB6BA" w14:textId="06D85820"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11,76%</w:t>
            </w:r>
          </w:p>
        </w:tc>
        <w:tc>
          <w:tcPr>
            <w:tcW w:w="1134" w:type="dxa"/>
          </w:tcPr>
          <w:p w14:paraId="0CFADAEF" w14:textId="045361E6"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7,93%</w:t>
            </w:r>
          </w:p>
        </w:tc>
        <w:tc>
          <w:tcPr>
            <w:tcW w:w="1134" w:type="dxa"/>
          </w:tcPr>
          <w:p w14:paraId="0EADC2BE" w14:textId="3EEACCA3"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17,35%</w:t>
            </w:r>
          </w:p>
        </w:tc>
        <w:tc>
          <w:tcPr>
            <w:tcW w:w="1134" w:type="dxa"/>
          </w:tcPr>
          <w:p w14:paraId="3B14A42D" w14:textId="31E37D28"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5,86%</w:t>
            </w:r>
          </w:p>
        </w:tc>
        <w:tc>
          <w:tcPr>
            <w:tcW w:w="1134" w:type="dxa"/>
            <w:shd w:val="clear" w:color="auto" w:fill="auto"/>
          </w:tcPr>
          <w:p w14:paraId="21EB322F" w14:textId="50E93758"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(0,59%)</w:t>
            </w:r>
          </w:p>
        </w:tc>
        <w:tc>
          <w:tcPr>
            <w:tcW w:w="1134" w:type="dxa"/>
            <w:shd w:val="clear" w:color="auto" w:fill="auto"/>
          </w:tcPr>
          <w:p w14:paraId="56F0F4C3" w14:textId="35A1233B"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3,50%</w:t>
            </w:r>
          </w:p>
        </w:tc>
        <w:tc>
          <w:tcPr>
            <w:tcW w:w="1134" w:type="dxa"/>
          </w:tcPr>
          <w:p w14:paraId="74EAC5D0" w14:textId="1F3EB7EB"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3,58%</w:t>
            </w:r>
          </w:p>
        </w:tc>
        <w:tc>
          <w:tcPr>
            <w:tcW w:w="1134" w:type="dxa"/>
          </w:tcPr>
          <w:p w14:paraId="6DB3A8C2"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10622D3A" w14:textId="77777777" w:rsidTr="004B1D7C">
        <w:tc>
          <w:tcPr>
            <w:tcW w:w="4536" w:type="dxa"/>
          </w:tcPr>
          <w:p w14:paraId="511C0608"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 NewFunds Value Equity</w:t>
            </w:r>
          </w:p>
        </w:tc>
        <w:tc>
          <w:tcPr>
            <w:tcW w:w="1134" w:type="dxa"/>
          </w:tcPr>
          <w:p w14:paraId="3B204529" w14:textId="21EB7819" w:rsidR="00327BF9" w:rsidRPr="00B81A28" w:rsidRDefault="00E5066F" w:rsidP="004B1D7C">
            <w:pPr>
              <w:tabs>
                <w:tab w:val="left" w:pos="1050"/>
              </w:tabs>
              <w:spacing w:before="40" w:after="40" w:line="300" w:lineRule="atLeast"/>
              <w:jc w:val="center"/>
              <w:rPr>
                <w:rFonts w:ascii="Verdana" w:hAnsi="Verdana"/>
                <w:sz w:val="16"/>
                <w:szCs w:val="16"/>
              </w:rPr>
            </w:pPr>
            <w:r>
              <w:rPr>
                <w:rFonts w:ascii="Verdana" w:hAnsi="Verdana"/>
                <w:sz w:val="16"/>
                <w:szCs w:val="16"/>
              </w:rPr>
              <w:t>0,71%</w:t>
            </w:r>
          </w:p>
        </w:tc>
        <w:tc>
          <w:tcPr>
            <w:tcW w:w="1276" w:type="dxa"/>
          </w:tcPr>
          <w:p w14:paraId="600A1115"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D3E2EA3"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5902584"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5FC0E00"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1B1CFB3"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D79B443"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1052497"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D5992D1"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23EB2E83" w14:textId="77777777" w:rsidTr="004B1D7C">
        <w:tc>
          <w:tcPr>
            <w:tcW w:w="4536" w:type="dxa"/>
          </w:tcPr>
          <w:p w14:paraId="216DC09F"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 xml:space="preserve">S&amp;P SA </w:t>
            </w:r>
            <w:r w:rsidRPr="00B81A28">
              <w:rPr>
                <w:rFonts w:ascii="Verdana" w:hAnsi="Verdana"/>
                <w:sz w:val="16"/>
                <w:szCs w:val="16"/>
              </w:rPr>
              <w:t>Dividends Aristocrat</w:t>
            </w:r>
          </w:p>
        </w:tc>
        <w:tc>
          <w:tcPr>
            <w:tcW w:w="1134" w:type="dxa"/>
          </w:tcPr>
          <w:p w14:paraId="0A83503C" w14:textId="09A23218" w:rsidR="00327BF9" w:rsidRPr="00B81A28" w:rsidRDefault="008A62B1" w:rsidP="004B1D7C">
            <w:pPr>
              <w:tabs>
                <w:tab w:val="left" w:pos="1050"/>
              </w:tabs>
              <w:spacing w:before="40" w:after="40" w:line="300" w:lineRule="atLeast"/>
              <w:jc w:val="center"/>
              <w:rPr>
                <w:rFonts w:ascii="Verdana" w:hAnsi="Verdana"/>
                <w:sz w:val="16"/>
                <w:szCs w:val="16"/>
              </w:rPr>
            </w:pPr>
            <w:r>
              <w:rPr>
                <w:rFonts w:ascii="Verdana" w:hAnsi="Verdana"/>
                <w:sz w:val="16"/>
                <w:szCs w:val="16"/>
              </w:rPr>
              <w:t>(2,00%)</w:t>
            </w:r>
          </w:p>
        </w:tc>
        <w:tc>
          <w:tcPr>
            <w:tcW w:w="1276" w:type="dxa"/>
          </w:tcPr>
          <w:p w14:paraId="6AA9B150" w14:textId="3A5B9857"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(9,57%)</w:t>
            </w:r>
          </w:p>
        </w:tc>
        <w:tc>
          <w:tcPr>
            <w:tcW w:w="1134" w:type="dxa"/>
          </w:tcPr>
          <w:p w14:paraId="0B0427A7" w14:textId="4AE32319"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(9,79%)</w:t>
            </w:r>
          </w:p>
        </w:tc>
        <w:tc>
          <w:tcPr>
            <w:tcW w:w="1134" w:type="dxa"/>
          </w:tcPr>
          <w:p w14:paraId="3971E020" w14:textId="426CC27F"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1,84%</w:t>
            </w:r>
          </w:p>
        </w:tc>
        <w:tc>
          <w:tcPr>
            <w:tcW w:w="1134" w:type="dxa"/>
          </w:tcPr>
          <w:p w14:paraId="60AFF6C7" w14:textId="0351A129"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0,88%</w:t>
            </w:r>
          </w:p>
        </w:tc>
        <w:tc>
          <w:tcPr>
            <w:tcW w:w="1134" w:type="dxa"/>
            <w:shd w:val="clear" w:color="auto" w:fill="auto"/>
          </w:tcPr>
          <w:p w14:paraId="599B1140" w14:textId="3BF5F960"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1,91%</w:t>
            </w:r>
          </w:p>
        </w:tc>
        <w:tc>
          <w:tcPr>
            <w:tcW w:w="1134" w:type="dxa"/>
            <w:shd w:val="clear" w:color="auto" w:fill="auto"/>
          </w:tcPr>
          <w:p w14:paraId="2CF19FBD"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C89E72F"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176C186"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5559067" w14:textId="77777777" w:rsidTr="004B1D7C">
        <w:tc>
          <w:tcPr>
            <w:tcW w:w="4536" w:type="dxa"/>
          </w:tcPr>
          <w:p w14:paraId="10642299"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 xml:space="preserve">S&amp;P SA </w:t>
            </w:r>
            <w:r w:rsidRPr="00B81A28">
              <w:rPr>
                <w:rFonts w:ascii="Verdana" w:hAnsi="Verdana"/>
                <w:sz w:val="16"/>
                <w:szCs w:val="16"/>
              </w:rPr>
              <w:t>Low Volatility</w:t>
            </w:r>
          </w:p>
        </w:tc>
        <w:tc>
          <w:tcPr>
            <w:tcW w:w="1134" w:type="dxa"/>
          </w:tcPr>
          <w:p w14:paraId="6C8FF43D" w14:textId="396652EF" w:rsidR="00327BF9" w:rsidRPr="00B81A28" w:rsidRDefault="008A62B1" w:rsidP="004B1D7C">
            <w:pPr>
              <w:tabs>
                <w:tab w:val="left" w:pos="1050"/>
              </w:tabs>
              <w:spacing w:before="40" w:after="40" w:line="300" w:lineRule="atLeast"/>
              <w:jc w:val="center"/>
              <w:rPr>
                <w:rFonts w:ascii="Verdana" w:hAnsi="Verdana"/>
                <w:sz w:val="16"/>
                <w:szCs w:val="16"/>
              </w:rPr>
            </w:pPr>
            <w:r>
              <w:rPr>
                <w:rFonts w:ascii="Verdana" w:hAnsi="Verdana"/>
                <w:sz w:val="16"/>
                <w:szCs w:val="16"/>
              </w:rPr>
              <w:t>(1,90%)</w:t>
            </w:r>
          </w:p>
        </w:tc>
        <w:tc>
          <w:tcPr>
            <w:tcW w:w="1276" w:type="dxa"/>
          </w:tcPr>
          <w:p w14:paraId="6999ABE3" w14:textId="7CC7B75C"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(3,36%)</w:t>
            </w:r>
          </w:p>
        </w:tc>
        <w:tc>
          <w:tcPr>
            <w:tcW w:w="1134" w:type="dxa"/>
          </w:tcPr>
          <w:p w14:paraId="47641AAD" w14:textId="53C62BC0"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(7,18%)</w:t>
            </w:r>
          </w:p>
        </w:tc>
        <w:tc>
          <w:tcPr>
            <w:tcW w:w="1134" w:type="dxa"/>
          </w:tcPr>
          <w:p w14:paraId="6660384F" w14:textId="025EE3E3"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0,31%</w:t>
            </w:r>
          </w:p>
        </w:tc>
        <w:tc>
          <w:tcPr>
            <w:tcW w:w="1134" w:type="dxa"/>
          </w:tcPr>
          <w:p w14:paraId="145D2A42" w14:textId="0113A518"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(0,83%)</w:t>
            </w:r>
          </w:p>
        </w:tc>
        <w:tc>
          <w:tcPr>
            <w:tcW w:w="1134" w:type="dxa"/>
            <w:shd w:val="clear" w:color="auto" w:fill="auto"/>
          </w:tcPr>
          <w:p w14:paraId="552AED9B" w14:textId="028B8FDF"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0,21%</w:t>
            </w:r>
          </w:p>
        </w:tc>
        <w:tc>
          <w:tcPr>
            <w:tcW w:w="1134" w:type="dxa"/>
            <w:shd w:val="clear" w:color="auto" w:fill="auto"/>
          </w:tcPr>
          <w:p w14:paraId="6AEA4606"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88D318B"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BB26190"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6AD0B86" w14:textId="77777777" w:rsidTr="004B1D7C">
        <w:tc>
          <w:tcPr>
            <w:tcW w:w="4536" w:type="dxa"/>
          </w:tcPr>
          <w:p w14:paraId="5E919702"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Satrix DIVI Plus</w:t>
            </w:r>
          </w:p>
        </w:tc>
        <w:tc>
          <w:tcPr>
            <w:tcW w:w="1134" w:type="dxa"/>
          </w:tcPr>
          <w:p w14:paraId="125B0E88" w14:textId="6AA576FC" w:rsidR="00327BF9" w:rsidRPr="00B81A28" w:rsidRDefault="008A62B1" w:rsidP="004B1D7C">
            <w:pPr>
              <w:tabs>
                <w:tab w:val="left" w:pos="1050"/>
              </w:tabs>
              <w:spacing w:before="40" w:after="40" w:line="300" w:lineRule="atLeast"/>
              <w:jc w:val="center"/>
              <w:rPr>
                <w:rFonts w:ascii="Verdana" w:hAnsi="Verdana"/>
                <w:sz w:val="16"/>
                <w:szCs w:val="16"/>
              </w:rPr>
            </w:pPr>
            <w:r>
              <w:rPr>
                <w:rFonts w:ascii="Verdana" w:hAnsi="Verdana"/>
                <w:sz w:val="16"/>
                <w:szCs w:val="16"/>
              </w:rPr>
              <w:t>0,26%</w:t>
            </w:r>
          </w:p>
        </w:tc>
        <w:tc>
          <w:tcPr>
            <w:tcW w:w="1276" w:type="dxa"/>
          </w:tcPr>
          <w:p w14:paraId="4A4932F9" w14:textId="755C5814"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(1,88%)</w:t>
            </w:r>
          </w:p>
        </w:tc>
        <w:tc>
          <w:tcPr>
            <w:tcW w:w="1134" w:type="dxa"/>
          </w:tcPr>
          <w:p w14:paraId="753563CE" w14:textId="794134FA"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(4,88%)</w:t>
            </w:r>
          </w:p>
        </w:tc>
        <w:tc>
          <w:tcPr>
            <w:tcW w:w="1134" w:type="dxa"/>
          </w:tcPr>
          <w:p w14:paraId="1C42BE83" w14:textId="6E2010C3"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25,53%</w:t>
            </w:r>
          </w:p>
        </w:tc>
        <w:tc>
          <w:tcPr>
            <w:tcW w:w="1134" w:type="dxa"/>
          </w:tcPr>
          <w:p w14:paraId="479377FD" w14:textId="29029D93"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14,53%</w:t>
            </w:r>
          </w:p>
        </w:tc>
        <w:tc>
          <w:tcPr>
            <w:tcW w:w="1134" w:type="dxa"/>
            <w:shd w:val="clear" w:color="auto" w:fill="auto"/>
          </w:tcPr>
          <w:p w14:paraId="7F6EFAED" w14:textId="36D8473D"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6,77%</w:t>
            </w:r>
          </w:p>
        </w:tc>
        <w:tc>
          <w:tcPr>
            <w:tcW w:w="1134" w:type="dxa"/>
            <w:shd w:val="clear" w:color="auto" w:fill="auto"/>
          </w:tcPr>
          <w:p w14:paraId="5F9D4404" w14:textId="4066ECD1"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7,65%</w:t>
            </w:r>
          </w:p>
        </w:tc>
        <w:tc>
          <w:tcPr>
            <w:tcW w:w="1134" w:type="dxa"/>
          </w:tcPr>
          <w:p w14:paraId="2F473947" w14:textId="71FB974C"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9,53%</w:t>
            </w:r>
          </w:p>
        </w:tc>
        <w:tc>
          <w:tcPr>
            <w:tcW w:w="1134" w:type="dxa"/>
          </w:tcPr>
          <w:p w14:paraId="5A6D1AE1" w14:textId="0E09CF3C"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13,23%</w:t>
            </w:r>
          </w:p>
        </w:tc>
      </w:tr>
      <w:tr w:rsidR="00327BF9" w:rsidRPr="00B81A28" w14:paraId="5AF762D1" w14:textId="77777777" w:rsidTr="004B1D7C">
        <w:tc>
          <w:tcPr>
            <w:tcW w:w="4536" w:type="dxa"/>
          </w:tcPr>
          <w:p w14:paraId="579FC8BA"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Satrix Quality </w:t>
            </w:r>
          </w:p>
        </w:tc>
        <w:tc>
          <w:tcPr>
            <w:tcW w:w="1134" w:type="dxa"/>
          </w:tcPr>
          <w:p w14:paraId="27E4787D" w14:textId="56C885E7" w:rsidR="00327BF9" w:rsidRPr="00B81A28" w:rsidRDefault="008A62B1" w:rsidP="004B1D7C">
            <w:pPr>
              <w:tabs>
                <w:tab w:val="left" w:pos="1050"/>
              </w:tabs>
              <w:spacing w:before="40" w:after="40" w:line="300" w:lineRule="atLeast"/>
              <w:jc w:val="center"/>
              <w:rPr>
                <w:rFonts w:ascii="Verdana" w:hAnsi="Verdana"/>
                <w:sz w:val="16"/>
                <w:szCs w:val="16"/>
              </w:rPr>
            </w:pPr>
            <w:r>
              <w:rPr>
                <w:rFonts w:ascii="Verdana" w:hAnsi="Verdana"/>
                <w:sz w:val="16"/>
                <w:szCs w:val="16"/>
              </w:rPr>
              <w:t>(2,84%)</w:t>
            </w:r>
          </w:p>
        </w:tc>
        <w:tc>
          <w:tcPr>
            <w:tcW w:w="1276" w:type="dxa"/>
          </w:tcPr>
          <w:p w14:paraId="02EF22FD" w14:textId="5564B20C"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(8,77%)</w:t>
            </w:r>
          </w:p>
        </w:tc>
        <w:tc>
          <w:tcPr>
            <w:tcW w:w="1134" w:type="dxa"/>
          </w:tcPr>
          <w:p w14:paraId="2B1DF3A4" w14:textId="05EC70D4"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(10,59%)</w:t>
            </w:r>
          </w:p>
        </w:tc>
        <w:tc>
          <w:tcPr>
            <w:tcW w:w="1134" w:type="dxa"/>
          </w:tcPr>
          <w:p w14:paraId="3718A91B"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81C4913"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02C36B2"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B3B0782"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29BCC95"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E046DD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393E7E92" w14:textId="77777777" w:rsidTr="004B1D7C">
        <w:tc>
          <w:tcPr>
            <w:tcW w:w="14884" w:type="dxa"/>
            <w:gridSpan w:val="10"/>
            <w:shd w:val="clear" w:color="auto" w:fill="7583BD"/>
          </w:tcPr>
          <w:p w14:paraId="5F96DA38" w14:textId="77777777" w:rsidR="00327BF9" w:rsidRPr="0046155F" w:rsidRDefault="00327BF9" w:rsidP="004B1D7C">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“Balanced” Portfolios</w:t>
            </w:r>
          </w:p>
        </w:tc>
      </w:tr>
      <w:tr w:rsidR="00327BF9" w:rsidRPr="00B81A28" w14:paraId="727919DF" w14:textId="77777777" w:rsidTr="004B1D7C">
        <w:tc>
          <w:tcPr>
            <w:tcW w:w="4536" w:type="dxa"/>
          </w:tcPr>
          <w:p w14:paraId="2D8A73EB"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Protect</w:t>
            </w:r>
          </w:p>
        </w:tc>
        <w:tc>
          <w:tcPr>
            <w:tcW w:w="1134" w:type="dxa"/>
          </w:tcPr>
          <w:p w14:paraId="338DBFC9" w14:textId="0813E91B" w:rsidR="00327BF9" w:rsidRPr="00B81A28" w:rsidRDefault="00E5066F" w:rsidP="004B1D7C">
            <w:pPr>
              <w:tabs>
                <w:tab w:val="left" w:pos="1050"/>
              </w:tabs>
              <w:spacing w:before="40" w:after="40" w:line="300" w:lineRule="atLeast"/>
              <w:jc w:val="center"/>
              <w:rPr>
                <w:rFonts w:ascii="Verdana" w:hAnsi="Verdana"/>
                <w:sz w:val="16"/>
                <w:szCs w:val="16"/>
              </w:rPr>
            </w:pPr>
            <w:r>
              <w:rPr>
                <w:rFonts w:ascii="Verdana" w:hAnsi="Verdana"/>
                <w:sz w:val="16"/>
                <w:szCs w:val="16"/>
              </w:rPr>
              <w:t>0,63%</w:t>
            </w:r>
          </w:p>
        </w:tc>
        <w:tc>
          <w:tcPr>
            <w:tcW w:w="1276" w:type="dxa"/>
          </w:tcPr>
          <w:p w14:paraId="60034B73" w14:textId="5ECF7149"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(0,83%)</w:t>
            </w:r>
          </w:p>
        </w:tc>
        <w:tc>
          <w:tcPr>
            <w:tcW w:w="1134" w:type="dxa"/>
          </w:tcPr>
          <w:p w14:paraId="797254EA" w14:textId="369FA9B7"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(1,44%)</w:t>
            </w:r>
          </w:p>
        </w:tc>
        <w:tc>
          <w:tcPr>
            <w:tcW w:w="1134" w:type="dxa"/>
          </w:tcPr>
          <w:p w14:paraId="3230828E" w14:textId="16655FBD"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7,26%</w:t>
            </w:r>
          </w:p>
        </w:tc>
        <w:tc>
          <w:tcPr>
            <w:tcW w:w="1134" w:type="dxa"/>
          </w:tcPr>
          <w:p w14:paraId="0A0D4AA5" w14:textId="3979D36A"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4,36%</w:t>
            </w:r>
          </w:p>
        </w:tc>
        <w:tc>
          <w:tcPr>
            <w:tcW w:w="1134" w:type="dxa"/>
            <w:shd w:val="clear" w:color="auto" w:fill="auto"/>
          </w:tcPr>
          <w:p w14:paraId="3AF5533D" w14:textId="2DD0FF4B"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4,57%</w:t>
            </w:r>
          </w:p>
        </w:tc>
        <w:tc>
          <w:tcPr>
            <w:tcW w:w="1134" w:type="dxa"/>
            <w:shd w:val="clear" w:color="auto" w:fill="auto"/>
          </w:tcPr>
          <w:p w14:paraId="708726F2" w14:textId="7B5F4408"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7,52%</w:t>
            </w:r>
          </w:p>
        </w:tc>
        <w:tc>
          <w:tcPr>
            <w:tcW w:w="1134" w:type="dxa"/>
          </w:tcPr>
          <w:p w14:paraId="0BEDFF50" w14:textId="69E340DD"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8,71%</w:t>
            </w:r>
          </w:p>
        </w:tc>
        <w:tc>
          <w:tcPr>
            <w:tcW w:w="1134" w:type="dxa"/>
          </w:tcPr>
          <w:p w14:paraId="44685B08"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6D5B6E3D" w14:textId="77777777" w:rsidTr="004B1D7C">
        <w:tc>
          <w:tcPr>
            <w:tcW w:w="4536" w:type="dxa"/>
          </w:tcPr>
          <w:p w14:paraId="2AE2634B"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Growth</w:t>
            </w:r>
          </w:p>
        </w:tc>
        <w:tc>
          <w:tcPr>
            <w:tcW w:w="1134" w:type="dxa"/>
          </w:tcPr>
          <w:p w14:paraId="4A0801A6" w14:textId="64EA0197" w:rsidR="00327BF9" w:rsidRPr="00B81A28" w:rsidRDefault="00E5066F" w:rsidP="004B1D7C">
            <w:pPr>
              <w:tabs>
                <w:tab w:val="left" w:pos="1050"/>
              </w:tabs>
              <w:spacing w:before="40" w:after="40" w:line="300" w:lineRule="atLeast"/>
              <w:jc w:val="center"/>
              <w:rPr>
                <w:rFonts w:ascii="Verdana" w:hAnsi="Verdana"/>
                <w:sz w:val="16"/>
                <w:szCs w:val="16"/>
              </w:rPr>
            </w:pPr>
            <w:r>
              <w:rPr>
                <w:rFonts w:ascii="Verdana" w:hAnsi="Verdana"/>
                <w:sz w:val="16"/>
                <w:szCs w:val="16"/>
              </w:rPr>
              <w:t>2,30%</w:t>
            </w:r>
          </w:p>
        </w:tc>
        <w:tc>
          <w:tcPr>
            <w:tcW w:w="1276" w:type="dxa"/>
          </w:tcPr>
          <w:p w14:paraId="30340922" w14:textId="43542309"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1,54%</w:t>
            </w:r>
          </w:p>
        </w:tc>
        <w:tc>
          <w:tcPr>
            <w:tcW w:w="1134" w:type="dxa"/>
          </w:tcPr>
          <w:p w14:paraId="574F304C" w14:textId="0D47BE50"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(2,85%)</w:t>
            </w:r>
          </w:p>
        </w:tc>
        <w:tc>
          <w:tcPr>
            <w:tcW w:w="1134" w:type="dxa"/>
          </w:tcPr>
          <w:p w14:paraId="13FCB060" w14:textId="0946F59B"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11,16%</w:t>
            </w:r>
          </w:p>
        </w:tc>
        <w:tc>
          <w:tcPr>
            <w:tcW w:w="1134" w:type="dxa"/>
          </w:tcPr>
          <w:p w14:paraId="60070167" w14:textId="5AB14695"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5,81%</w:t>
            </w:r>
          </w:p>
        </w:tc>
        <w:tc>
          <w:tcPr>
            <w:tcW w:w="1134" w:type="dxa"/>
            <w:shd w:val="clear" w:color="auto" w:fill="auto"/>
          </w:tcPr>
          <w:p w14:paraId="07CDC4E8" w14:textId="4268123E"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4,91%</w:t>
            </w:r>
          </w:p>
        </w:tc>
        <w:tc>
          <w:tcPr>
            <w:tcW w:w="1134" w:type="dxa"/>
            <w:shd w:val="clear" w:color="auto" w:fill="auto"/>
          </w:tcPr>
          <w:p w14:paraId="7C07AEC0" w14:textId="3D594C36"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9,40%</w:t>
            </w:r>
          </w:p>
        </w:tc>
        <w:tc>
          <w:tcPr>
            <w:tcW w:w="1134" w:type="dxa"/>
          </w:tcPr>
          <w:p w14:paraId="4DC7FDFA" w14:textId="1A435083" w:rsidR="00327BF9" w:rsidRPr="00B81A28" w:rsidRDefault="00E5066F" w:rsidP="004B1D7C">
            <w:pPr>
              <w:spacing w:before="40" w:after="40" w:line="300" w:lineRule="atLeast"/>
              <w:jc w:val="center"/>
              <w:rPr>
                <w:rFonts w:ascii="Verdana" w:hAnsi="Verdana"/>
                <w:sz w:val="16"/>
                <w:szCs w:val="16"/>
              </w:rPr>
            </w:pPr>
            <w:r>
              <w:rPr>
                <w:rFonts w:ascii="Verdana" w:hAnsi="Verdana"/>
                <w:sz w:val="16"/>
                <w:szCs w:val="16"/>
              </w:rPr>
              <w:t>10,59%</w:t>
            </w:r>
          </w:p>
        </w:tc>
        <w:tc>
          <w:tcPr>
            <w:tcW w:w="1134" w:type="dxa"/>
          </w:tcPr>
          <w:p w14:paraId="0C672DF9"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9078459" w14:textId="77777777" w:rsidTr="004B1D7C">
        <w:tc>
          <w:tcPr>
            <w:tcW w:w="14884" w:type="dxa"/>
            <w:gridSpan w:val="10"/>
            <w:shd w:val="clear" w:color="auto" w:fill="7583BD"/>
          </w:tcPr>
          <w:p w14:paraId="67A1109F" w14:textId="77777777" w:rsidR="00327BF9" w:rsidRPr="0046155F" w:rsidRDefault="00327BF9" w:rsidP="004B1D7C">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“Fundamental” Value</w:t>
            </w:r>
          </w:p>
        </w:tc>
      </w:tr>
      <w:tr w:rsidR="00327BF9" w:rsidRPr="00B81A28" w14:paraId="1975BB78" w14:textId="77777777" w:rsidTr="004B1D7C">
        <w:tc>
          <w:tcPr>
            <w:tcW w:w="4536" w:type="dxa"/>
          </w:tcPr>
          <w:p w14:paraId="206D02FB"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FINI </w:t>
            </w:r>
            <w:r>
              <w:rPr>
                <w:rFonts w:ascii="Verdana" w:hAnsi="Verdana"/>
                <w:sz w:val="16"/>
                <w:szCs w:val="16"/>
              </w:rPr>
              <w:t>15</w:t>
            </w:r>
          </w:p>
        </w:tc>
        <w:tc>
          <w:tcPr>
            <w:tcW w:w="1134" w:type="dxa"/>
          </w:tcPr>
          <w:p w14:paraId="111816F3" w14:textId="493B2E14" w:rsidR="00327BF9" w:rsidRPr="00B81A28" w:rsidRDefault="009E2089" w:rsidP="004B1D7C">
            <w:pPr>
              <w:tabs>
                <w:tab w:val="left" w:pos="1050"/>
              </w:tabs>
              <w:spacing w:before="40" w:after="40" w:line="300" w:lineRule="atLeast"/>
              <w:jc w:val="center"/>
              <w:rPr>
                <w:rFonts w:ascii="Verdana" w:hAnsi="Verdana"/>
                <w:sz w:val="16"/>
                <w:szCs w:val="16"/>
              </w:rPr>
            </w:pPr>
            <w:r>
              <w:rPr>
                <w:rFonts w:ascii="Verdana" w:hAnsi="Verdana"/>
                <w:sz w:val="16"/>
                <w:szCs w:val="16"/>
              </w:rPr>
              <w:t>(2,26%)</w:t>
            </w:r>
          </w:p>
        </w:tc>
        <w:tc>
          <w:tcPr>
            <w:tcW w:w="1276" w:type="dxa"/>
          </w:tcPr>
          <w:p w14:paraId="643531DB" w14:textId="0C2F833B" w:rsidR="00327BF9" w:rsidRPr="00B81A28" w:rsidRDefault="009E2089" w:rsidP="004B1D7C">
            <w:pPr>
              <w:spacing w:before="40" w:after="40" w:line="300" w:lineRule="atLeast"/>
              <w:jc w:val="center"/>
              <w:rPr>
                <w:rFonts w:ascii="Verdana" w:hAnsi="Verdana"/>
                <w:sz w:val="16"/>
                <w:szCs w:val="16"/>
              </w:rPr>
            </w:pPr>
            <w:r>
              <w:rPr>
                <w:rFonts w:ascii="Verdana" w:hAnsi="Verdana"/>
                <w:sz w:val="16"/>
                <w:szCs w:val="16"/>
              </w:rPr>
              <w:t>(1,22%)</w:t>
            </w:r>
          </w:p>
        </w:tc>
        <w:tc>
          <w:tcPr>
            <w:tcW w:w="1134" w:type="dxa"/>
          </w:tcPr>
          <w:p w14:paraId="67C686A2" w14:textId="47938C32" w:rsidR="00327BF9" w:rsidRPr="00B81A28" w:rsidRDefault="009E2089" w:rsidP="004B1D7C">
            <w:pPr>
              <w:spacing w:before="40" w:after="40" w:line="300" w:lineRule="atLeast"/>
              <w:jc w:val="center"/>
              <w:rPr>
                <w:rFonts w:ascii="Verdana" w:hAnsi="Verdana"/>
                <w:sz w:val="16"/>
                <w:szCs w:val="16"/>
              </w:rPr>
            </w:pPr>
            <w:r>
              <w:rPr>
                <w:rFonts w:ascii="Verdana" w:hAnsi="Verdana"/>
                <w:sz w:val="16"/>
                <w:szCs w:val="16"/>
              </w:rPr>
              <w:t>(6,38%)</w:t>
            </w:r>
          </w:p>
        </w:tc>
        <w:tc>
          <w:tcPr>
            <w:tcW w:w="1134" w:type="dxa"/>
          </w:tcPr>
          <w:p w14:paraId="4627DA28" w14:textId="03840070" w:rsidR="00327BF9" w:rsidRPr="00B81A28" w:rsidRDefault="009E2089" w:rsidP="004B1D7C">
            <w:pPr>
              <w:spacing w:before="40" w:after="40" w:line="300" w:lineRule="atLeast"/>
              <w:jc w:val="center"/>
              <w:rPr>
                <w:rFonts w:ascii="Verdana" w:hAnsi="Verdana"/>
                <w:sz w:val="16"/>
                <w:szCs w:val="16"/>
              </w:rPr>
            </w:pPr>
            <w:r>
              <w:rPr>
                <w:rFonts w:ascii="Verdana" w:hAnsi="Verdana"/>
                <w:sz w:val="16"/>
                <w:szCs w:val="16"/>
              </w:rPr>
              <w:t>(0,50%)</w:t>
            </w:r>
          </w:p>
        </w:tc>
        <w:tc>
          <w:tcPr>
            <w:tcW w:w="1134" w:type="dxa"/>
          </w:tcPr>
          <w:p w14:paraId="01E8FA31" w14:textId="69E5C591" w:rsidR="00327BF9" w:rsidRPr="00B81A28" w:rsidRDefault="009E2089" w:rsidP="004B1D7C">
            <w:pPr>
              <w:spacing w:before="40" w:after="40" w:line="300" w:lineRule="atLeast"/>
              <w:jc w:val="center"/>
              <w:rPr>
                <w:rFonts w:ascii="Verdana" w:hAnsi="Verdana"/>
                <w:sz w:val="16"/>
                <w:szCs w:val="16"/>
              </w:rPr>
            </w:pPr>
            <w:r>
              <w:rPr>
                <w:rFonts w:ascii="Verdana" w:hAnsi="Verdana"/>
                <w:sz w:val="16"/>
                <w:szCs w:val="16"/>
              </w:rPr>
              <w:t>(4,72%)</w:t>
            </w:r>
          </w:p>
        </w:tc>
        <w:tc>
          <w:tcPr>
            <w:tcW w:w="1134" w:type="dxa"/>
            <w:shd w:val="clear" w:color="auto" w:fill="auto"/>
          </w:tcPr>
          <w:p w14:paraId="61D2CC1E" w14:textId="08C1E4F5" w:rsidR="00327BF9" w:rsidRPr="00B81A28" w:rsidRDefault="009E2089" w:rsidP="004B1D7C">
            <w:pPr>
              <w:spacing w:before="40" w:after="40" w:line="300" w:lineRule="atLeast"/>
              <w:jc w:val="center"/>
              <w:rPr>
                <w:rFonts w:ascii="Verdana" w:hAnsi="Verdana"/>
                <w:sz w:val="16"/>
                <w:szCs w:val="16"/>
              </w:rPr>
            </w:pPr>
            <w:r>
              <w:rPr>
                <w:rFonts w:ascii="Verdana" w:hAnsi="Verdana"/>
                <w:sz w:val="16"/>
                <w:szCs w:val="16"/>
              </w:rPr>
              <w:t>(7,62%)</w:t>
            </w:r>
          </w:p>
        </w:tc>
        <w:tc>
          <w:tcPr>
            <w:tcW w:w="1134" w:type="dxa"/>
            <w:shd w:val="clear" w:color="auto" w:fill="auto"/>
          </w:tcPr>
          <w:p w14:paraId="6EED7C15" w14:textId="56D86CAE" w:rsidR="00327BF9" w:rsidRPr="00B81A28" w:rsidRDefault="009E2089" w:rsidP="004B1D7C">
            <w:pPr>
              <w:spacing w:before="40" w:after="40" w:line="300" w:lineRule="atLeast"/>
              <w:jc w:val="center"/>
              <w:rPr>
                <w:rFonts w:ascii="Verdana" w:hAnsi="Verdana"/>
                <w:sz w:val="16"/>
                <w:szCs w:val="16"/>
              </w:rPr>
            </w:pPr>
            <w:r>
              <w:rPr>
                <w:rFonts w:ascii="Verdana" w:hAnsi="Verdana"/>
                <w:sz w:val="16"/>
                <w:szCs w:val="16"/>
              </w:rPr>
              <w:t>3,81%</w:t>
            </w:r>
          </w:p>
        </w:tc>
        <w:tc>
          <w:tcPr>
            <w:tcW w:w="1134" w:type="dxa"/>
          </w:tcPr>
          <w:p w14:paraId="27BE12AA" w14:textId="3F7F83DC" w:rsidR="00327BF9" w:rsidRPr="00B81A28" w:rsidRDefault="009E2089" w:rsidP="004B1D7C">
            <w:pPr>
              <w:spacing w:before="40" w:after="40" w:line="300" w:lineRule="atLeast"/>
              <w:jc w:val="center"/>
              <w:rPr>
                <w:rFonts w:ascii="Verdana" w:hAnsi="Verdana"/>
                <w:sz w:val="16"/>
                <w:szCs w:val="16"/>
              </w:rPr>
            </w:pPr>
            <w:r>
              <w:rPr>
                <w:rFonts w:ascii="Verdana" w:hAnsi="Verdana"/>
                <w:sz w:val="16"/>
                <w:szCs w:val="16"/>
              </w:rPr>
              <w:t>9,79%</w:t>
            </w:r>
          </w:p>
        </w:tc>
        <w:tc>
          <w:tcPr>
            <w:tcW w:w="1134" w:type="dxa"/>
          </w:tcPr>
          <w:p w14:paraId="41DEBFE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3650489D" w14:textId="77777777" w:rsidTr="004B1D7C">
        <w:tc>
          <w:tcPr>
            <w:tcW w:w="4536" w:type="dxa"/>
          </w:tcPr>
          <w:p w14:paraId="54A5B24D"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INDI</w:t>
            </w:r>
            <w:r>
              <w:rPr>
                <w:rFonts w:ascii="Verdana" w:hAnsi="Verdana"/>
                <w:sz w:val="16"/>
                <w:szCs w:val="16"/>
              </w:rPr>
              <w:t xml:space="preserve"> 25</w:t>
            </w:r>
          </w:p>
        </w:tc>
        <w:tc>
          <w:tcPr>
            <w:tcW w:w="1134" w:type="dxa"/>
          </w:tcPr>
          <w:p w14:paraId="73B6074A" w14:textId="3D25CB3E" w:rsidR="00327BF9" w:rsidRPr="00B81A28" w:rsidRDefault="004E72A2" w:rsidP="004B1D7C">
            <w:pPr>
              <w:tabs>
                <w:tab w:val="left" w:pos="1050"/>
              </w:tabs>
              <w:spacing w:before="40" w:after="40" w:line="300" w:lineRule="atLeast"/>
              <w:jc w:val="center"/>
              <w:rPr>
                <w:rFonts w:ascii="Verdana" w:hAnsi="Verdana"/>
                <w:sz w:val="16"/>
                <w:szCs w:val="16"/>
              </w:rPr>
            </w:pPr>
            <w:r>
              <w:rPr>
                <w:rFonts w:ascii="Verdana" w:hAnsi="Verdana"/>
                <w:sz w:val="16"/>
                <w:szCs w:val="16"/>
              </w:rPr>
              <w:t>4,72%</w:t>
            </w:r>
          </w:p>
        </w:tc>
        <w:tc>
          <w:tcPr>
            <w:tcW w:w="1276" w:type="dxa"/>
          </w:tcPr>
          <w:p w14:paraId="2942A17D" w14:textId="5E496D75" w:rsidR="00327BF9" w:rsidRPr="00B81A28" w:rsidRDefault="004E72A2" w:rsidP="004B1D7C">
            <w:pPr>
              <w:spacing w:before="40" w:after="40" w:line="300" w:lineRule="atLeast"/>
              <w:jc w:val="center"/>
              <w:rPr>
                <w:rFonts w:ascii="Verdana" w:hAnsi="Verdana"/>
                <w:sz w:val="16"/>
                <w:szCs w:val="16"/>
              </w:rPr>
            </w:pPr>
            <w:r>
              <w:rPr>
                <w:rFonts w:ascii="Verdana" w:hAnsi="Verdana"/>
                <w:sz w:val="16"/>
                <w:szCs w:val="16"/>
              </w:rPr>
              <w:t>2,69%</w:t>
            </w:r>
          </w:p>
        </w:tc>
        <w:tc>
          <w:tcPr>
            <w:tcW w:w="1134" w:type="dxa"/>
          </w:tcPr>
          <w:p w14:paraId="7C39F8C5" w14:textId="7EAAE659" w:rsidR="00327BF9" w:rsidRPr="00B81A28" w:rsidRDefault="004E72A2" w:rsidP="004B1D7C">
            <w:pPr>
              <w:spacing w:before="40" w:after="40" w:line="300" w:lineRule="atLeast"/>
              <w:jc w:val="center"/>
              <w:rPr>
                <w:rFonts w:ascii="Verdana" w:hAnsi="Verdana"/>
                <w:sz w:val="16"/>
                <w:szCs w:val="16"/>
              </w:rPr>
            </w:pPr>
            <w:r>
              <w:rPr>
                <w:rFonts w:ascii="Verdana" w:hAnsi="Verdana"/>
                <w:sz w:val="16"/>
                <w:szCs w:val="16"/>
              </w:rPr>
              <w:t>(7,17%)</w:t>
            </w:r>
          </w:p>
        </w:tc>
        <w:tc>
          <w:tcPr>
            <w:tcW w:w="1134" w:type="dxa"/>
          </w:tcPr>
          <w:p w14:paraId="57099EE4" w14:textId="43342D52" w:rsidR="00327BF9" w:rsidRPr="00B81A28" w:rsidRDefault="004E72A2" w:rsidP="004B1D7C">
            <w:pPr>
              <w:spacing w:before="40" w:after="40" w:line="300" w:lineRule="atLeast"/>
              <w:jc w:val="center"/>
              <w:rPr>
                <w:rFonts w:ascii="Verdana" w:hAnsi="Verdana"/>
                <w:sz w:val="16"/>
                <w:szCs w:val="16"/>
              </w:rPr>
            </w:pPr>
            <w:r>
              <w:rPr>
                <w:rFonts w:ascii="Verdana" w:hAnsi="Verdana"/>
                <w:sz w:val="16"/>
                <w:szCs w:val="16"/>
              </w:rPr>
              <w:t>(13,89%)</w:t>
            </w:r>
          </w:p>
        </w:tc>
        <w:tc>
          <w:tcPr>
            <w:tcW w:w="1134" w:type="dxa"/>
          </w:tcPr>
          <w:p w14:paraId="27217E73" w14:textId="173924B7" w:rsidR="00327BF9" w:rsidRPr="00B81A28" w:rsidRDefault="004E72A2" w:rsidP="004B1D7C">
            <w:pPr>
              <w:spacing w:before="40" w:after="40" w:line="300" w:lineRule="atLeast"/>
              <w:jc w:val="center"/>
              <w:rPr>
                <w:rFonts w:ascii="Verdana" w:hAnsi="Verdana"/>
                <w:sz w:val="16"/>
                <w:szCs w:val="16"/>
              </w:rPr>
            </w:pPr>
            <w:r>
              <w:rPr>
                <w:rFonts w:ascii="Verdana" w:hAnsi="Verdana"/>
                <w:sz w:val="16"/>
                <w:szCs w:val="16"/>
              </w:rPr>
              <w:t>(8,31%)</w:t>
            </w:r>
          </w:p>
        </w:tc>
        <w:tc>
          <w:tcPr>
            <w:tcW w:w="1134" w:type="dxa"/>
            <w:shd w:val="clear" w:color="auto" w:fill="auto"/>
          </w:tcPr>
          <w:p w14:paraId="4AFCD1A7" w14:textId="412A8115" w:rsidR="00327BF9" w:rsidRPr="00B81A28" w:rsidRDefault="004E72A2" w:rsidP="004B1D7C">
            <w:pPr>
              <w:spacing w:before="40" w:after="40" w:line="300" w:lineRule="atLeast"/>
              <w:jc w:val="center"/>
              <w:rPr>
                <w:rFonts w:ascii="Verdana" w:hAnsi="Verdana"/>
                <w:sz w:val="16"/>
                <w:szCs w:val="16"/>
              </w:rPr>
            </w:pPr>
            <w:r>
              <w:rPr>
                <w:rFonts w:ascii="Verdana" w:hAnsi="Verdana"/>
                <w:sz w:val="16"/>
                <w:szCs w:val="16"/>
              </w:rPr>
              <w:t>(1,62%)</w:t>
            </w:r>
          </w:p>
        </w:tc>
        <w:tc>
          <w:tcPr>
            <w:tcW w:w="1134" w:type="dxa"/>
            <w:shd w:val="clear" w:color="auto" w:fill="auto"/>
          </w:tcPr>
          <w:p w14:paraId="6003BF45" w14:textId="19BCA92F" w:rsidR="00327BF9" w:rsidRPr="00B81A28" w:rsidRDefault="004E72A2" w:rsidP="004B1D7C">
            <w:pPr>
              <w:spacing w:before="40" w:after="40" w:line="300" w:lineRule="atLeast"/>
              <w:jc w:val="center"/>
              <w:rPr>
                <w:rFonts w:ascii="Verdana" w:hAnsi="Verdana"/>
                <w:sz w:val="16"/>
                <w:szCs w:val="16"/>
              </w:rPr>
            </w:pPr>
            <w:r>
              <w:rPr>
                <w:rFonts w:ascii="Verdana" w:hAnsi="Verdana"/>
                <w:sz w:val="16"/>
                <w:szCs w:val="16"/>
              </w:rPr>
              <w:t>6,21%</w:t>
            </w:r>
          </w:p>
        </w:tc>
        <w:tc>
          <w:tcPr>
            <w:tcW w:w="1134" w:type="dxa"/>
          </w:tcPr>
          <w:p w14:paraId="0ACD9E79" w14:textId="6578E17E" w:rsidR="00327BF9" w:rsidRPr="00B81A28" w:rsidRDefault="004E72A2" w:rsidP="004B1D7C">
            <w:pPr>
              <w:spacing w:before="40" w:after="40" w:line="300" w:lineRule="atLeast"/>
              <w:jc w:val="center"/>
              <w:rPr>
                <w:rFonts w:ascii="Verdana" w:hAnsi="Verdana"/>
                <w:sz w:val="16"/>
                <w:szCs w:val="16"/>
              </w:rPr>
            </w:pPr>
            <w:r>
              <w:rPr>
                <w:rFonts w:ascii="Verdana" w:hAnsi="Verdana"/>
                <w:sz w:val="16"/>
                <w:szCs w:val="16"/>
              </w:rPr>
              <w:t>10,43%</w:t>
            </w:r>
          </w:p>
        </w:tc>
        <w:tc>
          <w:tcPr>
            <w:tcW w:w="1134" w:type="dxa"/>
          </w:tcPr>
          <w:p w14:paraId="0D454AB9"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725629A" w14:textId="77777777" w:rsidTr="004B1D7C">
        <w:tc>
          <w:tcPr>
            <w:tcW w:w="4536" w:type="dxa"/>
          </w:tcPr>
          <w:p w14:paraId="40FE8BB9"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Top 50</w:t>
            </w:r>
          </w:p>
        </w:tc>
        <w:tc>
          <w:tcPr>
            <w:tcW w:w="1134" w:type="dxa"/>
          </w:tcPr>
          <w:p w14:paraId="00430623" w14:textId="4573C4F9" w:rsidR="00327BF9" w:rsidRPr="00B81A28" w:rsidRDefault="00C50F58" w:rsidP="004B1D7C">
            <w:pPr>
              <w:tabs>
                <w:tab w:val="left" w:pos="1050"/>
              </w:tabs>
              <w:spacing w:before="40" w:after="40" w:line="300" w:lineRule="atLeast"/>
              <w:jc w:val="center"/>
              <w:rPr>
                <w:rFonts w:ascii="Verdana" w:hAnsi="Verdana"/>
                <w:sz w:val="16"/>
                <w:szCs w:val="16"/>
              </w:rPr>
            </w:pPr>
            <w:r>
              <w:rPr>
                <w:rFonts w:ascii="Verdana" w:hAnsi="Verdana"/>
                <w:sz w:val="16"/>
                <w:szCs w:val="16"/>
              </w:rPr>
              <w:t>3,88%</w:t>
            </w:r>
          </w:p>
        </w:tc>
        <w:tc>
          <w:tcPr>
            <w:tcW w:w="1276" w:type="dxa"/>
          </w:tcPr>
          <w:p w14:paraId="264F1C99" w14:textId="4CB22886" w:rsidR="00327BF9" w:rsidRPr="00B81A28" w:rsidRDefault="00C50F58" w:rsidP="004B1D7C">
            <w:pPr>
              <w:spacing w:before="40" w:after="40" w:line="300" w:lineRule="atLeast"/>
              <w:jc w:val="center"/>
              <w:rPr>
                <w:rFonts w:ascii="Verdana" w:hAnsi="Verdana"/>
                <w:sz w:val="16"/>
                <w:szCs w:val="16"/>
              </w:rPr>
            </w:pPr>
            <w:r>
              <w:rPr>
                <w:rFonts w:ascii="Verdana" w:hAnsi="Verdana"/>
                <w:sz w:val="16"/>
                <w:szCs w:val="16"/>
              </w:rPr>
              <w:t>6,78%</w:t>
            </w:r>
          </w:p>
        </w:tc>
        <w:tc>
          <w:tcPr>
            <w:tcW w:w="1134" w:type="dxa"/>
          </w:tcPr>
          <w:p w14:paraId="4408CFAF" w14:textId="7201EE23" w:rsidR="00327BF9" w:rsidRPr="00B81A28" w:rsidRDefault="00C50F58" w:rsidP="004B1D7C">
            <w:pPr>
              <w:spacing w:before="40" w:after="40" w:line="300" w:lineRule="atLeast"/>
              <w:jc w:val="center"/>
              <w:rPr>
                <w:rFonts w:ascii="Verdana" w:hAnsi="Verdana"/>
                <w:sz w:val="16"/>
                <w:szCs w:val="16"/>
              </w:rPr>
            </w:pPr>
            <w:r>
              <w:rPr>
                <w:rFonts w:ascii="Verdana" w:hAnsi="Verdana"/>
                <w:sz w:val="16"/>
                <w:szCs w:val="16"/>
              </w:rPr>
              <w:t>(0,46%)</w:t>
            </w:r>
          </w:p>
        </w:tc>
        <w:tc>
          <w:tcPr>
            <w:tcW w:w="1134" w:type="dxa"/>
          </w:tcPr>
          <w:p w14:paraId="211433FC" w14:textId="4795B247" w:rsidR="00327BF9" w:rsidRPr="00B81A28" w:rsidRDefault="00C50F58" w:rsidP="004B1D7C">
            <w:pPr>
              <w:spacing w:before="40" w:after="40" w:line="300" w:lineRule="atLeast"/>
              <w:jc w:val="center"/>
              <w:rPr>
                <w:rFonts w:ascii="Verdana" w:hAnsi="Verdana"/>
                <w:sz w:val="16"/>
                <w:szCs w:val="16"/>
              </w:rPr>
            </w:pPr>
            <w:r>
              <w:rPr>
                <w:rFonts w:ascii="Verdana" w:hAnsi="Verdana"/>
                <w:sz w:val="16"/>
                <w:szCs w:val="16"/>
              </w:rPr>
              <w:t>(0,99%)</w:t>
            </w:r>
          </w:p>
        </w:tc>
        <w:tc>
          <w:tcPr>
            <w:tcW w:w="1134" w:type="dxa"/>
          </w:tcPr>
          <w:p w14:paraId="1F1B01FF" w14:textId="4774DFA0" w:rsidR="00327BF9" w:rsidRPr="00B81A28" w:rsidRDefault="00C50F58" w:rsidP="004B1D7C">
            <w:pPr>
              <w:spacing w:before="40" w:after="40" w:line="300" w:lineRule="atLeast"/>
              <w:jc w:val="center"/>
              <w:rPr>
                <w:rFonts w:ascii="Verdana" w:hAnsi="Verdana"/>
                <w:sz w:val="16"/>
                <w:szCs w:val="16"/>
              </w:rPr>
            </w:pPr>
            <w:r>
              <w:rPr>
                <w:rFonts w:ascii="Verdana" w:hAnsi="Verdana"/>
                <w:sz w:val="16"/>
                <w:szCs w:val="16"/>
              </w:rPr>
              <w:t>(3,04%)</w:t>
            </w:r>
          </w:p>
        </w:tc>
        <w:tc>
          <w:tcPr>
            <w:tcW w:w="1134" w:type="dxa"/>
            <w:shd w:val="clear" w:color="auto" w:fill="auto"/>
          </w:tcPr>
          <w:p w14:paraId="6A2856FF" w14:textId="149E81E6" w:rsidR="00327BF9" w:rsidRPr="00B81A28" w:rsidRDefault="00C50F58" w:rsidP="004B1D7C">
            <w:pPr>
              <w:spacing w:before="40" w:after="40" w:line="300" w:lineRule="atLeast"/>
              <w:jc w:val="center"/>
              <w:rPr>
                <w:rFonts w:ascii="Verdana" w:hAnsi="Verdana"/>
                <w:sz w:val="16"/>
                <w:szCs w:val="16"/>
              </w:rPr>
            </w:pPr>
            <w:r>
              <w:rPr>
                <w:rFonts w:ascii="Verdana" w:hAnsi="Verdana"/>
                <w:sz w:val="16"/>
                <w:szCs w:val="16"/>
              </w:rPr>
              <w:t>(1,00%)</w:t>
            </w:r>
          </w:p>
        </w:tc>
        <w:tc>
          <w:tcPr>
            <w:tcW w:w="1134" w:type="dxa"/>
            <w:shd w:val="clear" w:color="auto" w:fill="auto"/>
          </w:tcPr>
          <w:p w14:paraId="289E59CB" w14:textId="32957F46" w:rsidR="00327BF9" w:rsidRPr="00B81A28" w:rsidRDefault="00C50F58" w:rsidP="004B1D7C">
            <w:pPr>
              <w:spacing w:before="40" w:after="40" w:line="300" w:lineRule="atLeast"/>
              <w:jc w:val="center"/>
              <w:rPr>
                <w:rFonts w:ascii="Verdana" w:hAnsi="Verdana"/>
                <w:sz w:val="16"/>
                <w:szCs w:val="16"/>
              </w:rPr>
            </w:pPr>
            <w:r>
              <w:rPr>
                <w:rFonts w:ascii="Verdana" w:hAnsi="Verdana"/>
                <w:sz w:val="16"/>
                <w:szCs w:val="16"/>
              </w:rPr>
              <w:t>4,78%</w:t>
            </w:r>
          </w:p>
        </w:tc>
        <w:tc>
          <w:tcPr>
            <w:tcW w:w="1134" w:type="dxa"/>
          </w:tcPr>
          <w:p w14:paraId="5DE77C76" w14:textId="643F3C09" w:rsidR="00327BF9" w:rsidRPr="00B81A28" w:rsidRDefault="00C50F58" w:rsidP="004B1D7C">
            <w:pPr>
              <w:spacing w:before="40" w:after="40" w:line="300" w:lineRule="atLeast"/>
              <w:jc w:val="center"/>
              <w:rPr>
                <w:rFonts w:ascii="Verdana" w:hAnsi="Verdana"/>
                <w:sz w:val="16"/>
                <w:szCs w:val="16"/>
              </w:rPr>
            </w:pPr>
            <w:r>
              <w:rPr>
                <w:rFonts w:ascii="Verdana" w:hAnsi="Verdana"/>
                <w:sz w:val="16"/>
                <w:szCs w:val="16"/>
              </w:rPr>
              <w:t>6,70%</w:t>
            </w:r>
          </w:p>
        </w:tc>
        <w:tc>
          <w:tcPr>
            <w:tcW w:w="1134" w:type="dxa"/>
          </w:tcPr>
          <w:p w14:paraId="149EB228" w14:textId="39CDA92F" w:rsidR="00327BF9" w:rsidRPr="00B81A28" w:rsidRDefault="00C50F58" w:rsidP="004B1D7C">
            <w:pPr>
              <w:spacing w:before="40" w:after="40" w:line="300" w:lineRule="atLeast"/>
              <w:jc w:val="center"/>
              <w:rPr>
                <w:rFonts w:ascii="Verdana" w:hAnsi="Verdana"/>
                <w:sz w:val="16"/>
                <w:szCs w:val="16"/>
              </w:rPr>
            </w:pPr>
            <w:r>
              <w:rPr>
                <w:rFonts w:ascii="Verdana" w:hAnsi="Verdana"/>
                <w:sz w:val="16"/>
                <w:szCs w:val="16"/>
              </w:rPr>
              <w:t>7,56%</w:t>
            </w:r>
          </w:p>
        </w:tc>
      </w:tr>
      <w:tr w:rsidR="00327BF9" w:rsidRPr="00B81A28" w14:paraId="5023F0ED" w14:textId="77777777" w:rsidTr="004B1D7C">
        <w:tc>
          <w:tcPr>
            <w:tcW w:w="4536" w:type="dxa"/>
          </w:tcPr>
          <w:p w14:paraId="60447F04"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RESI </w:t>
            </w:r>
          </w:p>
        </w:tc>
        <w:tc>
          <w:tcPr>
            <w:tcW w:w="1134" w:type="dxa"/>
          </w:tcPr>
          <w:p w14:paraId="3EC9AAD3" w14:textId="33F97AAA" w:rsidR="00327BF9" w:rsidRPr="00B81A28" w:rsidRDefault="001D494B" w:rsidP="004B1D7C">
            <w:pPr>
              <w:tabs>
                <w:tab w:val="left" w:pos="1050"/>
              </w:tabs>
              <w:spacing w:before="40" w:after="40" w:line="300" w:lineRule="atLeast"/>
              <w:jc w:val="center"/>
              <w:rPr>
                <w:rFonts w:ascii="Verdana" w:hAnsi="Verdana"/>
                <w:sz w:val="16"/>
                <w:szCs w:val="16"/>
              </w:rPr>
            </w:pPr>
            <w:r>
              <w:rPr>
                <w:rFonts w:ascii="Verdana" w:hAnsi="Verdana"/>
                <w:sz w:val="16"/>
                <w:szCs w:val="16"/>
              </w:rPr>
              <w:t>9,30%</w:t>
            </w:r>
          </w:p>
        </w:tc>
        <w:tc>
          <w:tcPr>
            <w:tcW w:w="1276" w:type="dxa"/>
          </w:tcPr>
          <w:p w14:paraId="59AB297B" w14:textId="06B1DF61" w:rsidR="00327BF9" w:rsidRPr="00B81A28" w:rsidRDefault="001D494B" w:rsidP="004B1D7C">
            <w:pPr>
              <w:spacing w:before="40" w:after="40" w:line="300" w:lineRule="atLeast"/>
              <w:jc w:val="center"/>
              <w:rPr>
                <w:rFonts w:ascii="Verdana" w:hAnsi="Verdana"/>
                <w:sz w:val="16"/>
                <w:szCs w:val="16"/>
              </w:rPr>
            </w:pPr>
            <w:r>
              <w:rPr>
                <w:rFonts w:ascii="Verdana" w:hAnsi="Verdana"/>
                <w:sz w:val="16"/>
                <w:szCs w:val="16"/>
              </w:rPr>
              <w:t>20,15%</w:t>
            </w:r>
          </w:p>
        </w:tc>
        <w:tc>
          <w:tcPr>
            <w:tcW w:w="1134" w:type="dxa"/>
          </w:tcPr>
          <w:p w14:paraId="166342CE" w14:textId="3E0A02F2" w:rsidR="00327BF9" w:rsidRPr="00B81A28" w:rsidRDefault="001D494B" w:rsidP="004B1D7C">
            <w:pPr>
              <w:spacing w:before="40" w:after="40" w:line="300" w:lineRule="atLeast"/>
              <w:jc w:val="center"/>
              <w:rPr>
                <w:rFonts w:ascii="Verdana" w:hAnsi="Verdana"/>
                <w:sz w:val="16"/>
                <w:szCs w:val="16"/>
              </w:rPr>
            </w:pPr>
            <w:r>
              <w:rPr>
                <w:rFonts w:ascii="Verdana" w:hAnsi="Verdana"/>
                <w:sz w:val="16"/>
                <w:szCs w:val="16"/>
              </w:rPr>
              <w:t>14,19%</w:t>
            </w:r>
          </w:p>
        </w:tc>
        <w:tc>
          <w:tcPr>
            <w:tcW w:w="1134" w:type="dxa"/>
          </w:tcPr>
          <w:p w14:paraId="79069A9F" w14:textId="1F9ED163" w:rsidR="00327BF9" w:rsidRPr="00B81A28" w:rsidRDefault="001D494B" w:rsidP="004B1D7C">
            <w:pPr>
              <w:spacing w:before="40" w:after="40" w:line="300" w:lineRule="atLeast"/>
              <w:jc w:val="center"/>
              <w:rPr>
                <w:rFonts w:ascii="Verdana" w:hAnsi="Verdana"/>
                <w:sz w:val="16"/>
                <w:szCs w:val="16"/>
              </w:rPr>
            </w:pPr>
            <w:r>
              <w:rPr>
                <w:rFonts w:ascii="Verdana" w:hAnsi="Verdana"/>
                <w:sz w:val="16"/>
                <w:szCs w:val="16"/>
              </w:rPr>
              <w:t>28,63%</w:t>
            </w:r>
          </w:p>
        </w:tc>
        <w:tc>
          <w:tcPr>
            <w:tcW w:w="1134" w:type="dxa"/>
          </w:tcPr>
          <w:p w14:paraId="0D66B209" w14:textId="2FBC1A7A" w:rsidR="00327BF9" w:rsidRPr="00B81A28" w:rsidRDefault="001D494B" w:rsidP="004B1D7C">
            <w:pPr>
              <w:spacing w:before="40" w:after="40" w:line="300" w:lineRule="atLeast"/>
              <w:jc w:val="center"/>
              <w:rPr>
                <w:rFonts w:ascii="Verdana" w:hAnsi="Verdana"/>
                <w:sz w:val="16"/>
                <w:szCs w:val="16"/>
              </w:rPr>
            </w:pPr>
            <w:r>
              <w:rPr>
                <w:rFonts w:ascii="Verdana" w:hAnsi="Verdana"/>
                <w:sz w:val="16"/>
                <w:szCs w:val="16"/>
              </w:rPr>
              <w:t>2,59%</w:t>
            </w:r>
          </w:p>
        </w:tc>
        <w:tc>
          <w:tcPr>
            <w:tcW w:w="1134" w:type="dxa"/>
            <w:shd w:val="clear" w:color="auto" w:fill="auto"/>
          </w:tcPr>
          <w:p w14:paraId="37C8C8E1" w14:textId="2416BE29" w:rsidR="00327BF9" w:rsidRPr="00B81A28" w:rsidRDefault="001D494B" w:rsidP="004B1D7C">
            <w:pPr>
              <w:spacing w:before="40" w:after="40" w:line="300" w:lineRule="atLeast"/>
              <w:jc w:val="center"/>
              <w:rPr>
                <w:rFonts w:ascii="Verdana" w:hAnsi="Verdana"/>
                <w:sz w:val="16"/>
                <w:szCs w:val="16"/>
              </w:rPr>
            </w:pPr>
            <w:r>
              <w:rPr>
                <w:rFonts w:ascii="Verdana" w:hAnsi="Verdana"/>
                <w:sz w:val="16"/>
                <w:szCs w:val="16"/>
              </w:rPr>
              <w:t>25,28%</w:t>
            </w:r>
          </w:p>
        </w:tc>
        <w:tc>
          <w:tcPr>
            <w:tcW w:w="1134" w:type="dxa"/>
            <w:shd w:val="clear" w:color="auto" w:fill="auto"/>
          </w:tcPr>
          <w:p w14:paraId="2CCF2FC3" w14:textId="6307D8B1" w:rsidR="00327BF9" w:rsidRPr="00B81A28" w:rsidRDefault="001D494B" w:rsidP="004B1D7C">
            <w:pPr>
              <w:spacing w:before="40" w:after="40" w:line="300" w:lineRule="atLeast"/>
              <w:jc w:val="center"/>
              <w:rPr>
                <w:rFonts w:ascii="Verdana" w:hAnsi="Verdana"/>
                <w:sz w:val="16"/>
                <w:szCs w:val="16"/>
              </w:rPr>
            </w:pPr>
            <w:r>
              <w:rPr>
                <w:rFonts w:ascii="Verdana" w:hAnsi="Verdana"/>
                <w:sz w:val="16"/>
                <w:szCs w:val="16"/>
              </w:rPr>
              <w:t>13,89%</w:t>
            </w:r>
          </w:p>
        </w:tc>
        <w:tc>
          <w:tcPr>
            <w:tcW w:w="1134" w:type="dxa"/>
          </w:tcPr>
          <w:p w14:paraId="23682562" w14:textId="5B200082" w:rsidR="00327BF9" w:rsidRPr="00B81A28" w:rsidRDefault="001D494B" w:rsidP="004B1D7C">
            <w:pPr>
              <w:spacing w:before="40" w:after="40" w:line="300" w:lineRule="atLeast"/>
              <w:jc w:val="center"/>
              <w:rPr>
                <w:rFonts w:ascii="Verdana" w:hAnsi="Verdana"/>
                <w:sz w:val="16"/>
                <w:szCs w:val="16"/>
              </w:rPr>
            </w:pPr>
            <w:r>
              <w:rPr>
                <w:rFonts w:ascii="Verdana" w:hAnsi="Verdana"/>
                <w:sz w:val="16"/>
                <w:szCs w:val="16"/>
              </w:rPr>
              <w:t>8,61%</w:t>
            </w:r>
          </w:p>
        </w:tc>
        <w:tc>
          <w:tcPr>
            <w:tcW w:w="1134" w:type="dxa"/>
          </w:tcPr>
          <w:p w14:paraId="6D6ED666"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65F1D65A" w14:textId="77777777" w:rsidTr="004B1D7C">
        <w:tc>
          <w:tcPr>
            <w:tcW w:w="4536" w:type="dxa"/>
          </w:tcPr>
          <w:p w14:paraId="0DDEA744"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Satrix RAFI Total Return</w:t>
            </w:r>
          </w:p>
        </w:tc>
        <w:tc>
          <w:tcPr>
            <w:tcW w:w="1134" w:type="dxa"/>
          </w:tcPr>
          <w:p w14:paraId="31C39626" w14:textId="4E47DA79" w:rsidR="00327BF9" w:rsidRPr="00B81A28" w:rsidRDefault="008A62B1" w:rsidP="004B1D7C">
            <w:pPr>
              <w:tabs>
                <w:tab w:val="left" w:pos="1050"/>
              </w:tabs>
              <w:spacing w:before="40" w:after="40" w:line="300" w:lineRule="atLeast"/>
              <w:jc w:val="center"/>
              <w:rPr>
                <w:rFonts w:ascii="Verdana" w:hAnsi="Verdana"/>
                <w:sz w:val="16"/>
                <w:szCs w:val="16"/>
              </w:rPr>
            </w:pPr>
            <w:r>
              <w:rPr>
                <w:rFonts w:ascii="Verdana" w:hAnsi="Verdana"/>
                <w:sz w:val="16"/>
                <w:szCs w:val="16"/>
              </w:rPr>
              <w:t>1,95%</w:t>
            </w:r>
          </w:p>
        </w:tc>
        <w:tc>
          <w:tcPr>
            <w:tcW w:w="1276" w:type="dxa"/>
          </w:tcPr>
          <w:p w14:paraId="3763FD5B" w14:textId="50D2713D"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2,66%</w:t>
            </w:r>
          </w:p>
        </w:tc>
        <w:tc>
          <w:tcPr>
            <w:tcW w:w="1134" w:type="dxa"/>
          </w:tcPr>
          <w:p w14:paraId="11FB65D3" w14:textId="6C09E94B"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0,32%</w:t>
            </w:r>
          </w:p>
        </w:tc>
        <w:tc>
          <w:tcPr>
            <w:tcW w:w="1134" w:type="dxa"/>
          </w:tcPr>
          <w:p w14:paraId="747E1A5A" w14:textId="36F26C4C"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19,24%</w:t>
            </w:r>
          </w:p>
        </w:tc>
        <w:tc>
          <w:tcPr>
            <w:tcW w:w="1134" w:type="dxa"/>
          </w:tcPr>
          <w:p w14:paraId="24C5F292" w14:textId="0171CD8C"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11,2%</w:t>
            </w:r>
          </w:p>
        </w:tc>
        <w:tc>
          <w:tcPr>
            <w:tcW w:w="1134" w:type="dxa"/>
            <w:shd w:val="clear" w:color="auto" w:fill="auto"/>
          </w:tcPr>
          <w:p w14:paraId="58F798E3" w14:textId="65FA0673"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7,19%</w:t>
            </w:r>
          </w:p>
        </w:tc>
        <w:tc>
          <w:tcPr>
            <w:tcW w:w="1134" w:type="dxa"/>
            <w:shd w:val="clear" w:color="auto" w:fill="auto"/>
          </w:tcPr>
          <w:p w14:paraId="2DB1321B" w14:textId="09FB036B"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10,07%</w:t>
            </w:r>
          </w:p>
        </w:tc>
        <w:tc>
          <w:tcPr>
            <w:tcW w:w="1134" w:type="dxa"/>
          </w:tcPr>
          <w:p w14:paraId="01DBF008" w14:textId="35C574D2" w:rsidR="00327BF9" w:rsidRPr="00B81A28" w:rsidRDefault="008A62B1" w:rsidP="004B1D7C">
            <w:pPr>
              <w:spacing w:before="40" w:after="40" w:line="300" w:lineRule="atLeast"/>
              <w:jc w:val="center"/>
              <w:rPr>
                <w:rFonts w:ascii="Verdana" w:hAnsi="Verdana"/>
                <w:sz w:val="16"/>
                <w:szCs w:val="16"/>
              </w:rPr>
            </w:pPr>
            <w:r>
              <w:rPr>
                <w:rFonts w:ascii="Verdana" w:hAnsi="Verdana"/>
                <w:sz w:val="16"/>
                <w:szCs w:val="16"/>
              </w:rPr>
              <w:t>10,25%</w:t>
            </w:r>
          </w:p>
        </w:tc>
        <w:tc>
          <w:tcPr>
            <w:tcW w:w="1134" w:type="dxa"/>
          </w:tcPr>
          <w:p w14:paraId="6D941B8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bl>
    <w:p w14:paraId="09B91B48" w14:textId="77777777" w:rsidR="00327BF9" w:rsidRPr="00B81A28" w:rsidRDefault="00327BF9" w:rsidP="00327BF9">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24F09BEE" wp14:editId="3D9ACE35">
            <wp:extent cx="3057525" cy="642486"/>
            <wp:effectExtent l="0" t="0" r="0" b="5715"/>
            <wp:docPr id="13" name="Picture 13"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327BF9" w:rsidRPr="00B81A28" w14:paraId="09DCE8C2" w14:textId="77777777" w:rsidTr="004B1D7C">
        <w:tc>
          <w:tcPr>
            <w:tcW w:w="14884" w:type="dxa"/>
            <w:gridSpan w:val="10"/>
            <w:shd w:val="clear" w:color="auto" w:fill="CB2229"/>
            <w:vAlign w:val="center"/>
          </w:tcPr>
          <w:p w14:paraId="1D5851CE"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0470B99"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p>
          <w:p w14:paraId="2094DC87"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327BF9" w:rsidRPr="00B81A28" w14:paraId="2FE42503" w14:textId="77777777" w:rsidTr="004B1D7C">
        <w:tc>
          <w:tcPr>
            <w:tcW w:w="4536" w:type="dxa"/>
            <w:shd w:val="clear" w:color="auto" w:fill="4C4C4C"/>
          </w:tcPr>
          <w:p w14:paraId="7ADA196A" w14:textId="77777777" w:rsidR="00327BF9" w:rsidRPr="0067766B" w:rsidRDefault="00327BF9" w:rsidP="004B1D7C">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1C0DE787"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5C77EECC"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0010F044"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24DE0040"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73BC5CC8"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1C4061B7"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6CF16319"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0373AA1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07505546"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0D5A5E27" w14:textId="77777777" w:rsidTr="004B1D7C">
        <w:tc>
          <w:tcPr>
            <w:tcW w:w="14884" w:type="dxa"/>
            <w:gridSpan w:val="10"/>
            <w:shd w:val="clear" w:color="auto" w:fill="7583BD"/>
          </w:tcPr>
          <w:p w14:paraId="5E6CC1F9" w14:textId="77777777" w:rsidR="00327BF9" w:rsidRPr="00971C8D" w:rsidRDefault="00327BF9" w:rsidP="004B1D7C">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Broad Equity Market Access</w:t>
            </w:r>
          </w:p>
        </w:tc>
      </w:tr>
      <w:tr w:rsidR="00327BF9" w:rsidRPr="00CE5E68" w14:paraId="43956A15" w14:textId="77777777" w:rsidTr="004B1D7C">
        <w:tc>
          <w:tcPr>
            <w:tcW w:w="4536" w:type="dxa"/>
          </w:tcPr>
          <w:p w14:paraId="5EDAB8D6" w14:textId="77777777" w:rsidR="00327BF9" w:rsidRPr="00CE5E68" w:rsidRDefault="00327BF9" w:rsidP="004B1D7C">
            <w:pPr>
              <w:spacing w:before="40" w:after="40" w:line="300" w:lineRule="atLeast"/>
              <w:rPr>
                <w:rFonts w:ascii="Verdana" w:hAnsi="Verdana"/>
                <w:b/>
                <w:sz w:val="16"/>
                <w:szCs w:val="16"/>
              </w:rPr>
            </w:pPr>
            <w:r>
              <w:rPr>
                <w:rFonts w:ascii="Verdana" w:hAnsi="Verdana"/>
                <w:b/>
                <w:sz w:val="16"/>
                <w:szCs w:val="16"/>
              </w:rPr>
              <w:t>MSCI World Index (Rands)</w:t>
            </w:r>
          </w:p>
        </w:tc>
        <w:tc>
          <w:tcPr>
            <w:tcW w:w="1134" w:type="dxa"/>
            <w:vAlign w:val="center"/>
          </w:tcPr>
          <w:p w14:paraId="07F1CC34" w14:textId="1FF17553" w:rsidR="00327BF9" w:rsidRPr="00CE5E68" w:rsidRDefault="00A82F1A" w:rsidP="004B1D7C">
            <w:pPr>
              <w:tabs>
                <w:tab w:val="left" w:pos="1050"/>
              </w:tabs>
              <w:spacing w:before="40" w:after="40" w:line="300" w:lineRule="atLeast"/>
              <w:jc w:val="center"/>
              <w:rPr>
                <w:rFonts w:ascii="Verdana" w:hAnsi="Verdana"/>
                <w:b/>
                <w:sz w:val="16"/>
                <w:szCs w:val="16"/>
              </w:rPr>
            </w:pPr>
            <w:r>
              <w:rPr>
                <w:rFonts w:ascii="Verdana" w:hAnsi="Verdana"/>
                <w:b/>
                <w:sz w:val="16"/>
                <w:szCs w:val="16"/>
              </w:rPr>
              <w:t>8,57%</w:t>
            </w:r>
          </w:p>
        </w:tc>
        <w:tc>
          <w:tcPr>
            <w:tcW w:w="1276" w:type="dxa"/>
            <w:vAlign w:val="center"/>
          </w:tcPr>
          <w:p w14:paraId="62338DED" w14:textId="6460C53E" w:rsidR="00327BF9" w:rsidRPr="00CE5E68" w:rsidRDefault="00A82F1A" w:rsidP="004B1D7C">
            <w:pPr>
              <w:spacing w:before="40" w:after="40" w:line="300" w:lineRule="atLeast"/>
              <w:jc w:val="center"/>
              <w:rPr>
                <w:rFonts w:ascii="Verdana" w:hAnsi="Verdana"/>
                <w:b/>
                <w:sz w:val="16"/>
                <w:szCs w:val="16"/>
              </w:rPr>
            </w:pPr>
            <w:r>
              <w:rPr>
                <w:rFonts w:ascii="Verdana" w:hAnsi="Verdana"/>
                <w:b/>
                <w:sz w:val="16"/>
                <w:szCs w:val="16"/>
              </w:rPr>
              <w:t>18,71%</w:t>
            </w:r>
          </w:p>
        </w:tc>
        <w:tc>
          <w:tcPr>
            <w:tcW w:w="1134" w:type="dxa"/>
            <w:vAlign w:val="center"/>
          </w:tcPr>
          <w:p w14:paraId="6ED8AF49" w14:textId="30D0AFAC" w:rsidR="00327BF9" w:rsidRPr="00CE5E68" w:rsidRDefault="00A82F1A" w:rsidP="004B1D7C">
            <w:pPr>
              <w:spacing w:before="40" w:after="40" w:line="300" w:lineRule="atLeast"/>
              <w:jc w:val="center"/>
              <w:rPr>
                <w:rFonts w:ascii="Verdana" w:hAnsi="Verdana"/>
                <w:b/>
                <w:sz w:val="16"/>
                <w:szCs w:val="16"/>
              </w:rPr>
            </w:pPr>
            <w:r>
              <w:rPr>
                <w:rFonts w:ascii="Verdana" w:hAnsi="Verdana"/>
                <w:b/>
                <w:sz w:val="16"/>
                <w:szCs w:val="16"/>
              </w:rPr>
              <w:t>9,62%</w:t>
            </w:r>
          </w:p>
        </w:tc>
        <w:tc>
          <w:tcPr>
            <w:tcW w:w="1134" w:type="dxa"/>
            <w:vAlign w:val="center"/>
          </w:tcPr>
          <w:p w14:paraId="09C97CD5" w14:textId="36E71013" w:rsidR="00327BF9" w:rsidRPr="00CE5E68" w:rsidRDefault="00A82F1A" w:rsidP="004B1D7C">
            <w:pPr>
              <w:spacing w:before="40" w:after="40" w:line="300" w:lineRule="atLeast"/>
              <w:jc w:val="center"/>
              <w:rPr>
                <w:rFonts w:ascii="Verdana" w:hAnsi="Verdana"/>
                <w:b/>
                <w:sz w:val="16"/>
                <w:szCs w:val="16"/>
              </w:rPr>
            </w:pPr>
            <w:r>
              <w:rPr>
                <w:rFonts w:ascii="Verdana" w:hAnsi="Verdana"/>
                <w:b/>
                <w:sz w:val="16"/>
                <w:szCs w:val="16"/>
              </w:rPr>
              <w:t>13,77%</w:t>
            </w:r>
          </w:p>
        </w:tc>
        <w:tc>
          <w:tcPr>
            <w:tcW w:w="1134" w:type="dxa"/>
            <w:vAlign w:val="center"/>
          </w:tcPr>
          <w:p w14:paraId="11C6ADDB" w14:textId="7E16684A" w:rsidR="00327BF9" w:rsidRPr="00CE5E68" w:rsidRDefault="00A82F1A" w:rsidP="004B1D7C">
            <w:pPr>
              <w:spacing w:before="40" w:after="40" w:line="300" w:lineRule="atLeast"/>
              <w:jc w:val="center"/>
              <w:rPr>
                <w:rFonts w:ascii="Verdana" w:hAnsi="Verdana"/>
                <w:b/>
                <w:sz w:val="16"/>
                <w:szCs w:val="16"/>
              </w:rPr>
            </w:pPr>
            <w:r>
              <w:rPr>
                <w:rFonts w:ascii="Verdana" w:hAnsi="Verdana"/>
                <w:b/>
                <w:sz w:val="16"/>
                <w:szCs w:val="16"/>
              </w:rPr>
              <w:t>9,97%</w:t>
            </w:r>
          </w:p>
        </w:tc>
        <w:tc>
          <w:tcPr>
            <w:tcW w:w="1134" w:type="dxa"/>
            <w:shd w:val="clear" w:color="auto" w:fill="auto"/>
          </w:tcPr>
          <w:p w14:paraId="0E086010" w14:textId="3ADBC52D" w:rsidR="00327BF9" w:rsidRPr="00CE5E68" w:rsidRDefault="00A82F1A" w:rsidP="004B1D7C">
            <w:pPr>
              <w:spacing w:before="40" w:after="40" w:line="300" w:lineRule="atLeast"/>
              <w:jc w:val="center"/>
              <w:rPr>
                <w:rFonts w:ascii="Verdana" w:hAnsi="Verdana"/>
                <w:b/>
                <w:sz w:val="16"/>
                <w:szCs w:val="16"/>
              </w:rPr>
            </w:pPr>
            <w:r>
              <w:rPr>
                <w:rFonts w:ascii="Verdana" w:hAnsi="Verdana"/>
                <w:b/>
                <w:sz w:val="16"/>
                <w:szCs w:val="16"/>
              </w:rPr>
              <w:t>9,71%</w:t>
            </w:r>
          </w:p>
        </w:tc>
        <w:tc>
          <w:tcPr>
            <w:tcW w:w="1134" w:type="dxa"/>
            <w:shd w:val="clear" w:color="auto" w:fill="auto"/>
          </w:tcPr>
          <w:p w14:paraId="7259ED72" w14:textId="736C1C4F" w:rsidR="00327BF9" w:rsidRPr="00CE5E68" w:rsidRDefault="00A82F1A" w:rsidP="004B1D7C">
            <w:pPr>
              <w:spacing w:before="40" w:after="40" w:line="300" w:lineRule="atLeast"/>
              <w:jc w:val="center"/>
              <w:rPr>
                <w:rFonts w:ascii="Verdana" w:hAnsi="Verdana"/>
                <w:b/>
                <w:sz w:val="16"/>
                <w:szCs w:val="16"/>
              </w:rPr>
            </w:pPr>
            <w:r>
              <w:rPr>
                <w:rFonts w:ascii="Verdana" w:hAnsi="Verdana"/>
                <w:b/>
                <w:sz w:val="16"/>
                <w:szCs w:val="16"/>
              </w:rPr>
              <w:t>14,95%</w:t>
            </w:r>
          </w:p>
        </w:tc>
        <w:tc>
          <w:tcPr>
            <w:tcW w:w="1134" w:type="dxa"/>
          </w:tcPr>
          <w:p w14:paraId="7EF731FC" w14:textId="6D5C15F1" w:rsidR="00327BF9" w:rsidRPr="00CE5E68" w:rsidRDefault="00A82F1A" w:rsidP="004B1D7C">
            <w:pPr>
              <w:spacing w:before="40" w:after="40" w:line="300" w:lineRule="atLeast"/>
              <w:jc w:val="center"/>
              <w:rPr>
                <w:rFonts w:ascii="Verdana" w:hAnsi="Verdana"/>
                <w:b/>
                <w:sz w:val="16"/>
                <w:szCs w:val="16"/>
              </w:rPr>
            </w:pPr>
            <w:r>
              <w:rPr>
                <w:rFonts w:ascii="Verdana" w:hAnsi="Verdana"/>
                <w:b/>
                <w:sz w:val="16"/>
                <w:szCs w:val="16"/>
              </w:rPr>
              <w:t>18,18%</w:t>
            </w:r>
          </w:p>
        </w:tc>
        <w:tc>
          <w:tcPr>
            <w:tcW w:w="1134" w:type="dxa"/>
          </w:tcPr>
          <w:p w14:paraId="6C458F40" w14:textId="69BC8240" w:rsidR="00327BF9" w:rsidRPr="00CE5E68" w:rsidRDefault="00A82F1A" w:rsidP="004B1D7C">
            <w:pPr>
              <w:spacing w:before="40" w:after="40" w:line="300" w:lineRule="atLeast"/>
              <w:jc w:val="center"/>
              <w:rPr>
                <w:rFonts w:ascii="Verdana" w:hAnsi="Verdana"/>
                <w:b/>
                <w:sz w:val="16"/>
                <w:szCs w:val="16"/>
              </w:rPr>
            </w:pPr>
            <w:r>
              <w:rPr>
                <w:rFonts w:ascii="Verdana" w:hAnsi="Verdana"/>
                <w:b/>
                <w:sz w:val="16"/>
                <w:szCs w:val="16"/>
              </w:rPr>
              <w:t>9,91%</w:t>
            </w:r>
          </w:p>
        </w:tc>
      </w:tr>
      <w:tr w:rsidR="00327BF9" w:rsidRPr="00B81A28" w14:paraId="72B031EE" w14:textId="77777777" w:rsidTr="004B1D7C">
        <w:tc>
          <w:tcPr>
            <w:tcW w:w="4536" w:type="dxa"/>
          </w:tcPr>
          <w:p w14:paraId="56138DC1"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Ashburton Global 1200 E</w:t>
            </w:r>
            <w:r>
              <w:rPr>
                <w:rFonts w:ascii="Verdana" w:hAnsi="Verdana"/>
                <w:sz w:val="16"/>
                <w:szCs w:val="16"/>
              </w:rPr>
              <w:t>quity</w:t>
            </w:r>
          </w:p>
        </w:tc>
        <w:tc>
          <w:tcPr>
            <w:tcW w:w="1134" w:type="dxa"/>
            <w:vAlign w:val="center"/>
          </w:tcPr>
          <w:p w14:paraId="4732150E" w14:textId="4713C1DF" w:rsidR="00327BF9" w:rsidRPr="00B81A28" w:rsidRDefault="00A82F1A" w:rsidP="004B1D7C">
            <w:pPr>
              <w:tabs>
                <w:tab w:val="left" w:pos="1050"/>
              </w:tabs>
              <w:spacing w:before="40" w:after="40" w:line="300" w:lineRule="atLeast"/>
              <w:jc w:val="center"/>
              <w:rPr>
                <w:rFonts w:ascii="Verdana" w:hAnsi="Verdana"/>
                <w:sz w:val="16"/>
                <w:szCs w:val="16"/>
              </w:rPr>
            </w:pPr>
            <w:r>
              <w:rPr>
                <w:rFonts w:ascii="Verdana" w:hAnsi="Verdana"/>
                <w:sz w:val="16"/>
                <w:szCs w:val="16"/>
              </w:rPr>
              <w:t>8,84%</w:t>
            </w:r>
          </w:p>
        </w:tc>
        <w:tc>
          <w:tcPr>
            <w:tcW w:w="1276" w:type="dxa"/>
            <w:vAlign w:val="center"/>
          </w:tcPr>
          <w:p w14:paraId="675EA229" w14:textId="7FC6F4A3"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16,60%</w:t>
            </w:r>
          </w:p>
        </w:tc>
        <w:tc>
          <w:tcPr>
            <w:tcW w:w="1134" w:type="dxa"/>
            <w:vAlign w:val="center"/>
          </w:tcPr>
          <w:p w14:paraId="347FE433" w14:textId="0A229863"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10,95%</w:t>
            </w:r>
          </w:p>
        </w:tc>
        <w:tc>
          <w:tcPr>
            <w:tcW w:w="1134" w:type="dxa"/>
            <w:vAlign w:val="center"/>
          </w:tcPr>
          <w:p w14:paraId="2962422F"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vAlign w:val="center"/>
          </w:tcPr>
          <w:p w14:paraId="3991CDC1"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98F464C"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8889BA3"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BC7A7B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57ACA50"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4B38583E" w14:textId="77777777" w:rsidTr="004B1D7C">
        <w:tc>
          <w:tcPr>
            <w:tcW w:w="4536" w:type="dxa"/>
          </w:tcPr>
          <w:p w14:paraId="6C78739D"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Cloud Atlas AMI Big50 ex-SA </w:t>
            </w:r>
          </w:p>
        </w:tc>
        <w:tc>
          <w:tcPr>
            <w:tcW w:w="1134" w:type="dxa"/>
            <w:vAlign w:val="center"/>
          </w:tcPr>
          <w:p w14:paraId="63F84D7C" w14:textId="4DCB1564" w:rsidR="00327BF9" w:rsidRPr="00B81A28" w:rsidRDefault="00A82F1A" w:rsidP="004B1D7C">
            <w:pPr>
              <w:tabs>
                <w:tab w:val="left" w:pos="1050"/>
              </w:tabs>
              <w:spacing w:before="40" w:after="40" w:line="300" w:lineRule="atLeast"/>
              <w:jc w:val="center"/>
              <w:rPr>
                <w:rFonts w:ascii="Verdana" w:hAnsi="Verdana"/>
                <w:sz w:val="16"/>
                <w:szCs w:val="16"/>
              </w:rPr>
            </w:pPr>
            <w:r>
              <w:rPr>
                <w:rFonts w:ascii="Verdana" w:hAnsi="Verdana"/>
                <w:sz w:val="16"/>
                <w:szCs w:val="16"/>
              </w:rPr>
              <w:t>2,43%</w:t>
            </w:r>
          </w:p>
        </w:tc>
        <w:tc>
          <w:tcPr>
            <w:tcW w:w="1276" w:type="dxa"/>
            <w:vAlign w:val="center"/>
          </w:tcPr>
          <w:p w14:paraId="47C18D33" w14:textId="661CF429"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2,82%</w:t>
            </w:r>
          </w:p>
        </w:tc>
        <w:tc>
          <w:tcPr>
            <w:tcW w:w="1134" w:type="dxa"/>
            <w:vAlign w:val="center"/>
          </w:tcPr>
          <w:p w14:paraId="6752C0BB" w14:textId="4CAE9747"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3,99%</w:t>
            </w:r>
          </w:p>
        </w:tc>
        <w:tc>
          <w:tcPr>
            <w:tcW w:w="1134" w:type="dxa"/>
            <w:vAlign w:val="center"/>
          </w:tcPr>
          <w:p w14:paraId="6CB8B2A7" w14:textId="665686F4"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3,26%</w:t>
            </w:r>
          </w:p>
        </w:tc>
        <w:tc>
          <w:tcPr>
            <w:tcW w:w="1134" w:type="dxa"/>
            <w:vAlign w:val="center"/>
          </w:tcPr>
          <w:p w14:paraId="04AAA004"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0C969EF"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69F1BD4E"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9F83E1C"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373C423"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6D441B5E" w14:textId="77777777" w:rsidTr="004B1D7C">
        <w:tc>
          <w:tcPr>
            <w:tcW w:w="4536" w:type="dxa"/>
          </w:tcPr>
          <w:p w14:paraId="4B9E2115"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CoreShares S&amp;P 500 </w:t>
            </w:r>
          </w:p>
        </w:tc>
        <w:tc>
          <w:tcPr>
            <w:tcW w:w="1134" w:type="dxa"/>
            <w:vAlign w:val="center"/>
          </w:tcPr>
          <w:p w14:paraId="0C680550" w14:textId="28356723" w:rsidR="00327BF9" w:rsidRPr="00B81A28" w:rsidRDefault="00A82F1A" w:rsidP="004B1D7C">
            <w:pPr>
              <w:tabs>
                <w:tab w:val="left" w:pos="1050"/>
              </w:tabs>
              <w:spacing w:before="40" w:after="40" w:line="300" w:lineRule="atLeast"/>
              <w:jc w:val="center"/>
              <w:rPr>
                <w:rFonts w:ascii="Verdana" w:hAnsi="Verdana"/>
                <w:sz w:val="16"/>
                <w:szCs w:val="16"/>
              </w:rPr>
            </w:pPr>
            <w:r>
              <w:rPr>
                <w:rFonts w:ascii="Verdana" w:hAnsi="Verdana"/>
                <w:sz w:val="16"/>
                <w:szCs w:val="16"/>
              </w:rPr>
              <w:t>10,46%</w:t>
            </w:r>
          </w:p>
        </w:tc>
        <w:tc>
          <w:tcPr>
            <w:tcW w:w="1276" w:type="dxa"/>
            <w:vAlign w:val="center"/>
          </w:tcPr>
          <w:p w14:paraId="0DA08A02" w14:textId="3746ECB6"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21,98%</w:t>
            </w:r>
          </w:p>
        </w:tc>
        <w:tc>
          <w:tcPr>
            <w:tcW w:w="1134" w:type="dxa"/>
            <w:vAlign w:val="center"/>
          </w:tcPr>
          <w:p w14:paraId="62DB2E30" w14:textId="40AE8071"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14,49%</w:t>
            </w:r>
          </w:p>
        </w:tc>
        <w:tc>
          <w:tcPr>
            <w:tcW w:w="1134" w:type="dxa"/>
            <w:vAlign w:val="center"/>
          </w:tcPr>
          <w:p w14:paraId="0D87E1E0" w14:textId="00CA19A9"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20,32%</w:t>
            </w:r>
          </w:p>
        </w:tc>
        <w:tc>
          <w:tcPr>
            <w:tcW w:w="1134" w:type="dxa"/>
            <w:vAlign w:val="center"/>
          </w:tcPr>
          <w:p w14:paraId="30F0FA36"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7BBA70F"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6504C230"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29AA02E"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0FFB80A"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54E642DB" w14:textId="77777777" w:rsidTr="004B1D7C">
        <w:tc>
          <w:tcPr>
            <w:tcW w:w="4536" w:type="dxa"/>
          </w:tcPr>
          <w:p w14:paraId="68DADDC6"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Satrix MSCI Emerging Markets </w:t>
            </w:r>
          </w:p>
        </w:tc>
        <w:tc>
          <w:tcPr>
            <w:tcW w:w="1134" w:type="dxa"/>
            <w:vAlign w:val="center"/>
          </w:tcPr>
          <w:p w14:paraId="2F7AF309" w14:textId="2679C143" w:rsidR="00327BF9" w:rsidRPr="00B81A28" w:rsidRDefault="00A82F1A" w:rsidP="004B1D7C">
            <w:pPr>
              <w:tabs>
                <w:tab w:val="left" w:pos="1050"/>
              </w:tabs>
              <w:spacing w:before="40" w:after="40" w:line="300" w:lineRule="atLeast"/>
              <w:jc w:val="center"/>
              <w:rPr>
                <w:rFonts w:ascii="Verdana" w:hAnsi="Verdana"/>
                <w:sz w:val="16"/>
                <w:szCs w:val="16"/>
              </w:rPr>
            </w:pPr>
            <w:r>
              <w:rPr>
                <w:rFonts w:ascii="Verdana" w:hAnsi="Verdana"/>
                <w:sz w:val="16"/>
                <w:szCs w:val="16"/>
              </w:rPr>
              <w:t>4,17%</w:t>
            </w:r>
          </w:p>
        </w:tc>
        <w:tc>
          <w:tcPr>
            <w:tcW w:w="1276" w:type="dxa"/>
            <w:vAlign w:val="center"/>
          </w:tcPr>
          <w:p w14:paraId="1ACA6EA6" w14:textId="687FCE98"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5,40%</w:t>
            </w:r>
          </w:p>
        </w:tc>
        <w:tc>
          <w:tcPr>
            <w:tcW w:w="1134" w:type="dxa"/>
            <w:vAlign w:val="center"/>
          </w:tcPr>
          <w:p w14:paraId="630389A1" w14:textId="272FAC7D"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2,56%</w:t>
            </w:r>
          </w:p>
        </w:tc>
        <w:tc>
          <w:tcPr>
            <w:tcW w:w="1134" w:type="dxa"/>
            <w:vAlign w:val="center"/>
          </w:tcPr>
          <w:p w14:paraId="19C3CF97"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vAlign w:val="center"/>
          </w:tcPr>
          <w:p w14:paraId="07FF8F21"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2228C19"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265943E"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DF4DD6B"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5DF5C57"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F8F4787" w14:textId="77777777" w:rsidTr="004B1D7C">
        <w:tc>
          <w:tcPr>
            <w:tcW w:w="4536" w:type="dxa"/>
          </w:tcPr>
          <w:p w14:paraId="209FAFD1"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Satrix MSCI World </w:t>
            </w:r>
            <w:r>
              <w:rPr>
                <w:rFonts w:ascii="Verdana" w:hAnsi="Verdana"/>
                <w:sz w:val="16"/>
                <w:szCs w:val="16"/>
              </w:rPr>
              <w:t>Equity Feeder</w:t>
            </w:r>
          </w:p>
        </w:tc>
        <w:tc>
          <w:tcPr>
            <w:tcW w:w="1134" w:type="dxa"/>
            <w:vAlign w:val="center"/>
          </w:tcPr>
          <w:p w14:paraId="292899C0" w14:textId="481FB217" w:rsidR="00327BF9" w:rsidRPr="00B81A28" w:rsidRDefault="00A82F1A" w:rsidP="004B1D7C">
            <w:pPr>
              <w:tabs>
                <w:tab w:val="left" w:pos="1050"/>
              </w:tabs>
              <w:spacing w:before="40" w:after="40" w:line="300" w:lineRule="atLeast"/>
              <w:jc w:val="center"/>
              <w:rPr>
                <w:rFonts w:ascii="Verdana" w:hAnsi="Verdana"/>
                <w:sz w:val="16"/>
                <w:szCs w:val="16"/>
              </w:rPr>
            </w:pPr>
            <w:r>
              <w:rPr>
                <w:rFonts w:ascii="Verdana" w:hAnsi="Verdana"/>
                <w:sz w:val="16"/>
                <w:szCs w:val="16"/>
              </w:rPr>
              <w:t>9,76%</w:t>
            </w:r>
          </w:p>
        </w:tc>
        <w:tc>
          <w:tcPr>
            <w:tcW w:w="1276" w:type="dxa"/>
            <w:vAlign w:val="center"/>
          </w:tcPr>
          <w:p w14:paraId="159F36C4" w14:textId="1899EF30"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18,28%</w:t>
            </w:r>
          </w:p>
        </w:tc>
        <w:tc>
          <w:tcPr>
            <w:tcW w:w="1134" w:type="dxa"/>
            <w:vAlign w:val="center"/>
          </w:tcPr>
          <w:p w14:paraId="1804B2C8" w14:textId="48CF8A20"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10,96%</w:t>
            </w:r>
          </w:p>
        </w:tc>
        <w:tc>
          <w:tcPr>
            <w:tcW w:w="1134" w:type="dxa"/>
            <w:vAlign w:val="center"/>
          </w:tcPr>
          <w:p w14:paraId="074B5144"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vAlign w:val="center"/>
          </w:tcPr>
          <w:p w14:paraId="6F79506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C0F64AE"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5961D16"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AE69F79"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C80AD90"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B871480" w14:textId="77777777" w:rsidTr="004B1D7C">
        <w:tc>
          <w:tcPr>
            <w:tcW w:w="4536" w:type="dxa"/>
          </w:tcPr>
          <w:p w14:paraId="26B7D432" w14:textId="77777777" w:rsidR="00327BF9" w:rsidRPr="00F14A55" w:rsidRDefault="00327BF9" w:rsidP="004B1D7C">
            <w:pPr>
              <w:spacing w:before="40" w:after="40" w:line="300" w:lineRule="atLeast"/>
              <w:rPr>
                <w:rFonts w:ascii="Verdana" w:hAnsi="Verdana"/>
                <w:color w:val="000000" w:themeColor="text1"/>
                <w:sz w:val="16"/>
                <w:szCs w:val="16"/>
              </w:rPr>
            </w:pPr>
            <w:r w:rsidRPr="00B81A28">
              <w:rPr>
                <w:rFonts w:ascii="Verdana" w:hAnsi="Verdana"/>
                <w:sz w:val="16"/>
                <w:szCs w:val="16"/>
              </w:rPr>
              <w:t xml:space="preserve">Satrix S&amp;P 500 </w:t>
            </w:r>
          </w:p>
        </w:tc>
        <w:tc>
          <w:tcPr>
            <w:tcW w:w="1134" w:type="dxa"/>
            <w:vAlign w:val="center"/>
          </w:tcPr>
          <w:p w14:paraId="755446F2" w14:textId="19B0DF4C" w:rsidR="00327BF9" w:rsidRPr="00B81A28" w:rsidRDefault="00A82F1A" w:rsidP="004B1D7C">
            <w:pPr>
              <w:tabs>
                <w:tab w:val="left" w:pos="1050"/>
              </w:tabs>
              <w:spacing w:before="40" w:after="40" w:line="300" w:lineRule="atLeast"/>
              <w:jc w:val="center"/>
              <w:rPr>
                <w:rFonts w:ascii="Verdana" w:hAnsi="Verdana"/>
                <w:sz w:val="16"/>
                <w:szCs w:val="16"/>
              </w:rPr>
            </w:pPr>
            <w:r>
              <w:rPr>
                <w:rFonts w:ascii="Verdana" w:hAnsi="Verdana"/>
                <w:sz w:val="16"/>
                <w:szCs w:val="16"/>
              </w:rPr>
              <w:t>10,53%</w:t>
            </w:r>
          </w:p>
        </w:tc>
        <w:tc>
          <w:tcPr>
            <w:tcW w:w="1276" w:type="dxa"/>
            <w:vAlign w:val="center"/>
          </w:tcPr>
          <w:p w14:paraId="3D32A860" w14:textId="372ACDAE"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20,92%</w:t>
            </w:r>
          </w:p>
        </w:tc>
        <w:tc>
          <w:tcPr>
            <w:tcW w:w="1134" w:type="dxa"/>
            <w:vAlign w:val="center"/>
          </w:tcPr>
          <w:p w14:paraId="5B724B75" w14:textId="490F4E5D"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13,18%</w:t>
            </w:r>
          </w:p>
        </w:tc>
        <w:tc>
          <w:tcPr>
            <w:tcW w:w="1134" w:type="dxa"/>
            <w:vAlign w:val="center"/>
          </w:tcPr>
          <w:p w14:paraId="4AC5A683"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vAlign w:val="center"/>
          </w:tcPr>
          <w:p w14:paraId="1B91D5B8"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4C0BD6C"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12FC050"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FF17C01"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E2EFC05"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6C141ED9" w14:textId="77777777" w:rsidTr="004B1D7C">
        <w:tc>
          <w:tcPr>
            <w:tcW w:w="4536" w:type="dxa"/>
          </w:tcPr>
          <w:p w14:paraId="782A2D51" w14:textId="77777777" w:rsidR="00327BF9" w:rsidRPr="00F14A55" w:rsidRDefault="00327BF9" w:rsidP="004B1D7C">
            <w:pPr>
              <w:spacing w:before="40" w:after="40" w:line="300" w:lineRule="atLeast"/>
              <w:rPr>
                <w:rFonts w:ascii="Verdana" w:hAnsi="Verdana"/>
                <w:color w:val="000000" w:themeColor="text1"/>
                <w:sz w:val="16"/>
                <w:szCs w:val="16"/>
              </w:rPr>
            </w:pPr>
            <w:r w:rsidRPr="00F14A55">
              <w:rPr>
                <w:rFonts w:ascii="Verdana" w:hAnsi="Verdana"/>
                <w:color w:val="000000" w:themeColor="text1"/>
                <w:sz w:val="16"/>
                <w:szCs w:val="16"/>
              </w:rPr>
              <w:t>Satrix Nasdaq 100</w:t>
            </w:r>
          </w:p>
        </w:tc>
        <w:tc>
          <w:tcPr>
            <w:tcW w:w="1134" w:type="dxa"/>
            <w:vAlign w:val="center"/>
          </w:tcPr>
          <w:p w14:paraId="05196CD2" w14:textId="718959A8" w:rsidR="00327BF9" w:rsidRPr="00B81A28" w:rsidRDefault="00A82F1A" w:rsidP="004B1D7C">
            <w:pPr>
              <w:tabs>
                <w:tab w:val="left" w:pos="1050"/>
              </w:tabs>
              <w:spacing w:before="40" w:after="40" w:line="300" w:lineRule="atLeast"/>
              <w:jc w:val="center"/>
              <w:rPr>
                <w:rFonts w:ascii="Verdana" w:hAnsi="Verdana"/>
                <w:sz w:val="16"/>
                <w:szCs w:val="16"/>
              </w:rPr>
            </w:pPr>
            <w:r>
              <w:rPr>
                <w:rFonts w:ascii="Verdana" w:hAnsi="Verdana"/>
                <w:sz w:val="16"/>
                <w:szCs w:val="16"/>
              </w:rPr>
              <w:t>11,67%</w:t>
            </w:r>
          </w:p>
        </w:tc>
        <w:tc>
          <w:tcPr>
            <w:tcW w:w="1276" w:type="dxa"/>
            <w:vAlign w:val="center"/>
          </w:tcPr>
          <w:p w14:paraId="3B707973" w14:textId="3D41853B"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64EFFD5A" w14:textId="15A10460"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65D757F5" w14:textId="5D31857B"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11565249" w14:textId="4FDA98C6"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79F6CCC" w14:textId="1023BCA6"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A1DA360" w14:textId="4608E22E"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E118ED6" w14:textId="5DD9C930"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2A19669" w14:textId="07082569" w:rsidR="00327BF9" w:rsidRPr="00B81A28" w:rsidRDefault="00A82F1A"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6BC966BB" w14:textId="77777777" w:rsidTr="004B1D7C">
        <w:tc>
          <w:tcPr>
            <w:tcW w:w="4536" w:type="dxa"/>
          </w:tcPr>
          <w:p w14:paraId="5AF04977"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Stanlib MSCI World Index Feeder</w:t>
            </w:r>
          </w:p>
        </w:tc>
        <w:tc>
          <w:tcPr>
            <w:tcW w:w="1134" w:type="dxa"/>
          </w:tcPr>
          <w:p w14:paraId="4F3F43F4" w14:textId="6A905459" w:rsidR="00327BF9" w:rsidRPr="00B81A28" w:rsidRDefault="00A23E02" w:rsidP="004B1D7C">
            <w:pPr>
              <w:tabs>
                <w:tab w:val="left" w:pos="1050"/>
              </w:tabs>
              <w:spacing w:before="40" w:after="40" w:line="300" w:lineRule="atLeast"/>
              <w:jc w:val="center"/>
              <w:rPr>
                <w:rFonts w:ascii="Verdana" w:hAnsi="Verdana"/>
                <w:sz w:val="16"/>
                <w:szCs w:val="16"/>
              </w:rPr>
            </w:pPr>
            <w:r>
              <w:rPr>
                <w:rFonts w:ascii="Verdana" w:hAnsi="Verdana"/>
                <w:sz w:val="16"/>
                <w:szCs w:val="16"/>
              </w:rPr>
              <w:t>9,31%</w:t>
            </w:r>
          </w:p>
        </w:tc>
        <w:tc>
          <w:tcPr>
            <w:tcW w:w="1276" w:type="dxa"/>
          </w:tcPr>
          <w:p w14:paraId="491ECCCB"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DA369D4"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11FBAF0"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953699E"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007C9D6"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5D6DEE7"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F31F452"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A76D4AA"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3BBDD136" w14:textId="77777777" w:rsidTr="004B1D7C">
        <w:tc>
          <w:tcPr>
            <w:tcW w:w="4536" w:type="dxa"/>
          </w:tcPr>
          <w:p w14:paraId="28770022"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Stanlib S&amp;P 500 Index Feeder</w:t>
            </w:r>
          </w:p>
        </w:tc>
        <w:tc>
          <w:tcPr>
            <w:tcW w:w="1134" w:type="dxa"/>
          </w:tcPr>
          <w:p w14:paraId="784CD6EA" w14:textId="33E41AF5" w:rsidR="00327BF9" w:rsidRPr="00B81A28" w:rsidRDefault="00EC1C4D" w:rsidP="004B1D7C">
            <w:pPr>
              <w:tabs>
                <w:tab w:val="left" w:pos="1050"/>
              </w:tabs>
              <w:spacing w:before="40" w:after="40" w:line="300" w:lineRule="atLeast"/>
              <w:jc w:val="center"/>
              <w:rPr>
                <w:rFonts w:ascii="Verdana" w:hAnsi="Verdana"/>
                <w:sz w:val="16"/>
                <w:szCs w:val="16"/>
              </w:rPr>
            </w:pPr>
            <w:r>
              <w:rPr>
                <w:rFonts w:ascii="Verdana" w:hAnsi="Verdana"/>
                <w:sz w:val="16"/>
                <w:szCs w:val="16"/>
              </w:rPr>
              <w:t>10,15%</w:t>
            </w:r>
          </w:p>
        </w:tc>
        <w:tc>
          <w:tcPr>
            <w:tcW w:w="1276" w:type="dxa"/>
          </w:tcPr>
          <w:p w14:paraId="36DDC28C"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47D524B"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6CAF47F"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3125952"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1F96692"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7E0C954"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59870A2"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425DDE2"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76333214" w14:textId="77777777" w:rsidTr="004B1D7C">
        <w:tc>
          <w:tcPr>
            <w:tcW w:w="4536" w:type="dxa"/>
          </w:tcPr>
          <w:p w14:paraId="7C0FE19A"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Sygnia/Itrix S&amp;P 500</w:t>
            </w:r>
          </w:p>
        </w:tc>
        <w:tc>
          <w:tcPr>
            <w:tcW w:w="1134" w:type="dxa"/>
            <w:vAlign w:val="center"/>
          </w:tcPr>
          <w:p w14:paraId="084EBABF" w14:textId="65285BAE" w:rsidR="00327BF9" w:rsidRPr="00B81A28" w:rsidRDefault="00EC1C4D" w:rsidP="004B1D7C">
            <w:pPr>
              <w:tabs>
                <w:tab w:val="left" w:pos="1050"/>
              </w:tabs>
              <w:spacing w:before="40" w:after="40" w:line="300" w:lineRule="atLeast"/>
              <w:jc w:val="center"/>
              <w:rPr>
                <w:rFonts w:ascii="Verdana" w:hAnsi="Verdana"/>
                <w:sz w:val="16"/>
                <w:szCs w:val="16"/>
              </w:rPr>
            </w:pPr>
            <w:r>
              <w:rPr>
                <w:rFonts w:ascii="Verdana" w:hAnsi="Verdana"/>
                <w:sz w:val="16"/>
                <w:szCs w:val="16"/>
              </w:rPr>
              <w:t>9,96%</w:t>
            </w:r>
          </w:p>
        </w:tc>
        <w:tc>
          <w:tcPr>
            <w:tcW w:w="1276" w:type="dxa"/>
            <w:vAlign w:val="center"/>
          </w:tcPr>
          <w:p w14:paraId="4F5EF725" w14:textId="581A7B22"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19,37%</w:t>
            </w:r>
          </w:p>
        </w:tc>
        <w:tc>
          <w:tcPr>
            <w:tcW w:w="1134" w:type="dxa"/>
            <w:vAlign w:val="center"/>
          </w:tcPr>
          <w:p w14:paraId="093C2468" w14:textId="6C32F6B3"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13,23%</w:t>
            </w:r>
          </w:p>
        </w:tc>
        <w:tc>
          <w:tcPr>
            <w:tcW w:w="1134" w:type="dxa"/>
            <w:vAlign w:val="center"/>
          </w:tcPr>
          <w:p w14:paraId="634D54B7"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vAlign w:val="center"/>
          </w:tcPr>
          <w:p w14:paraId="28B7CD65"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E4F5829"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4F5E6C6"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8A31784"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3C9F7C7"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63B3D596" w14:textId="77777777" w:rsidTr="004B1D7C">
        <w:tc>
          <w:tcPr>
            <w:tcW w:w="4536" w:type="dxa"/>
          </w:tcPr>
          <w:p w14:paraId="25153097"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Sygnia/Itrix Eurostoxx 50 </w:t>
            </w:r>
          </w:p>
        </w:tc>
        <w:tc>
          <w:tcPr>
            <w:tcW w:w="1134" w:type="dxa"/>
          </w:tcPr>
          <w:p w14:paraId="38F5C621" w14:textId="52091DB7" w:rsidR="00327BF9" w:rsidRPr="00B81A28" w:rsidRDefault="00EC1C4D" w:rsidP="004B1D7C">
            <w:pPr>
              <w:tabs>
                <w:tab w:val="left" w:pos="1050"/>
              </w:tabs>
              <w:spacing w:before="40" w:after="40" w:line="300" w:lineRule="atLeast"/>
              <w:jc w:val="center"/>
              <w:rPr>
                <w:rFonts w:ascii="Verdana" w:hAnsi="Verdana"/>
                <w:sz w:val="16"/>
                <w:szCs w:val="16"/>
              </w:rPr>
            </w:pPr>
            <w:r>
              <w:rPr>
                <w:rFonts w:ascii="Verdana" w:hAnsi="Verdana"/>
                <w:sz w:val="16"/>
                <w:szCs w:val="16"/>
              </w:rPr>
              <w:t>9,01%</w:t>
            </w:r>
          </w:p>
        </w:tc>
        <w:tc>
          <w:tcPr>
            <w:tcW w:w="1276" w:type="dxa"/>
          </w:tcPr>
          <w:p w14:paraId="47BEBF72" w14:textId="34DD4A6C"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12,85%</w:t>
            </w:r>
          </w:p>
        </w:tc>
        <w:tc>
          <w:tcPr>
            <w:tcW w:w="1134" w:type="dxa"/>
          </w:tcPr>
          <w:p w14:paraId="7BC361FC" w14:textId="2D75B992"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6,20%</w:t>
            </w:r>
          </w:p>
        </w:tc>
        <w:tc>
          <w:tcPr>
            <w:tcW w:w="1134" w:type="dxa"/>
          </w:tcPr>
          <w:p w14:paraId="1192FE21" w14:textId="3C4D0465"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8,10%</w:t>
            </w:r>
          </w:p>
        </w:tc>
        <w:tc>
          <w:tcPr>
            <w:tcW w:w="1134" w:type="dxa"/>
          </w:tcPr>
          <w:p w14:paraId="4F2BFBF3" w14:textId="0170745A"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11,15%</w:t>
            </w:r>
          </w:p>
        </w:tc>
        <w:tc>
          <w:tcPr>
            <w:tcW w:w="1134" w:type="dxa"/>
            <w:shd w:val="clear" w:color="auto" w:fill="auto"/>
          </w:tcPr>
          <w:p w14:paraId="656D6973" w14:textId="33A74078"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7,69%</w:t>
            </w:r>
          </w:p>
        </w:tc>
        <w:tc>
          <w:tcPr>
            <w:tcW w:w="1134" w:type="dxa"/>
            <w:shd w:val="clear" w:color="auto" w:fill="auto"/>
          </w:tcPr>
          <w:p w14:paraId="31734841" w14:textId="6F1B8B5C"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12,85%</w:t>
            </w:r>
          </w:p>
        </w:tc>
        <w:tc>
          <w:tcPr>
            <w:tcW w:w="1134" w:type="dxa"/>
          </w:tcPr>
          <w:p w14:paraId="2EA7B989" w14:textId="7B8D8344"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12,95%</w:t>
            </w:r>
          </w:p>
        </w:tc>
        <w:tc>
          <w:tcPr>
            <w:tcW w:w="1134" w:type="dxa"/>
          </w:tcPr>
          <w:p w14:paraId="73858107" w14:textId="1A39FB77"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5,21%</w:t>
            </w:r>
          </w:p>
        </w:tc>
      </w:tr>
      <w:tr w:rsidR="00327BF9" w:rsidRPr="00B81A28" w14:paraId="2D9ABBF0" w14:textId="77777777" w:rsidTr="004B1D7C">
        <w:tc>
          <w:tcPr>
            <w:tcW w:w="4536" w:type="dxa"/>
          </w:tcPr>
          <w:p w14:paraId="0515D900"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Sygnia/Itrix FTSE 100 </w:t>
            </w:r>
          </w:p>
        </w:tc>
        <w:tc>
          <w:tcPr>
            <w:tcW w:w="1134" w:type="dxa"/>
          </w:tcPr>
          <w:p w14:paraId="323291FE" w14:textId="52E64AD0" w:rsidR="00327BF9" w:rsidRPr="00B81A28" w:rsidRDefault="00EC1C4D" w:rsidP="004B1D7C">
            <w:pPr>
              <w:tabs>
                <w:tab w:val="left" w:pos="1050"/>
              </w:tabs>
              <w:spacing w:before="40" w:after="40" w:line="300" w:lineRule="atLeast"/>
              <w:jc w:val="center"/>
              <w:rPr>
                <w:rFonts w:ascii="Verdana" w:hAnsi="Verdana"/>
                <w:sz w:val="16"/>
                <w:szCs w:val="16"/>
              </w:rPr>
            </w:pPr>
            <w:r>
              <w:rPr>
                <w:rFonts w:ascii="Verdana" w:hAnsi="Verdana"/>
                <w:sz w:val="16"/>
                <w:szCs w:val="16"/>
              </w:rPr>
              <w:t>9,58%</w:t>
            </w:r>
          </w:p>
        </w:tc>
        <w:tc>
          <w:tcPr>
            <w:tcW w:w="1276" w:type="dxa"/>
          </w:tcPr>
          <w:p w14:paraId="59179191" w14:textId="7C28D2A8"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18,83%</w:t>
            </w:r>
          </w:p>
        </w:tc>
        <w:tc>
          <w:tcPr>
            <w:tcW w:w="1134" w:type="dxa"/>
          </w:tcPr>
          <w:p w14:paraId="78384EC6" w14:textId="336112E8"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9,26%</w:t>
            </w:r>
          </w:p>
        </w:tc>
        <w:tc>
          <w:tcPr>
            <w:tcW w:w="1134" w:type="dxa"/>
          </w:tcPr>
          <w:p w14:paraId="2332FFBD" w14:textId="4FF9930C"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15,70%</w:t>
            </w:r>
          </w:p>
        </w:tc>
        <w:tc>
          <w:tcPr>
            <w:tcW w:w="1134" w:type="dxa"/>
          </w:tcPr>
          <w:p w14:paraId="7689A83C" w14:textId="10CD2AF2"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7,26%</w:t>
            </w:r>
          </w:p>
        </w:tc>
        <w:tc>
          <w:tcPr>
            <w:tcW w:w="1134" w:type="dxa"/>
            <w:shd w:val="clear" w:color="auto" w:fill="auto"/>
          </w:tcPr>
          <w:p w14:paraId="1A07F6F1" w14:textId="0C8BC40E"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5,72%</w:t>
            </w:r>
          </w:p>
        </w:tc>
        <w:tc>
          <w:tcPr>
            <w:tcW w:w="1134" w:type="dxa"/>
            <w:shd w:val="clear" w:color="auto" w:fill="auto"/>
          </w:tcPr>
          <w:p w14:paraId="3E9939D1" w14:textId="12B2C5F6"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11,25%</w:t>
            </w:r>
          </w:p>
        </w:tc>
        <w:tc>
          <w:tcPr>
            <w:tcW w:w="1134" w:type="dxa"/>
          </w:tcPr>
          <w:p w14:paraId="174BDE98" w14:textId="74A85C33"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14,71%</w:t>
            </w:r>
          </w:p>
        </w:tc>
        <w:tc>
          <w:tcPr>
            <w:tcW w:w="1134" w:type="dxa"/>
          </w:tcPr>
          <w:p w14:paraId="54A734A0" w14:textId="191664AF" w:rsidR="00327BF9" w:rsidRPr="00B81A28" w:rsidRDefault="00EC1C4D" w:rsidP="004B1D7C">
            <w:pPr>
              <w:spacing w:before="40" w:after="40" w:line="300" w:lineRule="atLeast"/>
              <w:jc w:val="center"/>
              <w:rPr>
                <w:rFonts w:ascii="Verdana" w:hAnsi="Verdana"/>
                <w:sz w:val="16"/>
                <w:szCs w:val="16"/>
              </w:rPr>
            </w:pPr>
            <w:r>
              <w:rPr>
                <w:rFonts w:ascii="Verdana" w:hAnsi="Verdana"/>
                <w:sz w:val="16"/>
                <w:szCs w:val="16"/>
              </w:rPr>
              <w:t>7,64%</w:t>
            </w:r>
          </w:p>
        </w:tc>
      </w:tr>
      <w:tr w:rsidR="00327BF9" w:rsidRPr="00B81A28" w14:paraId="5E6AE788" w14:textId="77777777" w:rsidTr="004B1D7C">
        <w:tc>
          <w:tcPr>
            <w:tcW w:w="4536" w:type="dxa"/>
          </w:tcPr>
          <w:p w14:paraId="2428A98D"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Sygnia/Itrix MSCI USA </w:t>
            </w:r>
          </w:p>
        </w:tc>
        <w:tc>
          <w:tcPr>
            <w:tcW w:w="1134" w:type="dxa"/>
          </w:tcPr>
          <w:p w14:paraId="46FD4503" w14:textId="6F0FE8A2" w:rsidR="00327BF9" w:rsidRPr="00B81A28" w:rsidRDefault="00287F6E" w:rsidP="004B1D7C">
            <w:pPr>
              <w:tabs>
                <w:tab w:val="left" w:pos="1050"/>
              </w:tabs>
              <w:spacing w:before="40" w:after="40" w:line="300" w:lineRule="atLeast"/>
              <w:jc w:val="center"/>
              <w:rPr>
                <w:rFonts w:ascii="Verdana" w:hAnsi="Verdana"/>
                <w:sz w:val="16"/>
                <w:szCs w:val="16"/>
              </w:rPr>
            </w:pPr>
            <w:r>
              <w:rPr>
                <w:rFonts w:ascii="Verdana" w:hAnsi="Verdana"/>
                <w:sz w:val="16"/>
                <w:szCs w:val="16"/>
              </w:rPr>
              <w:t>10,03%</w:t>
            </w:r>
          </w:p>
        </w:tc>
        <w:tc>
          <w:tcPr>
            <w:tcW w:w="1276" w:type="dxa"/>
          </w:tcPr>
          <w:p w14:paraId="7D4D662B" w14:textId="144AB5E6"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19,41%</w:t>
            </w:r>
          </w:p>
        </w:tc>
        <w:tc>
          <w:tcPr>
            <w:tcW w:w="1134" w:type="dxa"/>
          </w:tcPr>
          <w:p w14:paraId="1D5576E9" w14:textId="67AE616B"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13,27%</w:t>
            </w:r>
          </w:p>
        </w:tc>
        <w:tc>
          <w:tcPr>
            <w:tcW w:w="1134" w:type="dxa"/>
          </w:tcPr>
          <w:p w14:paraId="72BF82B6" w14:textId="0B454B90"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20,37%</w:t>
            </w:r>
          </w:p>
        </w:tc>
        <w:tc>
          <w:tcPr>
            <w:tcW w:w="1134" w:type="dxa"/>
          </w:tcPr>
          <w:p w14:paraId="3806778E" w14:textId="077891A4"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11,59%</w:t>
            </w:r>
          </w:p>
        </w:tc>
        <w:tc>
          <w:tcPr>
            <w:tcW w:w="1134" w:type="dxa"/>
            <w:shd w:val="clear" w:color="auto" w:fill="auto"/>
          </w:tcPr>
          <w:p w14:paraId="6B254ABD" w14:textId="07BD73B9"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15,02%</w:t>
            </w:r>
          </w:p>
        </w:tc>
        <w:tc>
          <w:tcPr>
            <w:tcW w:w="1134" w:type="dxa"/>
            <w:shd w:val="clear" w:color="auto" w:fill="auto"/>
          </w:tcPr>
          <w:p w14:paraId="10B131CB" w14:textId="662EE310"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19,78%</w:t>
            </w:r>
          </w:p>
        </w:tc>
        <w:tc>
          <w:tcPr>
            <w:tcW w:w="1134" w:type="dxa"/>
          </w:tcPr>
          <w:p w14:paraId="78CFF968" w14:textId="4546688A"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23,76%</w:t>
            </w:r>
          </w:p>
        </w:tc>
        <w:tc>
          <w:tcPr>
            <w:tcW w:w="1134" w:type="dxa"/>
          </w:tcPr>
          <w:p w14:paraId="5DA0019E" w14:textId="62F0AB52"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14,96%</w:t>
            </w:r>
          </w:p>
        </w:tc>
      </w:tr>
      <w:tr w:rsidR="00327BF9" w:rsidRPr="00B81A28" w14:paraId="5C1F40F1" w14:textId="77777777" w:rsidTr="004B1D7C">
        <w:tc>
          <w:tcPr>
            <w:tcW w:w="4536" w:type="dxa"/>
          </w:tcPr>
          <w:p w14:paraId="46414424"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Sygnia/Itrix MSCI Japan</w:t>
            </w:r>
          </w:p>
        </w:tc>
        <w:tc>
          <w:tcPr>
            <w:tcW w:w="1134" w:type="dxa"/>
            <w:vAlign w:val="center"/>
          </w:tcPr>
          <w:p w14:paraId="50DFFCF5" w14:textId="2C70AC7D" w:rsidR="00327BF9" w:rsidRPr="00B81A28" w:rsidRDefault="00287F6E" w:rsidP="004B1D7C">
            <w:pPr>
              <w:tabs>
                <w:tab w:val="left" w:pos="1050"/>
              </w:tabs>
              <w:spacing w:before="40" w:after="40" w:line="300" w:lineRule="atLeast"/>
              <w:jc w:val="center"/>
              <w:rPr>
                <w:rFonts w:ascii="Verdana" w:hAnsi="Verdana"/>
                <w:sz w:val="16"/>
                <w:szCs w:val="16"/>
              </w:rPr>
            </w:pPr>
            <w:r>
              <w:rPr>
                <w:rFonts w:ascii="Verdana" w:hAnsi="Verdana"/>
                <w:sz w:val="16"/>
                <w:szCs w:val="16"/>
              </w:rPr>
              <w:t>4,93%</w:t>
            </w:r>
          </w:p>
        </w:tc>
        <w:tc>
          <w:tcPr>
            <w:tcW w:w="1276" w:type="dxa"/>
            <w:vAlign w:val="center"/>
          </w:tcPr>
          <w:p w14:paraId="3BF821B7" w14:textId="1588E900"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13,85%</w:t>
            </w:r>
          </w:p>
        </w:tc>
        <w:tc>
          <w:tcPr>
            <w:tcW w:w="1134" w:type="dxa"/>
            <w:vAlign w:val="center"/>
          </w:tcPr>
          <w:p w14:paraId="393233BC" w14:textId="6E58E11C"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8,88%</w:t>
            </w:r>
          </w:p>
        </w:tc>
        <w:tc>
          <w:tcPr>
            <w:tcW w:w="1134" w:type="dxa"/>
            <w:vAlign w:val="center"/>
          </w:tcPr>
          <w:p w14:paraId="55F78D5C" w14:textId="19FDFD4C"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16,02%</w:t>
            </w:r>
          </w:p>
        </w:tc>
        <w:tc>
          <w:tcPr>
            <w:tcW w:w="1134" w:type="dxa"/>
            <w:vAlign w:val="center"/>
          </w:tcPr>
          <w:p w14:paraId="14F6E900" w14:textId="32615BCE"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9,77%</w:t>
            </w:r>
          </w:p>
        </w:tc>
        <w:tc>
          <w:tcPr>
            <w:tcW w:w="1134" w:type="dxa"/>
            <w:shd w:val="clear" w:color="auto" w:fill="auto"/>
          </w:tcPr>
          <w:p w14:paraId="5F557206" w14:textId="61E2A19A"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10,52%</w:t>
            </w:r>
          </w:p>
        </w:tc>
        <w:tc>
          <w:tcPr>
            <w:tcW w:w="1134" w:type="dxa"/>
            <w:shd w:val="clear" w:color="auto" w:fill="auto"/>
          </w:tcPr>
          <w:p w14:paraId="6C0445E4" w14:textId="7ABF2CDE"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13,91%</w:t>
            </w:r>
          </w:p>
        </w:tc>
        <w:tc>
          <w:tcPr>
            <w:tcW w:w="1134" w:type="dxa"/>
          </w:tcPr>
          <w:p w14:paraId="7AFA2360" w14:textId="266BCE75"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17,78%</w:t>
            </w:r>
          </w:p>
        </w:tc>
        <w:tc>
          <w:tcPr>
            <w:tcW w:w="1134" w:type="dxa"/>
          </w:tcPr>
          <w:p w14:paraId="692C1B46" w14:textId="0C79E26D"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8,58%</w:t>
            </w:r>
          </w:p>
        </w:tc>
      </w:tr>
      <w:tr w:rsidR="00327BF9" w:rsidRPr="00B81A28" w14:paraId="1B8B4357" w14:textId="77777777" w:rsidTr="004B1D7C">
        <w:tc>
          <w:tcPr>
            <w:tcW w:w="4536" w:type="dxa"/>
          </w:tcPr>
          <w:p w14:paraId="360B48B3"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Sygnia/Itrix MSCI World </w:t>
            </w:r>
          </w:p>
        </w:tc>
        <w:tc>
          <w:tcPr>
            <w:tcW w:w="1134" w:type="dxa"/>
            <w:vAlign w:val="center"/>
          </w:tcPr>
          <w:p w14:paraId="69F0CB20" w14:textId="2A702849" w:rsidR="00327BF9" w:rsidRPr="00B81A28" w:rsidRDefault="00287F6E" w:rsidP="004B1D7C">
            <w:pPr>
              <w:tabs>
                <w:tab w:val="left" w:pos="1050"/>
              </w:tabs>
              <w:spacing w:before="40" w:after="40" w:line="300" w:lineRule="atLeast"/>
              <w:jc w:val="center"/>
              <w:rPr>
                <w:rFonts w:ascii="Verdana" w:hAnsi="Verdana"/>
                <w:sz w:val="16"/>
                <w:szCs w:val="16"/>
              </w:rPr>
            </w:pPr>
            <w:r>
              <w:rPr>
                <w:rFonts w:ascii="Verdana" w:hAnsi="Verdana"/>
                <w:sz w:val="16"/>
                <w:szCs w:val="16"/>
              </w:rPr>
              <w:t>9,22%</w:t>
            </w:r>
          </w:p>
        </w:tc>
        <w:tc>
          <w:tcPr>
            <w:tcW w:w="1276" w:type="dxa"/>
            <w:vAlign w:val="center"/>
          </w:tcPr>
          <w:p w14:paraId="55AD6B22" w14:textId="7A6CC43A"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17,78%</w:t>
            </w:r>
          </w:p>
        </w:tc>
        <w:tc>
          <w:tcPr>
            <w:tcW w:w="1134" w:type="dxa"/>
            <w:vAlign w:val="center"/>
          </w:tcPr>
          <w:p w14:paraId="78F3CF64" w14:textId="63D5E83A"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11,16%</w:t>
            </w:r>
          </w:p>
        </w:tc>
        <w:tc>
          <w:tcPr>
            <w:tcW w:w="1134" w:type="dxa"/>
            <w:vAlign w:val="center"/>
          </w:tcPr>
          <w:p w14:paraId="3C681994" w14:textId="763A31AA"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17,14%</w:t>
            </w:r>
          </w:p>
        </w:tc>
        <w:tc>
          <w:tcPr>
            <w:tcW w:w="1134" w:type="dxa"/>
            <w:vAlign w:val="center"/>
          </w:tcPr>
          <w:p w14:paraId="00AA0C20" w14:textId="33FDA6B3"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10,57%</w:t>
            </w:r>
          </w:p>
        </w:tc>
        <w:tc>
          <w:tcPr>
            <w:tcW w:w="1134" w:type="dxa"/>
            <w:shd w:val="clear" w:color="auto" w:fill="auto"/>
          </w:tcPr>
          <w:p w14:paraId="169FD46F" w14:textId="0E006E1E"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12,24%</w:t>
            </w:r>
          </w:p>
        </w:tc>
        <w:tc>
          <w:tcPr>
            <w:tcW w:w="1134" w:type="dxa"/>
            <w:shd w:val="clear" w:color="auto" w:fill="auto"/>
          </w:tcPr>
          <w:p w14:paraId="0CA571A2" w14:textId="4535BEC3"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16,88%</w:t>
            </w:r>
          </w:p>
        </w:tc>
        <w:tc>
          <w:tcPr>
            <w:tcW w:w="1134" w:type="dxa"/>
          </w:tcPr>
          <w:p w14:paraId="42050185" w14:textId="5BD52317"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19,83%</w:t>
            </w:r>
          </w:p>
        </w:tc>
        <w:tc>
          <w:tcPr>
            <w:tcW w:w="1134" w:type="dxa"/>
          </w:tcPr>
          <w:p w14:paraId="55182D36" w14:textId="43FDBCDA" w:rsidR="00327BF9" w:rsidRPr="00B81A28" w:rsidRDefault="00287F6E" w:rsidP="004B1D7C">
            <w:pPr>
              <w:spacing w:before="40" w:after="40" w:line="300" w:lineRule="atLeast"/>
              <w:jc w:val="center"/>
              <w:rPr>
                <w:rFonts w:ascii="Verdana" w:hAnsi="Verdana"/>
                <w:sz w:val="16"/>
                <w:szCs w:val="16"/>
              </w:rPr>
            </w:pPr>
            <w:r>
              <w:rPr>
                <w:rFonts w:ascii="Verdana" w:hAnsi="Verdana"/>
                <w:sz w:val="16"/>
                <w:szCs w:val="16"/>
              </w:rPr>
              <w:t>11,56%</w:t>
            </w:r>
          </w:p>
        </w:tc>
      </w:tr>
    </w:tbl>
    <w:p w14:paraId="48A32876" w14:textId="77777777" w:rsidR="00327BF9" w:rsidRDefault="00327BF9" w:rsidP="00327BF9">
      <w:pPr>
        <w:spacing w:after="0" w:line="240" w:lineRule="auto"/>
        <w:rPr>
          <w:rFonts w:ascii="Verdana" w:hAnsi="Verdana"/>
          <w:sz w:val="16"/>
          <w:szCs w:val="16"/>
        </w:rPr>
      </w:pPr>
    </w:p>
    <w:p w14:paraId="36541820" w14:textId="77777777" w:rsidR="00327BF9" w:rsidRDefault="00327BF9" w:rsidP="00327BF9">
      <w:pPr>
        <w:spacing w:after="160" w:line="259" w:lineRule="auto"/>
        <w:rPr>
          <w:rFonts w:ascii="Verdana" w:hAnsi="Verdana"/>
          <w:sz w:val="16"/>
          <w:szCs w:val="16"/>
        </w:rPr>
      </w:pPr>
      <w:r>
        <w:rPr>
          <w:rFonts w:ascii="Verdana" w:hAnsi="Verdana"/>
          <w:sz w:val="16"/>
          <w:szCs w:val="16"/>
        </w:rPr>
        <w:br w:type="page"/>
      </w:r>
    </w:p>
    <w:p w14:paraId="532E549F" w14:textId="77777777" w:rsidR="00327BF9" w:rsidRPr="00B81A28" w:rsidRDefault="00327BF9" w:rsidP="00327BF9">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76E58B70" wp14:editId="5F232CC4">
            <wp:extent cx="3057525" cy="642486"/>
            <wp:effectExtent l="0" t="0" r="0" b="5715"/>
            <wp:docPr id="14" name="Picture 1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327BF9" w:rsidRPr="00B81A28" w14:paraId="3506384F" w14:textId="77777777" w:rsidTr="004B1D7C">
        <w:tc>
          <w:tcPr>
            <w:tcW w:w="14884" w:type="dxa"/>
            <w:gridSpan w:val="10"/>
            <w:shd w:val="clear" w:color="auto" w:fill="CB2229"/>
            <w:vAlign w:val="center"/>
          </w:tcPr>
          <w:p w14:paraId="33713F2A"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1A90FB36"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p>
          <w:p w14:paraId="47020EFF"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327BF9" w:rsidRPr="00B81A28" w14:paraId="753B8AE5" w14:textId="77777777" w:rsidTr="004B1D7C">
        <w:tc>
          <w:tcPr>
            <w:tcW w:w="4536" w:type="dxa"/>
            <w:shd w:val="clear" w:color="auto" w:fill="4C4C4C"/>
          </w:tcPr>
          <w:p w14:paraId="4AAB0936" w14:textId="77777777" w:rsidR="00327BF9" w:rsidRPr="0067766B" w:rsidRDefault="00327BF9" w:rsidP="004B1D7C">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1E8D46A5"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2CDBDC3E"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099D0820"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684D5FAE"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7B5C8EEB"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28E3BF1D"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44278B2F"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3C13672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4F68741E"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78A033AD" w14:textId="77777777" w:rsidTr="004B1D7C">
        <w:tc>
          <w:tcPr>
            <w:tcW w:w="14884" w:type="dxa"/>
            <w:gridSpan w:val="10"/>
            <w:shd w:val="clear" w:color="auto" w:fill="7583BD"/>
            <w:vAlign w:val="center"/>
          </w:tcPr>
          <w:p w14:paraId="084C77E5" w14:textId="77777777" w:rsidR="00327BF9" w:rsidRPr="00B81A28" w:rsidRDefault="00327BF9" w:rsidP="004B1D7C">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Bonds</w:t>
            </w:r>
          </w:p>
        </w:tc>
      </w:tr>
      <w:tr w:rsidR="00327BF9" w:rsidRPr="00B81A28" w14:paraId="7385CE53" w14:textId="77777777" w:rsidTr="004B1D7C">
        <w:tc>
          <w:tcPr>
            <w:tcW w:w="4536" w:type="dxa"/>
          </w:tcPr>
          <w:p w14:paraId="34EB697C"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Ashburton World Government Bond</w:t>
            </w:r>
          </w:p>
        </w:tc>
        <w:tc>
          <w:tcPr>
            <w:tcW w:w="1134" w:type="dxa"/>
          </w:tcPr>
          <w:p w14:paraId="463A9AC7" w14:textId="2E06F70C"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8,84%</w:t>
            </w:r>
          </w:p>
        </w:tc>
        <w:tc>
          <w:tcPr>
            <w:tcW w:w="1276" w:type="dxa"/>
          </w:tcPr>
          <w:p w14:paraId="5150B13D" w14:textId="16C1567C"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12,64%</w:t>
            </w:r>
          </w:p>
        </w:tc>
        <w:tc>
          <w:tcPr>
            <w:tcW w:w="1134" w:type="dxa"/>
          </w:tcPr>
          <w:p w14:paraId="1FAC4F0C"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06149B1"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F54C5F9"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23B9D8D"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417F7A0"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68380F3"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DF6E396"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6500748A" w14:textId="77777777" w:rsidTr="004B1D7C">
        <w:tc>
          <w:tcPr>
            <w:tcW w:w="4536" w:type="dxa"/>
          </w:tcPr>
          <w:p w14:paraId="6F494860"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FirstRand</w:t>
            </w:r>
            <w:r w:rsidRPr="00B81A28">
              <w:rPr>
                <w:rFonts w:ascii="Verdana" w:hAnsi="Verdana"/>
                <w:sz w:val="16"/>
                <w:szCs w:val="16"/>
              </w:rPr>
              <w:t xml:space="preserve"> US Dollar Custodian Certificate </w:t>
            </w:r>
          </w:p>
        </w:tc>
        <w:tc>
          <w:tcPr>
            <w:tcW w:w="1134" w:type="dxa"/>
          </w:tcPr>
          <w:p w14:paraId="696A7F63" w14:textId="07AB14AA"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1,51%</w:t>
            </w:r>
          </w:p>
        </w:tc>
        <w:tc>
          <w:tcPr>
            <w:tcW w:w="1276" w:type="dxa"/>
          </w:tcPr>
          <w:p w14:paraId="35A5E430" w14:textId="498C875F"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15,88%</w:t>
            </w:r>
          </w:p>
        </w:tc>
        <w:tc>
          <w:tcPr>
            <w:tcW w:w="1134" w:type="dxa"/>
          </w:tcPr>
          <w:p w14:paraId="382FDC81" w14:textId="7007AAFB"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9,35%</w:t>
            </w:r>
          </w:p>
        </w:tc>
        <w:tc>
          <w:tcPr>
            <w:tcW w:w="1134" w:type="dxa"/>
          </w:tcPr>
          <w:p w14:paraId="1F2B1D41" w14:textId="6A1F8700"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4,29%</w:t>
            </w:r>
          </w:p>
        </w:tc>
        <w:tc>
          <w:tcPr>
            <w:tcW w:w="1134" w:type="dxa"/>
          </w:tcPr>
          <w:p w14:paraId="540DF8AA"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709787C"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1600804"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C202232"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7CCC077"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7B8A871C" w14:textId="77777777" w:rsidTr="004B1D7C">
        <w:tc>
          <w:tcPr>
            <w:tcW w:w="4536" w:type="dxa"/>
          </w:tcPr>
          <w:p w14:paraId="5D83ADC5"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Stanlib Global Government Bond Index Feeder</w:t>
            </w:r>
          </w:p>
        </w:tc>
        <w:tc>
          <w:tcPr>
            <w:tcW w:w="1134" w:type="dxa"/>
          </w:tcPr>
          <w:p w14:paraId="1FAE3E07" w14:textId="1FE6771A"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8,54%</w:t>
            </w:r>
          </w:p>
        </w:tc>
        <w:tc>
          <w:tcPr>
            <w:tcW w:w="1276" w:type="dxa"/>
          </w:tcPr>
          <w:p w14:paraId="7A8E55C0"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17CA454"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5B914D6"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8614C48"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7B82746"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EC755FD"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03A8F2C"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19350AB"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7B8BC52C" w14:textId="77777777" w:rsidTr="004B1D7C">
        <w:tc>
          <w:tcPr>
            <w:tcW w:w="14884" w:type="dxa"/>
            <w:gridSpan w:val="10"/>
            <w:shd w:val="clear" w:color="auto" w:fill="7583BD"/>
          </w:tcPr>
          <w:p w14:paraId="0C6E38F5" w14:textId="77777777" w:rsidR="00327BF9" w:rsidRPr="0067766B" w:rsidRDefault="00327BF9" w:rsidP="004B1D7C">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Listed Property</w:t>
            </w:r>
          </w:p>
        </w:tc>
      </w:tr>
      <w:tr w:rsidR="00327BF9" w:rsidRPr="00B81A28" w14:paraId="04AF2F76" w14:textId="77777777" w:rsidTr="004B1D7C">
        <w:tc>
          <w:tcPr>
            <w:tcW w:w="4536" w:type="dxa"/>
          </w:tcPr>
          <w:p w14:paraId="3C1835B3"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Cloud Atlas Africa Real Estate ex-SA</w:t>
            </w:r>
          </w:p>
        </w:tc>
        <w:tc>
          <w:tcPr>
            <w:tcW w:w="1134" w:type="dxa"/>
          </w:tcPr>
          <w:p w14:paraId="07D0F2AA" w14:textId="4A56409A" w:rsidR="00327BF9" w:rsidRPr="00B81A28" w:rsidRDefault="007D3BB2" w:rsidP="004B1D7C">
            <w:pPr>
              <w:tabs>
                <w:tab w:val="left" w:pos="1050"/>
              </w:tabs>
              <w:spacing w:before="40" w:after="40" w:line="300" w:lineRule="atLeast"/>
              <w:jc w:val="center"/>
              <w:rPr>
                <w:rFonts w:ascii="Verdana" w:hAnsi="Verdana"/>
                <w:sz w:val="16"/>
                <w:szCs w:val="16"/>
              </w:rPr>
            </w:pPr>
            <w:r>
              <w:rPr>
                <w:rFonts w:ascii="Verdana" w:hAnsi="Verdana"/>
                <w:sz w:val="16"/>
                <w:szCs w:val="16"/>
              </w:rPr>
              <w:t>-</w:t>
            </w:r>
          </w:p>
        </w:tc>
        <w:tc>
          <w:tcPr>
            <w:tcW w:w="1276" w:type="dxa"/>
          </w:tcPr>
          <w:p w14:paraId="75FA270A" w14:textId="69F920BF" w:rsidR="00327BF9" w:rsidRPr="00B81A28" w:rsidRDefault="007D3BB2"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8B8AF2F"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0255DFE"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4938A6D"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B32576F"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5510B66"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12F2C3C"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9C0CE17"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2229B3AE" w14:textId="77777777" w:rsidTr="004B1D7C">
        <w:tc>
          <w:tcPr>
            <w:tcW w:w="4536" w:type="dxa"/>
          </w:tcPr>
          <w:p w14:paraId="4FBC72F2"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 xml:space="preserve">CoreShares S&amp;P Global Property </w:t>
            </w:r>
          </w:p>
        </w:tc>
        <w:tc>
          <w:tcPr>
            <w:tcW w:w="1134" w:type="dxa"/>
          </w:tcPr>
          <w:p w14:paraId="0B9286C8" w14:textId="1EC6DECA"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12,40%</w:t>
            </w:r>
          </w:p>
        </w:tc>
        <w:tc>
          <w:tcPr>
            <w:tcW w:w="1276" w:type="dxa"/>
          </w:tcPr>
          <w:p w14:paraId="0F496A78" w14:textId="67EF741F"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20,73%</w:t>
            </w:r>
          </w:p>
        </w:tc>
        <w:tc>
          <w:tcPr>
            <w:tcW w:w="1134" w:type="dxa"/>
          </w:tcPr>
          <w:p w14:paraId="0E863FD5" w14:textId="4D7DA5DC"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9,93%</w:t>
            </w:r>
          </w:p>
        </w:tc>
        <w:tc>
          <w:tcPr>
            <w:tcW w:w="1134" w:type="dxa"/>
          </w:tcPr>
          <w:p w14:paraId="4F4B97BC" w14:textId="09FD68B0"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7,02%</w:t>
            </w:r>
          </w:p>
        </w:tc>
        <w:tc>
          <w:tcPr>
            <w:tcW w:w="1134" w:type="dxa"/>
          </w:tcPr>
          <w:p w14:paraId="2208DA78"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8B1F8E5"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6EA65815"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E8E173C"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C1E5182"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6AB57FEE" w14:textId="77777777" w:rsidTr="004B1D7C">
        <w:tc>
          <w:tcPr>
            <w:tcW w:w="4536" w:type="dxa"/>
          </w:tcPr>
          <w:p w14:paraId="34DEF0AE"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Stanlib Global REIT Index Feeder</w:t>
            </w:r>
          </w:p>
        </w:tc>
        <w:tc>
          <w:tcPr>
            <w:tcW w:w="1134" w:type="dxa"/>
          </w:tcPr>
          <w:p w14:paraId="67C40E36" w14:textId="31CDA7FE"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11,81%</w:t>
            </w:r>
          </w:p>
        </w:tc>
        <w:tc>
          <w:tcPr>
            <w:tcW w:w="1276" w:type="dxa"/>
          </w:tcPr>
          <w:p w14:paraId="67622700" w14:textId="39B28CF2"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B7F0EBB"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464ECB6"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ED9AE3F"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FFEA690"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748CFEE"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F5DD3C5"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D92257F"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198F68F2" w14:textId="77777777" w:rsidTr="004B1D7C">
        <w:tc>
          <w:tcPr>
            <w:tcW w:w="4536" w:type="dxa"/>
          </w:tcPr>
          <w:p w14:paraId="4FF9C4F9"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Sygnia/Itrix Global Property</w:t>
            </w:r>
          </w:p>
        </w:tc>
        <w:tc>
          <w:tcPr>
            <w:tcW w:w="1134" w:type="dxa"/>
          </w:tcPr>
          <w:p w14:paraId="3C06536F" w14:textId="13A6573F"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11,14%</w:t>
            </w:r>
          </w:p>
        </w:tc>
        <w:tc>
          <w:tcPr>
            <w:tcW w:w="1276" w:type="dxa"/>
          </w:tcPr>
          <w:p w14:paraId="59BB8E08" w14:textId="7CEE67BE"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20,70%</w:t>
            </w:r>
          </w:p>
        </w:tc>
        <w:tc>
          <w:tcPr>
            <w:tcW w:w="1134" w:type="dxa"/>
          </w:tcPr>
          <w:p w14:paraId="0B44B867" w14:textId="784EB26F"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9,91%</w:t>
            </w:r>
          </w:p>
        </w:tc>
        <w:tc>
          <w:tcPr>
            <w:tcW w:w="1134" w:type="dxa"/>
          </w:tcPr>
          <w:p w14:paraId="666305AE"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FDDE23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E3D2BE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BCB2759"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BB14BB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BB3534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4DE1239B" w14:textId="77777777" w:rsidTr="004B1D7C">
        <w:tc>
          <w:tcPr>
            <w:tcW w:w="14884" w:type="dxa"/>
            <w:gridSpan w:val="10"/>
            <w:shd w:val="clear" w:color="auto" w:fill="7583BD"/>
          </w:tcPr>
          <w:p w14:paraId="2DB9D9B1" w14:textId="77777777" w:rsidR="00327BF9" w:rsidRPr="0067766B" w:rsidRDefault="00327BF9" w:rsidP="004B1D7C">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Style / Smart Beta</w:t>
            </w:r>
          </w:p>
        </w:tc>
      </w:tr>
      <w:tr w:rsidR="00327BF9" w:rsidRPr="00B81A28" w14:paraId="3058A456" w14:textId="77777777" w:rsidTr="004B1D7C">
        <w:tc>
          <w:tcPr>
            <w:tcW w:w="4536" w:type="dxa"/>
          </w:tcPr>
          <w:p w14:paraId="511FD603"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 xml:space="preserve">CoreShares S&amp;P 500 Dividend Aristocrat </w:t>
            </w:r>
          </w:p>
        </w:tc>
        <w:tc>
          <w:tcPr>
            <w:tcW w:w="1134" w:type="dxa"/>
          </w:tcPr>
          <w:p w14:paraId="4D620FB9" w14:textId="6498758B"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9,03%</w:t>
            </w:r>
          </w:p>
        </w:tc>
        <w:tc>
          <w:tcPr>
            <w:tcW w:w="1276" w:type="dxa"/>
          </w:tcPr>
          <w:p w14:paraId="460215DB" w14:textId="3A8E83E9"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17,22%</w:t>
            </w:r>
          </w:p>
        </w:tc>
        <w:tc>
          <w:tcPr>
            <w:tcW w:w="1134" w:type="dxa"/>
          </w:tcPr>
          <w:p w14:paraId="590D50BE"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EDF6F39"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CBAD49F"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67B956D"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E20633D"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B8C2A0D"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B35F730"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59EE2BE3" w14:textId="77777777" w:rsidTr="004B1D7C">
        <w:tc>
          <w:tcPr>
            <w:tcW w:w="4536" w:type="dxa"/>
          </w:tcPr>
          <w:p w14:paraId="53A53E0C"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Stanlib S&amp;P 500 Info Tech Index Feeder</w:t>
            </w:r>
          </w:p>
        </w:tc>
        <w:tc>
          <w:tcPr>
            <w:tcW w:w="1134" w:type="dxa"/>
          </w:tcPr>
          <w:p w14:paraId="054A4527" w14:textId="11386C4B"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9,17%</w:t>
            </w:r>
          </w:p>
        </w:tc>
        <w:tc>
          <w:tcPr>
            <w:tcW w:w="1276" w:type="dxa"/>
          </w:tcPr>
          <w:p w14:paraId="0D4BA723"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A57A582"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F75441D"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0C30F36"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62B5C10"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877BCA9"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48D79FC"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28D832E"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42C5FB25" w14:textId="77777777" w:rsidTr="004B1D7C">
        <w:tc>
          <w:tcPr>
            <w:tcW w:w="4536" w:type="dxa"/>
          </w:tcPr>
          <w:p w14:paraId="21169BCD"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Sygnia/Itrix 4</w:t>
            </w:r>
            <w:r w:rsidRPr="0067766B">
              <w:rPr>
                <w:rFonts w:ascii="Verdana" w:hAnsi="Verdana"/>
                <w:sz w:val="16"/>
                <w:szCs w:val="16"/>
                <w:vertAlign w:val="superscript"/>
              </w:rPr>
              <w:t>th</w:t>
            </w:r>
            <w:r>
              <w:rPr>
                <w:rFonts w:ascii="Verdana" w:hAnsi="Verdana"/>
                <w:sz w:val="16"/>
                <w:szCs w:val="16"/>
              </w:rPr>
              <w:t xml:space="preserve"> Industrial Revolution</w:t>
            </w:r>
          </w:p>
        </w:tc>
        <w:tc>
          <w:tcPr>
            <w:tcW w:w="1134" w:type="dxa"/>
          </w:tcPr>
          <w:p w14:paraId="7B63D65E" w14:textId="1738E2EB"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8,29%</w:t>
            </w:r>
          </w:p>
        </w:tc>
        <w:tc>
          <w:tcPr>
            <w:tcW w:w="1276" w:type="dxa"/>
          </w:tcPr>
          <w:p w14:paraId="4023DE9E" w14:textId="1DE14552"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19,39%</w:t>
            </w:r>
          </w:p>
        </w:tc>
        <w:tc>
          <w:tcPr>
            <w:tcW w:w="1134" w:type="dxa"/>
          </w:tcPr>
          <w:p w14:paraId="3B2020A6" w14:textId="59CC727F"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15,14%</w:t>
            </w:r>
          </w:p>
        </w:tc>
        <w:tc>
          <w:tcPr>
            <w:tcW w:w="1134" w:type="dxa"/>
          </w:tcPr>
          <w:p w14:paraId="5A91648F"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6CB9D24"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C5823BB"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C5F7281"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4B8BA31"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DCBE967" w14:textId="77777777" w:rsidR="00327BF9" w:rsidRPr="00B81A28" w:rsidRDefault="00327BF9" w:rsidP="004B1D7C">
            <w:pPr>
              <w:spacing w:before="40" w:after="40" w:line="300" w:lineRule="atLeast"/>
              <w:jc w:val="center"/>
              <w:rPr>
                <w:rFonts w:ascii="Verdana" w:hAnsi="Verdana"/>
                <w:sz w:val="16"/>
                <w:szCs w:val="16"/>
              </w:rPr>
            </w:pPr>
            <w:r>
              <w:rPr>
                <w:rFonts w:ascii="Verdana" w:hAnsi="Verdana"/>
                <w:sz w:val="16"/>
                <w:szCs w:val="16"/>
              </w:rPr>
              <w:t>-</w:t>
            </w:r>
          </w:p>
        </w:tc>
      </w:tr>
      <w:tr w:rsidR="00327BF9" w:rsidRPr="00B81A28" w14:paraId="08B35DC3" w14:textId="77777777" w:rsidTr="004B1D7C">
        <w:tc>
          <w:tcPr>
            <w:tcW w:w="14884" w:type="dxa"/>
            <w:gridSpan w:val="10"/>
            <w:shd w:val="clear" w:color="auto" w:fill="4C4C4C"/>
          </w:tcPr>
          <w:p w14:paraId="4040957B" w14:textId="77777777" w:rsidR="00327BF9" w:rsidRPr="00F17816" w:rsidRDefault="00327BF9" w:rsidP="004B1D7C">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ETNS</w:t>
            </w:r>
          </w:p>
        </w:tc>
      </w:tr>
      <w:tr w:rsidR="00327BF9" w:rsidRPr="00B81A28" w14:paraId="2AEF86E9" w14:textId="77777777" w:rsidTr="004B1D7C">
        <w:tc>
          <w:tcPr>
            <w:tcW w:w="4536" w:type="dxa"/>
          </w:tcPr>
          <w:p w14:paraId="6420BFA7"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DB MSCI China Total Return</w:t>
            </w:r>
          </w:p>
        </w:tc>
        <w:tc>
          <w:tcPr>
            <w:tcW w:w="1134" w:type="dxa"/>
          </w:tcPr>
          <w:p w14:paraId="57656440" w14:textId="3240459B"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1,06%</w:t>
            </w:r>
          </w:p>
        </w:tc>
        <w:tc>
          <w:tcPr>
            <w:tcW w:w="1276" w:type="dxa"/>
          </w:tcPr>
          <w:p w14:paraId="67C3CB62" w14:textId="69B87E4D"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8,53%</w:t>
            </w:r>
          </w:p>
        </w:tc>
        <w:tc>
          <w:tcPr>
            <w:tcW w:w="1134" w:type="dxa"/>
          </w:tcPr>
          <w:p w14:paraId="5D5E4A2A" w14:textId="369876BC"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3,18%</w:t>
            </w:r>
          </w:p>
        </w:tc>
        <w:tc>
          <w:tcPr>
            <w:tcW w:w="1134" w:type="dxa"/>
          </w:tcPr>
          <w:p w14:paraId="055005C1" w14:textId="7DFC2328"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25,14%</w:t>
            </w:r>
          </w:p>
        </w:tc>
        <w:tc>
          <w:tcPr>
            <w:tcW w:w="1134" w:type="dxa"/>
          </w:tcPr>
          <w:p w14:paraId="69F95E14" w14:textId="192FAC8C"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21,03%</w:t>
            </w:r>
          </w:p>
        </w:tc>
        <w:tc>
          <w:tcPr>
            <w:tcW w:w="1134" w:type="dxa"/>
            <w:shd w:val="clear" w:color="auto" w:fill="auto"/>
          </w:tcPr>
          <w:p w14:paraId="1E9B2279" w14:textId="1C445487"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10,74%</w:t>
            </w:r>
          </w:p>
        </w:tc>
        <w:tc>
          <w:tcPr>
            <w:tcW w:w="1134" w:type="dxa"/>
            <w:shd w:val="clear" w:color="auto" w:fill="auto"/>
          </w:tcPr>
          <w:p w14:paraId="40864370" w14:textId="795B2AE9"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18,79%</w:t>
            </w:r>
          </w:p>
        </w:tc>
        <w:tc>
          <w:tcPr>
            <w:tcW w:w="1134" w:type="dxa"/>
          </w:tcPr>
          <w:p w14:paraId="79D60476"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2762ED6"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119577F7" w14:textId="77777777" w:rsidTr="004B1D7C">
        <w:tc>
          <w:tcPr>
            <w:tcW w:w="4536" w:type="dxa"/>
          </w:tcPr>
          <w:p w14:paraId="421750D7"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DB MSCI Emerging Markets Total Return</w:t>
            </w:r>
          </w:p>
        </w:tc>
        <w:tc>
          <w:tcPr>
            <w:tcW w:w="1134" w:type="dxa"/>
          </w:tcPr>
          <w:p w14:paraId="13852ACA" w14:textId="408ED3ED"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4,40%</w:t>
            </w:r>
          </w:p>
        </w:tc>
        <w:tc>
          <w:tcPr>
            <w:tcW w:w="1276" w:type="dxa"/>
          </w:tcPr>
          <w:p w14:paraId="76C74353" w14:textId="77C7589F"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6,15%</w:t>
            </w:r>
          </w:p>
        </w:tc>
        <w:tc>
          <w:tcPr>
            <w:tcW w:w="1134" w:type="dxa"/>
          </w:tcPr>
          <w:p w14:paraId="556EACFB" w14:textId="24BC15D1"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4,92%</w:t>
            </w:r>
          </w:p>
        </w:tc>
        <w:tc>
          <w:tcPr>
            <w:tcW w:w="1134" w:type="dxa"/>
          </w:tcPr>
          <w:p w14:paraId="11EEED55" w14:textId="07A38DCB"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13,56</w:t>
            </w:r>
            <w:r w:rsidR="0057580E">
              <w:rPr>
                <w:rFonts w:ascii="Verdana" w:hAnsi="Verdana"/>
                <w:sz w:val="16"/>
                <w:szCs w:val="16"/>
              </w:rPr>
              <w:t>%</w:t>
            </w:r>
          </w:p>
        </w:tc>
        <w:tc>
          <w:tcPr>
            <w:tcW w:w="1134" w:type="dxa"/>
          </w:tcPr>
          <w:p w14:paraId="161388AF" w14:textId="5043A619"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11,37%</w:t>
            </w:r>
          </w:p>
        </w:tc>
        <w:tc>
          <w:tcPr>
            <w:tcW w:w="1134" w:type="dxa"/>
            <w:shd w:val="clear" w:color="auto" w:fill="auto"/>
          </w:tcPr>
          <w:p w14:paraId="066F5AE6" w14:textId="77B2781B"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9,59%</w:t>
            </w:r>
          </w:p>
        </w:tc>
        <w:tc>
          <w:tcPr>
            <w:tcW w:w="1134" w:type="dxa"/>
            <w:shd w:val="clear" w:color="auto" w:fill="auto"/>
          </w:tcPr>
          <w:p w14:paraId="78FEDB4E" w14:textId="25E0D1EC"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11,67%</w:t>
            </w:r>
          </w:p>
        </w:tc>
        <w:tc>
          <w:tcPr>
            <w:tcW w:w="1134" w:type="dxa"/>
          </w:tcPr>
          <w:p w14:paraId="6430308D"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7C37CBF"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30561D5C" w14:textId="77777777" w:rsidTr="004B1D7C">
        <w:tc>
          <w:tcPr>
            <w:tcW w:w="4536" w:type="dxa"/>
          </w:tcPr>
          <w:p w14:paraId="2E280AA2" w14:textId="77777777" w:rsidR="00327BF9" w:rsidRPr="00B81A28" w:rsidRDefault="00327BF9" w:rsidP="004B1D7C">
            <w:pPr>
              <w:spacing w:before="40" w:after="40" w:line="300" w:lineRule="atLeast"/>
              <w:rPr>
                <w:rFonts w:ascii="Verdana" w:hAnsi="Verdana"/>
                <w:sz w:val="16"/>
                <w:szCs w:val="16"/>
              </w:rPr>
            </w:pPr>
            <w:r w:rsidRPr="00B81A28">
              <w:rPr>
                <w:rFonts w:ascii="Verdana" w:hAnsi="Verdana"/>
                <w:sz w:val="16"/>
                <w:szCs w:val="16"/>
              </w:rPr>
              <w:t>DB Africa Top 50 Capped Total Return</w:t>
            </w:r>
          </w:p>
        </w:tc>
        <w:tc>
          <w:tcPr>
            <w:tcW w:w="1134" w:type="dxa"/>
          </w:tcPr>
          <w:p w14:paraId="512CC2C4" w14:textId="6558062D"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5,01%</w:t>
            </w:r>
          </w:p>
        </w:tc>
        <w:tc>
          <w:tcPr>
            <w:tcW w:w="1276" w:type="dxa"/>
          </w:tcPr>
          <w:p w14:paraId="3D38B1D8" w14:textId="685F3951"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2,46%</w:t>
            </w:r>
          </w:p>
        </w:tc>
        <w:tc>
          <w:tcPr>
            <w:tcW w:w="1134" w:type="dxa"/>
          </w:tcPr>
          <w:p w14:paraId="430B80BD" w14:textId="17021F13"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(0,22%)</w:t>
            </w:r>
          </w:p>
        </w:tc>
        <w:tc>
          <w:tcPr>
            <w:tcW w:w="1134" w:type="dxa"/>
          </w:tcPr>
          <w:p w14:paraId="2B56A143" w14:textId="45F3F740"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10,05%</w:t>
            </w:r>
          </w:p>
        </w:tc>
        <w:tc>
          <w:tcPr>
            <w:tcW w:w="1134" w:type="dxa"/>
          </w:tcPr>
          <w:p w14:paraId="35754F92" w14:textId="2DAE30C1"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3,52%</w:t>
            </w:r>
          </w:p>
        </w:tc>
        <w:tc>
          <w:tcPr>
            <w:tcW w:w="1134" w:type="dxa"/>
            <w:shd w:val="clear" w:color="auto" w:fill="auto"/>
          </w:tcPr>
          <w:p w14:paraId="707A71C6" w14:textId="1177DFED"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2,53%</w:t>
            </w:r>
          </w:p>
        </w:tc>
        <w:tc>
          <w:tcPr>
            <w:tcW w:w="1134" w:type="dxa"/>
            <w:shd w:val="clear" w:color="auto" w:fill="auto"/>
          </w:tcPr>
          <w:p w14:paraId="246B9BB0" w14:textId="1348702D"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8,04%</w:t>
            </w:r>
          </w:p>
        </w:tc>
        <w:tc>
          <w:tcPr>
            <w:tcW w:w="1134" w:type="dxa"/>
          </w:tcPr>
          <w:p w14:paraId="4F4071FF"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6623347" w14:textId="77777777" w:rsidR="00327BF9" w:rsidRPr="00B81A28" w:rsidRDefault="00327BF9" w:rsidP="004B1D7C">
            <w:pPr>
              <w:spacing w:before="40" w:after="40" w:line="300" w:lineRule="atLeast"/>
              <w:jc w:val="center"/>
              <w:rPr>
                <w:rFonts w:ascii="Verdana" w:hAnsi="Verdana"/>
                <w:sz w:val="16"/>
                <w:szCs w:val="16"/>
              </w:rPr>
            </w:pPr>
          </w:p>
        </w:tc>
      </w:tr>
      <w:tr w:rsidR="00327BF9" w:rsidRPr="00B81A28" w14:paraId="1F6C1079" w14:textId="77777777" w:rsidTr="004B1D7C">
        <w:tc>
          <w:tcPr>
            <w:tcW w:w="4536" w:type="dxa"/>
          </w:tcPr>
          <w:p w14:paraId="72B121EB"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Africa Equity Index Total Return</w:t>
            </w:r>
          </w:p>
        </w:tc>
        <w:tc>
          <w:tcPr>
            <w:tcW w:w="1134" w:type="dxa"/>
          </w:tcPr>
          <w:p w14:paraId="106F29DD" w14:textId="6CEAC463" w:rsidR="00327BF9" w:rsidRPr="00B81A28" w:rsidRDefault="00D66309" w:rsidP="004B1D7C">
            <w:pPr>
              <w:tabs>
                <w:tab w:val="left" w:pos="1050"/>
              </w:tabs>
              <w:spacing w:before="40" w:after="40" w:line="300" w:lineRule="atLeast"/>
              <w:jc w:val="center"/>
              <w:rPr>
                <w:rFonts w:ascii="Verdana" w:hAnsi="Verdana"/>
                <w:sz w:val="16"/>
                <w:szCs w:val="16"/>
              </w:rPr>
            </w:pPr>
            <w:r>
              <w:rPr>
                <w:rFonts w:ascii="Verdana" w:hAnsi="Verdana"/>
                <w:sz w:val="16"/>
                <w:szCs w:val="16"/>
              </w:rPr>
              <w:t>11,48%</w:t>
            </w:r>
          </w:p>
        </w:tc>
        <w:tc>
          <w:tcPr>
            <w:tcW w:w="1276" w:type="dxa"/>
          </w:tcPr>
          <w:p w14:paraId="13A5AF92" w14:textId="6D7BB418"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13,22%</w:t>
            </w:r>
          </w:p>
        </w:tc>
        <w:tc>
          <w:tcPr>
            <w:tcW w:w="1134" w:type="dxa"/>
          </w:tcPr>
          <w:p w14:paraId="564D34ED" w14:textId="02D55A1C"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13,57%</w:t>
            </w:r>
          </w:p>
        </w:tc>
        <w:tc>
          <w:tcPr>
            <w:tcW w:w="1134" w:type="dxa"/>
          </w:tcPr>
          <w:p w14:paraId="6AF44D79" w14:textId="72D0E781"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22,25%</w:t>
            </w:r>
          </w:p>
        </w:tc>
        <w:tc>
          <w:tcPr>
            <w:tcW w:w="1134" w:type="dxa"/>
          </w:tcPr>
          <w:p w14:paraId="394D11F2" w14:textId="6F116A2E"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6,51%</w:t>
            </w:r>
          </w:p>
        </w:tc>
        <w:tc>
          <w:tcPr>
            <w:tcW w:w="1134" w:type="dxa"/>
            <w:shd w:val="clear" w:color="auto" w:fill="auto"/>
          </w:tcPr>
          <w:p w14:paraId="5CB63579" w14:textId="4AB320E3"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1,48%</w:t>
            </w:r>
          </w:p>
        </w:tc>
        <w:tc>
          <w:tcPr>
            <w:tcW w:w="1134" w:type="dxa"/>
            <w:shd w:val="clear" w:color="auto" w:fill="auto"/>
          </w:tcPr>
          <w:p w14:paraId="552E4483" w14:textId="1AB55CB7"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2,69%</w:t>
            </w:r>
          </w:p>
        </w:tc>
        <w:tc>
          <w:tcPr>
            <w:tcW w:w="1134" w:type="dxa"/>
          </w:tcPr>
          <w:p w14:paraId="6B074275" w14:textId="7D5D34EB" w:rsidR="00327BF9" w:rsidRPr="00B81A28" w:rsidRDefault="00D66309" w:rsidP="004B1D7C">
            <w:pPr>
              <w:spacing w:before="40" w:after="40" w:line="300" w:lineRule="atLeast"/>
              <w:jc w:val="center"/>
              <w:rPr>
                <w:rFonts w:ascii="Verdana" w:hAnsi="Verdana"/>
                <w:sz w:val="16"/>
                <w:szCs w:val="16"/>
              </w:rPr>
            </w:pPr>
            <w:r>
              <w:rPr>
                <w:rFonts w:ascii="Verdana" w:hAnsi="Verdana"/>
                <w:sz w:val="16"/>
                <w:szCs w:val="16"/>
              </w:rPr>
              <w:t>4,38%</w:t>
            </w:r>
          </w:p>
        </w:tc>
        <w:tc>
          <w:tcPr>
            <w:tcW w:w="1134" w:type="dxa"/>
          </w:tcPr>
          <w:p w14:paraId="108D7FCA"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bl>
    <w:p w14:paraId="0FC0AC41" w14:textId="77777777" w:rsidR="00327BF9" w:rsidRDefault="00327BF9" w:rsidP="00327BF9">
      <w:pPr>
        <w:rPr>
          <w:rFonts w:ascii="Verdana" w:hAnsi="Verdana"/>
        </w:rPr>
      </w:pPr>
    </w:p>
    <w:p w14:paraId="6D9CF93A" w14:textId="77777777" w:rsidR="00327BF9" w:rsidRDefault="00327BF9" w:rsidP="00327BF9">
      <w:pPr>
        <w:spacing w:after="160" w:line="259" w:lineRule="auto"/>
        <w:rPr>
          <w:rFonts w:ascii="Verdana" w:hAnsi="Verdana"/>
        </w:rPr>
      </w:pPr>
      <w:r>
        <w:rPr>
          <w:rFonts w:ascii="Verdana" w:hAnsi="Verdana"/>
        </w:rPr>
        <w:br w:type="page"/>
      </w:r>
    </w:p>
    <w:p w14:paraId="3A120814" w14:textId="77777777" w:rsidR="00327BF9" w:rsidRPr="00B81A28" w:rsidRDefault="00327BF9" w:rsidP="00327BF9">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63793664" wp14:editId="3C287657">
            <wp:extent cx="3057525" cy="642486"/>
            <wp:effectExtent l="0" t="0" r="0" b="5715"/>
            <wp:docPr id="15" name="Picture 15"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327BF9" w:rsidRPr="00B81A28" w14:paraId="6318AE24" w14:textId="77777777" w:rsidTr="004B1D7C">
        <w:tc>
          <w:tcPr>
            <w:tcW w:w="14884" w:type="dxa"/>
            <w:gridSpan w:val="10"/>
            <w:shd w:val="clear" w:color="auto" w:fill="CB2229"/>
            <w:vAlign w:val="center"/>
          </w:tcPr>
          <w:p w14:paraId="60CCB138"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27B795E6"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p>
          <w:p w14:paraId="48FE6941"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327BF9" w:rsidRPr="00B81A28" w14:paraId="4CF21755" w14:textId="77777777" w:rsidTr="004B1D7C">
        <w:tc>
          <w:tcPr>
            <w:tcW w:w="4536" w:type="dxa"/>
            <w:shd w:val="clear" w:color="auto" w:fill="4C4C4C"/>
          </w:tcPr>
          <w:p w14:paraId="44DD7884" w14:textId="77777777" w:rsidR="00327BF9" w:rsidRPr="0067766B" w:rsidRDefault="00327BF9" w:rsidP="004B1D7C">
            <w:pPr>
              <w:spacing w:before="40" w:after="40" w:line="300" w:lineRule="atLeast"/>
              <w:rPr>
                <w:rFonts w:ascii="Verdana" w:hAnsi="Verdana"/>
                <w:b/>
                <w:caps/>
                <w:color w:val="FFFFFF"/>
                <w:sz w:val="16"/>
                <w:szCs w:val="16"/>
              </w:rPr>
            </w:pPr>
            <w:r>
              <w:rPr>
                <w:rFonts w:ascii="Verdana" w:hAnsi="Verdana"/>
                <w:b/>
                <w:caps/>
                <w:color w:val="FFFFFF"/>
                <w:sz w:val="16"/>
                <w:szCs w:val="16"/>
              </w:rPr>
              <w:t>COMMODITIES</w:t>
            </w:r>
          </w:p>
        </w:tc>
        <w:tc>
          <w:tcPr>
            <w:tcW w:w="1134" w:type="dxa"/>
            <w:shd w:val="clear" w:color="auto" w:fill="4C4C4C"/>
          </w:tcPr>
          <w:p w14:paraId="7F6526D5"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668FB32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31D82600"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4C369123"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646ABBF6"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DB9BACF"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09408D5D"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0C7BED7F"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0952EA45"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0D739545" w14:textId="77777777" w:rsidTr="004B1D7C">
        <w:tc>
          <w:tcPr>
            <w:tcW w:w="14884" w:type="dxa"/>
            <w:gridSpan w:val="10"/>
            <w:shd w:val="clear" w:color="auto" w:fill="7583BD"/>
            <w:vAlign w:val="center"/>
          </w:tcPr>
          <w:p w14:paraId="7E75EF8B" w14:textId="77777777" w:rsidR="00327BF9" w:rsidRPr="00B81A28" w:rsidRDefault="00327BF9" w:rsidP="004B1D7C">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ETFS</w:t>
            </w:r>
          </w:p>
        </w:tc>
      </w:tr>
      <w:tr w:rsidR="00327BF9" w:rsidRPr="00B81A28" w14:paraId="6DF88B1A" w14:textId="77777777" w:rsidTr="004B1D7C">
        <w:tc>
          <w:tcPr>
            <w:tcW w:w="4536" w:type="dxa"/>
          </w:tcPr>
          <w:p w14:paraId="26322F97"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Absa NewGold</w:t>
            </w:r>
          </w:p>
        </w:tc>
        <w:tc>
          <w:tcPr>
            <w:tcW w:w="1134" w:type="dxa"/>
          </w:tcPr>
          <w:p w14:paraId="6E587E2F" w14:textId="1697E49F" w:rsidR="00327BF9" w:rsidRPr="00B81A28" w:rsidRDefault="009B5A7B" w:rsidP="004B1D7C">
            <w:pPr>
              <w:tabs>
                <w:tab w:val="left" w:pos="1050"/>
              </w:tabs>
              <w:spacing w:before="40" w:after="40" w:line="280" w:lineRule="atLeast"/>
              <w:jc w:val="center"/>
              <w:rPr>
                <w:rFonts w:ascii="Verdana" w:hAnsi="Verdana"/>
                <w:sz w:val="16"/>
                <w:szCs w:val="16"/>
              </w:rPr>
            </w:pPr>
            <w:r>
              <w:rPr>
                <w:rFonts w:ascii="Verdana" w:hAnsi="Verdana"/>
                <w:sz w:val="16"/>
                <w:szCs w:val="16"/>
              </w:rPr>
              <w:t>4,98%</w:t>
            </w:r>
          </w:p>
        </w:tc>
        <w:tc>
          <w:tcPr>
            <w:tcW w:w="1276" w:type="dxa"/>
          </w:tcPr>
          <w:p w14:paraId="53EDB21B" w14:textId="3CB44110"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9,40%</w:t>
            </w:r>
          </w:p>
        </w:tc>
        <w:tc>
          <w:tcPr>
            <w:tcW w:w="1134" w:type="dxa"/>
          </w:tcPr>
          <w:p w14:paraId="60D69856" w14:textId="1A90419E"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7,42%</w:t>
            </w:r>
          </w:p>
        </w:tc>
        <w:tc>
          <w:tcPr>
            <w:tcW w:w="1134" w:type="dxa"/>
          </w:tcPr>
          <w:p w14:paraId="239F15FA" w14:textId="03989765"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6,13%</w:t>
            </w:r>
          </w:p>
        </w:tc>
        <w:tc>
          <w:tcPr>
            <w:tcW w:w="1134" w:type="dxa"/>
          </w:tcPr>
          <w:p w14:paraId="291ADF87" w14:textId="681EECE2"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(6,87%)</w:t>
            </w:r>
          </w:p>
        </w:tc>
        <w:tc>
          <w:tcPr>
            <w:tcW w:w="1134" w:type="dxa"/>
            <w:shd w:val="clear" w:color="auto" w:fill="auto"/>
          </w:tcPr>
          <w:p w14:paraId="06FE115E" w14:textId="5034AE1F"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5,59%</w:t>
            </w:r>
          </w:p>
        </w:tc>
        <w:tc>
          <w:tcPr>
            <w:tcW w:w="1134" w:type="dxa"/>
            <w:shd w:val="clear" w:color="auto" w:fill="auto"/>
          </w:tcPr>
          <w:p w14:paraId="5BECF606" w14:textId="20247DC8"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6,91%</w:t>
            </w:r>
          </w:p>
        </w:tc>
        <w:tc>
          <w:tcPr>
            <w:tcW w:w="1134" w:type="dxa"/>
          </w:tcPr>
          <w:p w14:paraId="2CA72AD5" w14:textId="3E9100E1"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7,15%</w:t>
            </w:r>
          </w:p>
        </w:tc>
        <w:tc>
          <w:tcPr>
            <w:tcW w:w="1134" w:type="dxa"/>
          </w:tcPr>
          <w:p w14:paraId="24230160" w14:textId="5BCA5B49"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8,44%</w:t>
            </w:r>
          </w:p>
        </w:tc>
      </w:tr>
      <w:tr w:rsidR="00327BF9" w:rsidRPr="00B81A28" w14:paraId="6C4D4D05" w14:textId="77777777" w:rsidTr="004B1D7C">
        <w:tc>
          <w:tcPr>
            <w:tcW w:w="4536" w:type="dxa"/>
          </w:tcPr>
          <w:p w14:paraId="72FD4C5E"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Absa NewPlat</w:t>
            </w:r>
          </w:p>
        </w:tc>
        <w:tc>
          <w:tcPr>
            <w:tcW w:w="1134" w:type="dxa"/>
          </w:tcPr>
          <w:p w14:paraId="7A67AFF3" w14:textId="53BEA6D9" w:rsidR="00327BF9" w:rsidRPr="00B81A28" w:rsidRDefault="009B5A7B" w:rsidP="004B1D7C">
            <w:pPr>
              <w:tabs>
                <w:tab w:val="left" w:pos="1050"/>
              </w:tabs>
              <w:spacing w:before="40" w:after="40" w:line="280" w:lineRule="atLeast"/>
              <w:jc w:val="center"/>
              <w:rPr>
                <w:rFonts w:ascii="Verdana" w:hAnsi="Verdana"/>
                <w:sz w:val="16"/>
                <w:szCs w:val="16"/>
              </w:rPr>
            </w:pPr>
            <w:r>
              <w:rPr>
                <w:rFonts w:ascii="Verdana" w:hAnsi="Verdana"/>
                <w:sz w:val="16"/>
                <w:szCs w:val="16"/>
              </w:rPr>
              <w:t>2,83%</w:t>
            </w:r>
          </w:p>
        </w:tc>
        <w:tc>
          <w:tcPr>
            <w:tcW w:w="1276" w:type="dxa"/>
          </w:tcPr>
          <w:p w14:paraId="76D5FC94" w14:textId="1A1ADD15"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6,16%</w:t>
            </w:r>
          </w:p>
        </w:tc>
        <w:tc>
          <w:tcPr>
            <w:tcW w:w="1134" w:type="dxa"/>
          </w:tcPr>
          <w:p w14:paraId="0A47AAFC" w14:textId="2EF178E5"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2,50%</w:t>
            </w:r>
          </w:p>
        </w:tc>
        <w:tc>
          <w:tcPr>
            <w:tcW w:w="1134" w:type="dxa"/>
          </w:tcPr>
          <w:p w14:paraId="7A774AB4" w14:textId="66187F97"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(1,01%)</w:t>
            </w:r>
          </w:p>
        </w:tc>
        <w:tc>
          <w:tcPr>
            <w:tcW w:w="1134" w:type="dxa"/>
          </w:tcPr>
          <w:p w14:paraId="4D79CE55" w14:textId="6DED93A0"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(11,52%)</w:t>
            </w:r>
          </w:p>
        </w:tc>
        <w:tc>
          <w:tcPr>
            <w:tcW w:w="1134" w:type="dxa"/>
            <w:shd w:val="clear" w:color="auto" w:fill="auto"/>
          </w:tcPr>
          <w:p w14:paraId="54ED5EEE" w14:textId="5A586D3A"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(4,39%)</w:t>
            </w:r>
          </w:p>
        </w:tc>
        <w:tc>
          <w:tcPr>
            <w:tcW w:w="1134" w:type="dxa"/>
            <w:shd w:val="clear" w:color="auto" w:fill="auto"/>
          </w:tcPr>
          <w:p w14:paraId="315FB850" w14:textId="6C35D9DD"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(2,67%)</w:t>
            </w:r>
          </w:p>
        </w:tc>
        <w:tc>
          <w:tcPr>
            <w:tcW w:w="1134" w:type="dxa"/>
          </w:tcPr>
          <w:p w14:paraId="402EA576"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88E75E2"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47578FE0" w14:textId="77777777" w:rsidTr="004B1D7C">
        <w:tc>
          <w:tcPr>
            <w:tcW w:w="4536" w:type="dxa"/>
          </w:tcPr>
          <w:p w14:paraId="6C90A490"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Absa New</w:t>
            </w:r>
            <w:r>
              <w:rPr>
                <w:rFonts w:ascii="Verdana" w:hAnsi="Verdana"/>
                <w:sz w:val="16"/>
                <w:szCs w:val="16"/>
              </w:rPr>
              <w:t>Gold</w:t>
            </w:r>
            <w:r w:rsidRPr="00B81A28">
              <w:rPr>
                <w:rFonts w:ascii="Verdana" w:hAnsi="Verdana"/>
                <w:sz w:val="16"/>
                <w:szCs w:val="16"/>
              </w:rPr>
              <w:t xml:space="preserve"> Palladium</w:t>
            </w:r>
          </w:p>
        </w:tc>
        <w:tc>
          <w:tcPr>
            <w:tcW w:w="1134" w:type="dxa"/>
          </w:tcPr>
          <w:p w14:paraId="040609F3" w14:textId="0A095948" w:rsidR="00327BF9" w:rsidRPr="00B81A28" w:rsidRDefault="009B5A7B" w:rsidP="004B1D7C">
            <w:pPr>
              <w:tabs>
                <w:tab w:val="left" w:pos="1050"/>
              </w:tabs>
              <w:spacing w:before="40" w:after="40" w:line="280" w:lineRule="atLeast"/>
              <w:jc w:val="center"/>
              <w:rPr>
                <w:rFonts w:ascii="Verdana" w:hAnsi="Verdana"/>
                <w:sz w:val="16"/>
                <w:szCs w:val="16"/>
              </w:rPr>
            </w:pPr>
            <w:r>
              <w:rPr>
                <w:rFonts w:ascii="Verdana" w:hAnsi="Verdana"/>
                <w:sz w:val="16"/>
                <w:szCs w:val="16"/>
              </w:rPr>
              <w:t>6,00%</w:t>
            </w:r>
          </w:p>
        </w:tc>
        <w:tc>
          <w:tcPr>
            <w:tcW w:w="1276" w:type="dxa"/>
          </w:tcPr>
          <w:p w14:paraId="76B85676" w14:textId="33112CCF"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14,25%</w:t>
            </w:r>
          </w:p>
        </w:tc>
        <w:tc>
          <w:tcPr>
            <w:tcW w:w="1134" w:type="dxa"/>
          </w:tcPr>
          <w:p w14:paraId="18D9ECFF" w14:textId="385867B0"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0,45%</w:t>
            </w:r>
          </w:p>
        </w:tc>
        <w:tc>
          <w:tcPr>
            <w:tcW w:w="1134" w:type="dxa"/>
          </w:tcPr>
          <w:p w14:paraId="7B65BD7D" w14:textId="5A4E0513"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18,53%</w:t>
            </w:r>
          </w:p>
        </w:tc>
        <w:tc>
          <w:tcPr>
            <w:tcW w:w="1134" w:type="dxa"/>
          </w:tcPr>
          <w:p w14:paraId="09234FDC" w14:textId="05AA2CD3"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22,56%</w:t>
            </w:r>
          </w:p>
        </w:tc>
        <w:tc>
          <w:tcPr>
            <w:tcW w:w="1134" w:type="dxa"/>
            <w:shd w:val="clear" w:color="auto" w:fill="auto"/>
          </w:tcPr>
          <w:p w14:paraId="2ABB70AF" w14:textId="68135E9F"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16,28%</w:t>
            </w:r>
          </w:p>
        </w:tc>
        <w:tc>
          <w:tcPr>
            <w:tcW w:w="1134" w:type="dxa"/>
            <w:shd w:val="clear" w:color="auto" w:fill="auto"/>
          </w:tcPr>
          <w:p w14:paraId="73DEA12B"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ED9E648"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8643524"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2D5FF9E5" w14:textId="77777777" w:rsidTr="004B1D7C">
        <w:tc>
          <w:tcPr>
            <w:tcW w:w="4536" w:type="dxa"/>
          </w:tcPr>
          <w:p w14:paraId="05377080"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 xml:space="preserve">Standard Bank Africa Gold </w:t>
            </w:r>
          </w:p>
        </w:tc>
        <w:tc>
          <w:tcPr>
            <w:tcW w:w="1134" w:type="dxa"/>
          </w:tcPr>
          <w:p w14:paraId="3AE39619" w14:textId="26097804" w:rsidR="00327BF9" w:rsidRPr="00B81A28" w:rsidRDefault="007D032A" w:rsidP="004B1D7C">
            <w:pPr>
              <w:tabs>
                <w:tab w:val="left" w:pos="1050"/>
              </w:tabs>
              <w:spacing w:before="40" w:after="40" w:line="280" w:lineRule="atLeast"/>
              <w:jc w:val="center"/>
              <w:rPr>
                <w:rFonts w:ascii="Verdana" w:hAnsi="Verdana"/>
                <w:sz w:val="16"/>
                <w:szCs w:val="16"/>
              </w:rPr>
            </w:pPr>
            <w:r>
              <w:rPr>
                <w:rFonts w:ascii="Verdana" w:hAnsi="Verdana"/>
                <w:sz w:val="16"/>
                <w:szCs w:val="16"/>
              </w:rPr>
              <w:t>4,92%</w:t>
            </w:r>
          </w:p>
        </w:tc>
        <w:tc>
          <w:tcPr>
            <w:tcW w:w="1276" w:type="dxa"/>
          </w:tcPr>
          <w:p w14:paraId="48020E61" w14:textId="129C6022"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9,77</w:t>
            </w:r>
            <w:r w:rsidR="009B5A7B">
              <w:rPr>
                <w:rFonts w:ascii="Verdana" w:hAnsi="Verdana"/>
                <w:sz w:val="16"/>
                <w:szCs w:val="16"/>
              </w:rPr>
              <w:t>%</w:t>
            </w:r>
          </w:p>
        </w:tc>
        <w:tc>
          <w:tcPr>
            <w:tcW w:w="1134" w:type="dxa"/>
          </w:tcPr>
          <w:p w14:paraId="11EE7C27" w14:textId="1A47FC1A"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7,77%</w:t>
            </w:r>
          </w:p>
        </w:tc>
        <w:tc>
          <w:tcPr>
            <w:tcW w:w="1134" w:type="dxa"/>
          </w:tcPr>
          <w:p w14:paraId="051DA0A4" w14:textId="15D06088"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6,34%</w:t>
            </w:r>
          </w:p>
        </w:tc>
        <w:tc>
          <w:tcPr>
            <w:tcW w:w="1134" w:type="dxa"/>
          </w:tcPr>
          <w:p w14:paraId="5CA85718" w14:textId="690D0CE2"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(6,66%)</w:t>
            </w:r>
          </w:p>
        </w:tc>
        <w:tc>
          <w:tcPr>
            <w:tcW w:w="1134" w:type="dxa"/>
            <w:shd w:val="clear" w:color="auto" w:fill="auto"/>
          </w:tcPr>
          <w:p w14:paraId="4122114E" w14:textId="7810422E"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5,76%</w:t>
            </w:r>
          </w:p>
        </w:tc>
        <w:tc>
          <w:tcPr>
            <w:tcW w:w="1134" w:type="dxa"/>
            <w:shd w:val="clear" w:color="auto" w:fill="auto"/>
          </w:tcPr>
          <w:p w14:paraId="52FEB227"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00573B0"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C33E188"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5F1AEE6F" w14:textId="77777777" w:rsidTr="004B1D7C">
        <w:tc>
          <w:tcPr>
            <w:tcW w:w="4536" w:type="dxa"/>
          </w:tcPr>
          <w:p w14:paraId="560297B6"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 xml:space="preserve">Standard Bank Africa Palladium </w:t>
            </w:r>
          </w:p>
        </w:tc>
        <w:tc>
          <w:tcPr>
            <w:tcW w:w="1134" w:type="dxa"/>
          </w:tcPr>
          <w:p w14:paraId="3C8312EF" w14:textId="0D171EED" w:rsidR="00327BF9" w:rsidRPr="00B81A28" w:rsidRDefault="007D032A" w:rsidP="004B1D7C">
            <w:pPr>
              <w:tabs>
                <w:tab w:val="left" w:pos="1050"/>
              </w:tabs>
              <w:spacing w:before="40" w:after="40" w:line="280" w:lineRule="atLeast"/>
              <w:jc w:val="center"/>
              <w:rPr>
                <w:rFonts w:ascii="Verdana" w:hAnsi="Verdana"/>
                <w:sz w:val="16"/>
                <w:szCs w:val="16"/>
              </w:rPr>
            </w:pPr>
            <w:r>
              <w:rPr>
                <w:rFonts w:ascii="Verdana" w:hAnsi="Verdana"/>
                <w:sz w:val="16"/>
                <w:szCs w:val="16"/>
              </w:rPr>
              <w:t>5,29%</w:t>
            </w:r>
          </w:p>
        </w:tc>
        <w:tc>
          <w:tcPr>
            <w:tcW w:w="1276" w:type="dxa"/>
          </w:tcPr>
          <w:p w14:paraId="0B7A314C" w14:textId="6F89389D"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16,33%</w:t>
            </w:r>
          </w:p>
        </w:tc>
        <w:tc>
          <w:tcPr>
            <w:tcW w:w="1134" w:type="dxa"/>
          </w:tcPr>
          <w:p w14:paraId="69C1D53F" w14:textId="6A6FD828"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0,31%</w:t>
            </w:r>
          </w:p>
        </w:tc>
        <w:tc>
          <w:tcPr>
            <w:tcW w:w="1134" w:type="dxa"/>
          </w:tcPr>
          <w:p w14:paraId="4C1ECB45" w14:textId="3C0ACE13"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18,40%</w:t>
            </w:r>
          </w:p>
        </w:tc>
        <w:tc>
          <w:tcPr>
            <w:tcW w:w="1134" w:type="dxa"/>
          </w:tcPr>
          <w:p w14:paraId="5468F9CC" w14:textId="0E23CF27"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22,63%</w:t>
            </w:r>
          </w:p>
        </w:tc>
        <w:tc>
          <w:tcPr>
            <w:tcW w:w="1134" w:type="dxa"/>
            <w:shd w:val="clear" w:color="auto" w:fill="auto"/>
          </w:tcPr>
          <w:p w14:paraId="5A43D7E1" w14:textId="231BC283"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16,52%</w:t>
            </w:r>
          </w:p>
        </w:tc>
        <w:tc>
          <w:tcPr>
            <w:tcW w:w="1134" w:type="dxa"/>
            <w:shd w:val="clear" w:color="auto" w:fill="auto"/>
          </w:tcPr>
          <w:p w14:paraId="77BDCB98"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73885E5"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E758FCF"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5CDB1CF6" w14:textId="77777777" w:rsidTr="004B1D7C">
        <w:tc>
          <w:tcPr>
            <w:tcW w:w="4536" w:type="dxa"/>
          </w:tcPr>
          <w:p w14:paraId="273A0A4B"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 xml:space="preserve">Standard Bank Africa Platinum </w:t>
            </w:r>
          </w:p>
        </w:tc>
        <w:tc>
          <w:tcPr>
            <w:tcW w:w="1134" w:type="dxa"/>
          </w:tcPr>
          <w:p w14:paraId="78A99D49" w14:textId="613FFFE8" w:rsidR="00327BF9" w:rsidRPr="00B81A28" w:rsidRDefault="007D032A" w:rsidP="004B1D7C">
            <w:pPr>
              <w:tabs>
                <w:tab w:val="left" w:pos="1050"/>
              </w:tabs>
              <w:spacing w:before="40" w:after="40" w:line="280" w:lineRule="atLeast"/>
              <w:jc w:val="center"/>
              <w:rPr>
                <w:rFonts w:ascii="Verdana" w:hAnsi="Verdana"/>
                <w:sz w:val="16"/>
                <w:szCs w:val="16"/>
              </w:rPr>
            </w:pPr>
            <w:r>
              <w:rPr>
                <w:rFonts w:ascii="Verdana" w:hAnsi="Verdana"/>
                <w:sz w:val="16"/>
                <w:szCs w:val="16"/>
              </w:rPr>
              <w:t>2,57%</w:t>
            </w:r>
          </w:p>
        </w:tc>
        <w:tc>
          <w:tcPr>
            <w:tcW w:w="1276" w:type="dxa"/>
          </w:tcPr>
          <w:p w14:paraId="1E03E2A5" w14:textId="1CF7A0BF"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6,11%</w:t>
            </w:r>
          </w:p>
        </w:tc>
        <w:tc>
          <w:tcPr>
            <w:tcW w:w="1134" w:type="dxa"/>
          </w:tcPr>
          <w:p w14:paraId="161AA7CA" w14:textId="55DA21C3"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2,43%</w:t>
            </w:r>
          </w:p>
        </w:tc>
        <w:tc>
          <w:tcPr>
            <w:tcW w:w="1134" w:type="dxa"/>
          </w:tcPr>
          <w:p w14:paraId="17A3ADAD" w14:textId="26C7F0DB"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(2,23%)</w:t>
            </w:r>
          </w:p>
        </w:tc>
        <w:tc>
          <w:tcPr>
            <w:tcW w:w="1134" w:type="dxa"/>
          </w:tcPr>
          <w:p w14:paraId="7D4A8FA6" w14:textId="7B943075"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(11,77%)</w:t>
            </w:r>
          </w:p>
        </w:tc>
        <w:tc>
          <w:tcPr>
            <w:tcW w:w="1134" w:type="dxa"/>
            <w:shd w:val="clear" w:color="auto" w:fill="auto"/>
          </w:tcPr>
          <w:p w14:paraId="3075D049" w14:textId="322CB484" w:rsidR="00327BF9" w:rsidRPr="00B81A28" w:rsidRDefault="007D032A" w:rsidP="004B1D7C">
            <w:pPr>
              <w:spacing w:before="40" w:after="40" w:line="280" w:lineRule="atLeast"/>
              <w:jc w:val="center"/>
              <w:rPr>
                <w:rFonts w:ascii="Verdana" w:hAnsi="Verdana"/>
                <w:sz w:val="16"/>
                <w:szCs w:val="16"/>
              </w:rPr>
            </w:pPr>
            <w:r>
              <w:rPr>
                <w:rFonts w:ascii="Verdana" w:hAnsi="Verdana"/>
                <w:sz w:val="16"/>
                <w:szCs w:val="16"/>
              </w:rPr>
              <w:t>(4,27%)</w:t>
            </w:r>
          </w:p>
        </w:tc>
        <w:tc>
          <w:tcPr>
            <w:tcW w:w="1134" w:type="dxa"/>
            <w:shd w:val="clear" w:color="auto" w:fill="auto"/>
          </w:tcPr>
          <w:p w14:paraId="32C45976"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1A8CEA6"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40C746C"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398EE834" w14:textId="77777777" w:rsidTr="004B1D7C">
        <w:tc>
          <w:tcPr>
            <w:tcW w:w="4536" w:type="dxa"/>
          </w:tcPr>
          <w:p w14:paraId="5CF2FF61"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 xml:space="preserve">Standard Bank Africa Rhodium </w:t>
            </w:r>
          </w:p>
        </w:tc>
        <w:tc>
          <w:tcPr>
            <w:tcW w:w="1134" w:type="dxa"/>
          </w:tcPr>
          <w:p w14:paraId="713C094C" w14:textId="3C572B68" w:rsidR="00327BF9" w:rsidRPr="00B81A28" w:rsidRDefault="00FD50CE" w:rsidP="004B1D7C">
            <w:pPr>
              <w:tabs>
                <w:tab w:val="left" w:pos="1050"/>
              </w:tabs>
              <w:spacing w:before="40" w:after="40" w:line="280" w:lineRule="atLeast"/>
              <w:jc w:val="center"/>
              <w:rPr>
                <w:rFonts w:ascii="Verdana" w:hAnsi="Verdana"/>
                <w:sz w:val="16"/>
                <w:szCs w:val="16"/>
              </w:rPr>
            </w:pPr>
            <w:r>
              <w:rPr>
                <w:rFonts w:ascii="Verdana" w:hAnsi="Verdana"/>
                <w:sz w:val="16"/>
                <w:szCs w:val="16"/>
              </w:rPr>
              <w:t>10,88%</w:t>
            </w:r>
          </w:p>
        </w:tc>
        <w:tc>
          <w:tcPr>
            <w:tcW w:w="1276" w:type="dxa"/>
          </w:tcPr>
          <w:p w14:paraId="273D9961" w14:textId="329D0683" w:rsidR="00327BF9" w:rsidRPr="00B81A28" w:rsidRDefault="00FD50CE" w:rsidP="004B1D7C">
            <w:pPr>
              <w:spacing w:before="40" w:after="40" w:line="280" w:lineRule="atLeast"/>
              <w:jc w:val="center"/>
              <w:rPr>
                <w:rFonts w:ascii="Verdana" w:hAnsi="Verdana"/>
                <w:sz w:val="16"/>
                <w:szCs w:val="16"/>
              </w:rPr>
            </w:pPr>
            <w:r>
              <w:rPr>
                <w:rFonts w:ascii="Verdana" w:hAnsi="Verdana"/>
                <w:sz w:val="16"/>
                <w:szCs w:val="16"/>
              </w:rPr>
              <w:t>27,46%</w:t>
            </w:r>
          </w:p>
        </w:tc>
        <w:tc>
          <w:tcPr>
            <w:tcW w:w="1134" w:type="dxa"/>
          </w:tcPr>
          <w:p w14:paraId="0131DFF4" w14:textId="06494D30" w:rsidR="00327BF9" w:rsidRPr="00B81A28" w:rsidRDefault="00FD50CE" w:rsidP="004B1D7C">
            <w:pPr>
              <w:spacing w:before="40" w:after="40" w:line="280" w:lineRule="atLeast"/>
              <w:jc w:val="center"/>
              <w:rPr>
                <w:rFonts w:ascii="Verdana" w:hAnsi="Verdana"/>
                <w:sz w:val="16"/>
                <w:szCs w:val="16"/>
              </w:rPr>
            </w:pPr>
            <w:r>
              <w:rPr>
                <w:rFonts w:ascii="Verdana" w:hAnsi="Verdana"/>
                <w:sz w:val="16"/>
                <w:szCs w:val="16"/>
              </w:rPr>
              <w:t>46,39%</w:t>
            </w:r>
          </w:p>
        </w:tc>
        <w:tc>
          <w:tcPr>
            <w:tcW w:w="1134" w:type="dxa"/>
          </w:tcPr>
          <w:p w14:paraId="71695294" w14:textId="55F9755C" w:rsidR="00327BF9" w:rsidRPr="00B81A28" w:rsidRDefault="00FD50CE" w:rsidP="004B1D7C">
            <w:pPr>
              <w:spacing w:before="40" w:after="40" w:line="280" w:lineRule="atLeast"/>
              <w:jc w:val="center"/>
              <w:rPr>
                <w:rFonts w:ascii="Verdana" w:hAnsi="Verdana"/>
                <w:sz w:val="16"/>
                <w:szCs w:val="16"/>
              </w:rPr>
            </w:pPr>
            <w:r>
              <w:rPr>
                <w:rFonts w:ascii="Verdana" w:hAnsi="Verdana"/>
                <w:sz w:val="16"/>
                <w:szCs w:val="16"/>
              </w:rPr>
              <w:t>136,49%</w:t>
            </w:r>
          </w:p>
        </w:tc>
        <w:tc>
          <w:tcPr>
            <w:tcW w:w="1134" w:type="dxa"/>
          </w:tcPr>
          <w:p w14:paraId="7091E7C8" w14:textId="466BE94D" w:rsidR="00327BF9" w:rsidRPr="00B81A28" w:rsidRDefault="00FD50CE" w:rsidP="004B1D7C">
            <w:pPr>
              <w:spacing w:before="40" w:after="40" w:line="280" w:lineRule="atLeast"/>
              <w:jc w:val="center"/>
              <w:rPr>
                <w:rFonts w:ascii="Verdana" w:hAnsi="Verdana"/>
                <w:sz w:val="16"/>
                <w:szCs w:val="16"/>
              </w:rPr>
            </w:pPr>
            <w:r>
              <w:rPr>
                <w:rFonts w:ascii="Verdana" w:hAnsi="Verdana"/>
                <w:sz w:val="16"/>
                <w:szCs w:val="16"/>
              </w:rPr>
              <w:t>80,31%</w:t>
            </w:r>
          </w:p>
        </w:tc>
        <w:tc>
          <w:tcPr>
            <w:tcW w:w="1134" w:type="dxa"/>
            <w:shd w:val="clear" w:color="auto" w:fill="auto"/>
          </w:tcPr>
          <w:p w14:paraId="2875DE51"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CDE8A3D"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06A2493"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309C9C8"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7FCC388F" w14:textId="77777777" w:rsidTr="004B1D7C">
        <w:tc>
          <w:tcPr>
            <w:tcW w:w="4536" w:type="dxa"/>
          </w:tcPr>
          <w:p w14:paraId="3A6EF7F8"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F</w:t>
            </w:r>
            <w:r>
              <w:rPr>
                <w:rFonts w:ascii="Verdana" w:hAnsi="Verdana"/>
                <w:sz w:val="16"/>
                <w:szCs w:val="16"/>
              </w:rPr>
              <w:t>irstRand</w:t>
            </w:r>
            <w:r w:rsidRPr="00B81A28">
              <w:rPr>
                <w:rFonts w:ascii="Verdana" w:hAnsi="Verdana"/>
                <w:sz w:val="16"/>
                <w:szCs w:val="16"/>
              </w:rPr>
              <w:t xml:space="preserve"> Krugerrand Custodian Certificate </w:t>
            </w:r>
          </w:p>
        </w:tc>
        <w:tc>
          <w:tcPr>
            <w:tcW w:w="1134" w:type="dxa"/>
          </w:tcPr>
          <w:p w14:paraId="4E2BC035" w14:textId="68921825" w:rsidR="00327BF9" w:rsidRPr="00B81A28" w:rsidRDefault="00DA32DB" w:rsidP="004B1D7C">
            <w:pPr>
              <w:tabs>
                <w:tab w:val="left" w:pos="1050"/>
              </w:tabs>
              <w:spacing w:before="40" w:after="40" w:line="280" w:lineRule="atLeast"/>
              <w:jc w:val="center"/>
              <w:rPr>
                <w:rFonts w:ascii="Verdana" w:hAnsi="Verdana"/>
                <w:sz w:val="16"/>
                <w:szCs w:val="16"/>
              </w:rPr>
            </w:pPr>
            <w:r>
              <w:rPr>
                <w:rFonts w:ascii="Verdana" w:hAnsi="Verdana"/>
                <w:sz w:val="16"/>
                <w:szCs w:val="16"/>
              </w:rPr>
              <w:t>4,81%</w:t>
            </w:r>
          </w:p>
        </w:tc>
        <w:tc>
          <w:tcPr>
            <w:tcW w:w="1276" w:type="dxa"/>
          </w:tcPr>
          <w:p w14:paraId="7F79864B" w14:textId="7DC83334"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9,66%</w:t>
            </w:r>
          </w:p>
        </w:tc>
        <w:tc>
          <w:tcPr>
            <w:tcW w:w="1134" w:type="dxa"/>
          </w:tcPr>
          <w:p w14:paraId="7421F1AA" w14:textId="54EB5139"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7,64%</w:t>
            </w:r>
          </w:p>
        </w:tc>
        <w:tc>
          <w:tcPr>
            <w:tcW w:w="1134" w:type="dxa"/>
          </w:tcPr>
          <w:p w14:paraId="554101DD" w14:textId="73BF38F4"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6,27%</w:t>
            </w:r>
          </w:p>
        </w:tc>
        <w:tc>
          <w:tcPr>
            <w:tcW w:w="1134" w:type="dxa"/>
          </w:tcPr>
          <w:p w14:paraId="39F165E9" w14:textId="380919D4"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(6,67%)</w:t>
            </w:r>
          </w:p>
        </w:tc>
        <w:tc>
          <w:tcPr>
            <w:tcW w:w="1134" w:type="dxa"/>
            <w:shd w:val="clear" w:color="auto" w:fill="auto"/>
          </w:tcPr>
          <w:p w14:paraId="7CDF6153"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0A5AA82"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E8B12B9"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85A005A"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78592F52" w14:textId="77777777" w:rsidTr="004B1D7C">
        <w:tc>
          <w:tcPr>
            <w:tcW w:w="14884" w:type="dxa"/>
            <w:gridSpan w:val="10"/>
            <w:shd w:val="clear" w:color="auto" w:fill="7583BD"/>
          </w:tcPr>
          <w:p w14:paraId="58A2CB2C" w14:textId="77777777" w:rsidR="00327BF9" w:rsidRPr="00AB33B6" w:rsidRDefault="00327BF9" w:rsidP="004B1D7C">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327BF9" w:rsidRPr="00B81A28" w14:paraId="7B0F9973" w14:textId="77777777" w:rsidTr="004B1D7C">
        <w:tc>
          <w:tcPr>
            <w:tcW w:w="4536" w:type="dxa"/>
          </w:tcPr>
          <w:p w14:paraId="107962EA"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Platinum</w:t>
            </w:r>
          </w:p>
        </w:tc>
        <w:tc>
          <w:tcPr>
            <w:tcW w:w="1134" w:type="dxa"/>
          </w:tcPr>
          <w:p w14:paraId="1BD463E2" w14:textId="6FF2076A" w:rsidR="00327BF9" w:rsidRPr="00B81A28" w:rsidRDefault="009B5A7B" w:rsidP="004B1D7C">
            <w:pPr>
              <w:tabs>
                <w:tab w:val="left" w:pos="1050"/>
              </w:tabs>
              <w:spacing w:before="40" w:after="40" w:line="280" w:lineRule="atLeast"/>
              <w:jc w:val="center"/>
              <w:rPr>
                <w:rFonts w:ascii="Verdana" w:hAnsi="Verdana"/>
                <w:sz w:val="16"/>
                <w:szCs w:val="16"/>
              </w:rPr>
            </w:pPr>
            <w:r>
              <w:rPr>
                <w:rFonts w:ascii="Verdana" w:hAnsi="Verdana"/>
                <w:sz w:val="16"/>
                <w:szCs w:val="16"/>
              </w:rPr>
              <w:t>2,28%</w:t>
            </w:r>
          </w:p>
        </w:tc>
        <w:tc>
          <w:tcPr>
            <w:tcW w:w="1276" w:type="dxa"/>
          </w:tcPr>
          <w:p w14:paraId="3E088368" w14:textId="62A87BBF"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6,08%</w:t>
            </w:r>
          </w:p>
        </w:tc>
        <w:tc>
          <w:tcPr>
            <w:tcW w:w="1134" w:type="dxa"/>
          </w:tcPr>
          <w:p w14:paraId="67A6105C" w14:textId="6FBCCF31"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2,44%</w:t>
            </w:r>
          </w:p>
        </w:tc>
        <w:tc>
          <w:tcPr>
            <w:tcW w:w="1134" w:type="dxa"/>
          </w:tcPr>
          <w:p w14:paraId="68CE829E" w14:textId="3B42FFB5"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(2,18%)</w:t>
            </w:r>
          </w:p>
        </w:tc>
        <w:tc>
          <w:tcPr>
            <w:tcW w:w="1134" w:type="dxa"/>
          </w:tcPr>
          <w:p w14:paraId="5575E880" w14:textId="5482A369"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(11,03%)</w:t>
            </w:r>
          </w:p>
        </w:tc>
        <w:tc>
          <w:tcPr>
            <w:tcW w:w="1134" w:type="dxa"/>
            <w:shd w:val="clear" w:color="auto" w:fill="auto"/>
          </w:tcPr>
          <w:p w14:paraId="27654F11" w14:textId="78C1F537"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(3,87%)</w:t>
            </w:r>
          </w:p>
        </w:tc>
        <w:tc>
          <w:tcPr>
            <w:tcW w:w="1134" w:type="dxa"/>
            <w:shd w:val="clear" w:color="auto" w:fill="auto"/>
          </w:tcPr>
          <w:p w14:paraId="74970D79" w14:textId="08002192"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(3,47%)</w:t>
            </w:r>
          </w:p>
        </w:tc>
        <w:tc>
          <w:tcPr>
            <w:tcW w:w="1134" w:type="dxa"/>
          </w:tcPr>
          <w:p w14:paraId="61ECD40A"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58F71DA"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2D5B28A7" w14:textId="77777777" w:rsidTr="004B1D7C">
        <w:tc>
          <w:tcPr>
            <w:tcW w:w="4536" w:type="dxa"/>
          </w:tcPr>
          <w:p w14:paraId="207EC824"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Silver</w:t>
            </w:r>
          </w:p>
        </w:tc>
        <w:tc>
          <w:tcPr>
            <w:tcW w:w="1134" w:type="dxa"/>
          </w:tcPr>
          <w:p w14:paraId="3AD0CE31" w14:textId="4EC8D145" w:rsidR="00327BF9" w:rsidRPr="00B81A28" w:rsidRDefault="009B5A7B" w:rsidP="004B1D7C">
            <w:pPr>
              <w:tabs>
                <w:tab w:val="left" w:pos="1050"/>
              </w:tabs>
              <w:spacing w:before="40" w:after="40" w:line="280" w:lineRule="atLeast"/>
              <w:jc w:val="center"/>
              <w:rPr>
                <w:rFonts w:ascii="Verdana" w:hAnsi="Verdana"/>
                <w:sz w:val="16"/>
                <w:szCs w:val="16"/>
              </w:rPr>
            </w:pPr>
            <w:r>
              <w:rPr>
                <w:rFonts w:ascii="Verdana" w:hAnsi="Verdana"/>
                <w:sz w:val="16"/>
                <w:szCs w:val="16"/>
              </w:rPr>
              <w:t>6,40%</w:t>
            </w:r>
          </w:p>
        </w:tc>
        <w:tc>
          <w:tcPr>
            <w:tcW w:w="1276" w:type="dxa"/>
          </w:tcPr>
          <w:p w14:paraId="778301B8" w14:textId="27C2CBEB"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14,29%</w:t>
            </w:r>
          </w:p>
        </w:tc>
        <w:tc>
          <w:tcPr>
            <w:tcW w:w="1134" w:type="dxa"/>
          </w:tcPr>
          <w:p w14:paraId="77E5DA77" w14:textId="13E66577"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5,37%</w:t>
            </w:r>
          </w:p>
        </w:tc>
        <w:tc>
          <w:tcPr>
            <w:tcW w:w="1134" w:type="dxa"/>
          </w:tcPr>
          <w:p w14:paraId="47FAF35A" w14:textId="66727C46"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1,41%</w:t>
            </w:r>
          </w:p>
        </w:tc>
        <w:tc>
          <w:tcPr>
            <w:tcW w:w="1134" w:type="dxa"/>
          </w:tcPr>
          <w:p w14:paraId="0156A1BC" w14:textId="7AA0833B"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(10,99%)</w:t>
            </w:r>
          </w:p>
        </w:tc>
        <w:tc>
          <w:tcPr>
            <w:tcW w:w="1134" w:type="dxa"/>
            <w:shd w:val="clear" w:color="auto" w:fill="auto"/>
          </w:tcPr>
          <w:p w14:paraId="73875B32" w14:textId="038C08CE"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3,82%</w:t>
            </w:r>
          </w:p>
        </w:tc>
        <w:tc>
          <w:tcPr>
            <w:tcW w:w="1134" w:type="dxa"/>
            <w:shd w:val="clear" w:color="auto" w:fill="auto"/>
          </w:tcPr>
          <w:p w14:paraId="2AC28C52" w14:textId="04CCA6CB" w:rsidR="00327BF9" w:rsidRPr="00B81A28" w:rsidRDefault="009B5A7B" w:rsidP="004B1D7C">
            <w:pPr>
              <w:spacing w:before="40" w:after="40" w:line="280" w:lineRule="atLeast"/>
              <w:jc w:val="center"/>
              <w:rPr>
                <w:rFonts w:ascii="Verdana" w:hAnsi="Verdana"/>
                <w:sz w:val="16"/>
                <w:szCs w:val="16"/>
              </w:rPr>
            </w:pPr>
            <w:r>
              <w:rPr>
                <w:rFonts w:ascii="Verdana" w:hAnsi="Verdana"/>
                <w:sz w:val="16"/>
                <w:szCs w:val="16"/>
              </w:rPr>
              <w:t>3,04%</w:t>
            </w:r>
          </w:p>
        </w:tc>
        <w:tc>
          <w:tcPr>
            <w:tcW w:w="1134" w:type="dxa"/>
          </w:tcPr>
          <w:p w14:paraId="048DEE40"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3F9B32A"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0EBE615F" w14:textId="77777777" w:rsidTr="004B1D7C">
        <w:tc>
          <w:tcPr>
            <w:tcW w:w="4536" w:type="dxa"/>
          </w:tcPr>
          <w:p w14:paraId="1D3352B5"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Africa Commodity Basket Index</w:t>
            </w:r>
          </w:p>
        </w:tc>
        <w:tc>
          <w:tcPr>
            <w:tcW w:w="1134" w:type="dxa"/>
          </w:tcPr>
          <w:p w14:paraId="54F89A88" w14:textId="16018199" w:rsidR="00327BF9" w:rsidRPr="00B81A28" w:rsidRDefault="00DA32DB" w:rsidP="004B1D7C">
            <w:pPr>
              <w:tabs>
                <w:tab w:val="left" w:pos="1050"/>
              </w:tabs>
              <w:spacing w:before="40" w:after="40" w:line="280" w:lineRule="atLeast"/>
              <w:jc w:val="center"/>
              <w:rPr>
                <w:rFonts w:ascii="Verdana" w:hAnsi="Verdana"/>
                <w:sz w:val="16"/>
                <w:szCs w:val="16"/>
              </w:rPr>
            </w:pPr>
            <w:r>
              <w:rPr>
                <w:rFonts w:ascii="Verdana" w:hAnsi="Verdana"/>
                <w:sz w:val="16"/>
                <w:szCs w:val="16"/>
              </w:rPr>
              <w:t>9,34%</w:t>
            </w:r>
          </w:p>
        </w:tc>
        <w:tc>
          <w:tcPr>
            <w:tcW w:w="1276" w:type="dxa"/>
          </w:tcPr>
          <w:p w14:paraId="604D36C2" w14:textId="153CE18F"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20,10%</w:t>
            </w:r>
          </w:p>
        </w:tc>
        <w:tc>
          <w:tcPr>
            <w:tcW w:w="1134" w:type="dxa"/>
          </w:tcPr>
          <w:p w14:paraId="0D3AAB23" w14:textId="3E93825A"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17,34%</w:t>
            </w:r>
          </w:p>
        </w:tc>
        <w:tc>
          <w:tcPr>
            <w:tcW w:w="1134" w:type="dxa"/>
          </w:tcPr>
          <w:p w14:paraId="1EC41E75" w14:textId="6758A05C"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28,19%</w:t>
            </w:r>
          </w:p>
        </w:tc>
        <w:tc>
          <w:tcPr>
            <w:tcW w:w="1134" w:type="dxa"/>
          </w:tcPr>
          <w:p w14:paraId="64D11F94" w14:textId="230DC6D0"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5,13%</w:t>
            </w:r>
          </w:p>
        </w:tc>
        <w:tc>
          <w:tcPr>
            <w:tcW w:w="1134" w:type="dxa"/>
            <w:shd w:val="clear" w:color="auto" w:fill="auto"/>
          </w:tcPr>
          <w:p w14:paraId="45B56FFE" w14:textId="1A1551FA"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7,39%</w:t>
            </w:r>
          </w:p>
        </w:tc>
        <w:tc>
          <w:tcPr>
            <w:tcW w:w="1134" w:type="dxa"/>
            <w:shd w:val="clear" w:color="auto" w:fill="auto"/>
          </w:tcPr>
          <w:p w14:paraId="5C964D72" w14:textId="40F1E65E"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2,86%</w:t>
            </w:r>
          </w:p>
        </w:tc>
        <w:tc>
          <w:tcPr>
            <w:tcW w:w="1134" w:type="dxa"/>
          </w:tcPr>
          <w:p w14:paraId="0D25F704"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4821DD0"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7E9C4D30" w14:textId="77777777" w:rsidTr="004B1D7C">
        <w:tc>
          <w:tcPr>
            <w:tcW w:w="4536" w:type="dxa"/>
          </w:tcPr>
          <w:p w14:paraId="38AA44D1"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Gold-Linker</w:t>
            </w:r>
          </w:p>
        </w:tc>
        <w:tc>
          <w:tcPr>
            <w:tcW w:w="1134" w:type="dxa"/>
          </w:tcPr>
          <w:p w14:paraId="771ECE74" w14:textId="2001B82E" w:rsidR="00327BF9" w:rsidRPr="00B81A28" w:rsidRDefault="00DA32DB" w:rsidP="004B1D7C">
            <w:pPr>
              <w:tabs>
                <w:tab w:val="left" w:pos="1050"/>
              </w:tabs>
              <w:spacing w:before="40" w:after="40" w:line="280" w:lineRule="atLeast"/>
              <w:jc w:val="center"/>
              <w:rPr>
                <w:rFonts w:ascii="Verdana" w:hAnsi="Verdana"/>
                <w:sz w:val="16"/>
                <w:szCs w:val="16"/>
              </w:rPr>
            </w:pPr>
            <w:r>
              <w:rPr>
                <w:rFonts w:ascii="Verdana" w:hAnsi="Verdana"/>
                <w:sz w:val="16"/>
                <w:szCs w:val="16"/>
              </w:rPr>
              <w:t>4,70%</w:t>
            </w:r>
          </w:p>
        </w:tc>
        <w:tc>
          <w:tcPr>
            <w:tcW w:w="1276" w:type="dxa"/>
          </w:tcPr>
          <w:p w14:paraId="73E331BF" w14:textId="167084D8"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9,69%</w:t>
            </w:r>
          </w:p>
        </w:tc>
        <w:tc>
          <w:tcPr>
            <w:tcW w:w="1134" w:type="dxa"/>
          </w:tcPr>
          <w:p w14:paraId="6DF86518" w14:textId="7185E621"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7,51%</w:t>
            </w:r>
          </w:p>
        </w:tc>
        <w:tc>
          <w:tcPr>
            <w:tcW w:w="1134" w:type="dxa"/>
          </w:tcPr>
          <w:p w14:paraId="6D4B3B88" w14:textId="58DFC5F5"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5,62%</w:t>
            </w:r>
          </w:p>
        </w:tc>
        <w:tc>
          <w:tcPr>
            <w:tcW w:w="1134" w:type="dxa"/>
          </w:tcPr>
          <w:p w14:paraId="7A37CD4F" w14:textId="34A26755"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(6,96%)</w:t>
            </w:r>
          </w:p>
        </w:tc>
        <w:tc>
          <w:tcPr>
            <w:tcW w:w="1134" w:type="dxa"/>
            <w:shd w:val="clear" w:color="auto" w:fill="auto"/>
          </w:tcPr>
          <w:p w14:paraId="49CC481C" w14:textId="2F2BB078"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5,75%</w:t>
            </w:r>
          </w:p>
        </w:tc>
        <w:tc>
          <w:tcPr>
            <w:tcW w:w="1134" w:type="dxa"/>
            <w:shd w:val="clear" w:color="auto" w:fill="auto"/>
          </w:tcPr>
          <w:p w14:paraId="3CF7301D" w14:textId="06C806EB"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7,10%</w:t>
            </w:r>
          </w:p>
        </w:tc>
        <w:tc>
          <w:tcPr>
            <w:tcW w:w="1134" w:type="dxa"/>
          </w:tcPr>
          <w:p w14:paraId="71FDAF7C" w14:textId="2CDA3F9B"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7,00%</w:t>
            </w:r>
          </w:p>
        </w:tc>
        <w:tc>
          <w:tcPr>
            <w:tcW w:w="1134" w:type="dxa"/>
          </w:tcPr>
          <w:p w14:paraId="2C4217EB"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349617CF" w14:textId="77777777" w:rsidTr="004B1D7C">
        <w:tc>
          <w:tcPr>
            <w:tcW w:w="4536" w:type="dxa"/>
          </w:tcPr>
          <w:p w14:paraId="4D4A1AD4"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Palladium-Linker</w:t>
            </w:r>
          </w:p>
        </w:tc>
        <w:tc>
          <w:tcPr>
            <w:tcW w:w="1134" w:type="dxa"/>
          </w:tcPr>
          <w:p w14:paraId="2EF4228A" w14:textId="683DB7CA" w:rsidR="00327BF9" w:rsidRPr="00B81A28" w:rsidRDefault="00DA32DB" w:rsidP="004B1D7C">
            <w:pPr>
              <w:tabs>
                <w:tab w:val="left" w:pos="1050"/>
              </w:tabs>
              <w:spacing w:before="40" w:after="40" w:line="280" w:lineRule="atLeast"/>
              <w:jc w:val="center"/>
              <w:rPr>
                <w:rFonts w:ascii="Verdana" w:hAnsi="Verdana"/>
                <w:sz w:val="16"/>
                <w:szCs w:val="16"/>
              </w:rPr>
            </w:pPr>
            <w:r>
              <w:rPr>
                <w:rFonts w:ascii="Verdana" w:hAnsi="Verdana"/>
                <w:sz w:val="16"/>
                <w:szCs w:val="16"/>
              </w:rPr>
              <w:t>5,60%</w:t>
            </w:r>
          </w:p>
        </w:tc>
        <w:tc>
          <w:tcPr>
            <w:tcW w:w="1276" w:type="dxa"/>
          </w:tcPr>
          <w:p w14:paraId="66DDD4B5" w14:textId="6BD68BD0"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17,02%</w:t>
            </w:r>
          </w:p>
        </w:tc>
        <w:tc>
          <w:tcPr>
            <w:tcW w:w="1134" w:type="dxa"/>
          </w:tcPr>
          <w:p w14:paraId="67361604" w14:textId="6CE41905"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1,02%</w:t>
            </w:r>
          </w:p>
        </w:tc>
        <w:tc>
          <w:tcPr>
            <w:tcW w:w="1134" w:type="dxa"/>
          </w:tcPr>
          <w:p w14:paraId="20F797BC" w14:textId="4856843D"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21,41%</w:t>
            </w:r>
          </w:p>
        </w:tc>
        <w:tc>
          <w:tcPr>
            <w:tcW w:w="1134" w:type="dxa"/>
          </w:tcPr>
          <w:p w14:paraId="5584B993" w14:textId="63BCBEF2"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24,35%</w:t>
            </w:r>
          </w:p>
        </w:tc>
        <w:tc>
          <w:tcPr>
            <w:tcW w:w="1134" w:type="dxa"/>
            <w:shd w:val="clear" w:color="auto" w:fill="auto"/>
          </w:tcPr>
          <w:p w14:paraId="5FD011AB" w14:textId="78654A54"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17,54%</w:t>
            </w:r>
          </w:p>
        </w:tc>
        <w:tc>
          <w:tcPr>
            <w:tcW w:w="1134" w:type="dxa"/>
            <w:shd w:val="clear" w:color="auto" w:fill="auto"/>
          </w:tcPr>
          <w:p w14:paraId="4C42C215" w14:textId="328B06A5"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14,97%</w:t>
            </w:r>
          </w:p>
        </w:tc>
        <w:tc>
          <w:tcPr>
            <w:tcW w:w="1134" w:type="dxa"/>
          </w:tcPr>
          <w:p w14:paraId="381C8E39" w14:textId="15566CFB"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13,78%</w:t>
            </w:r>
          </w:p>
        </w:tc>
        <w:tc>
          <w:tcPr>
            <w:tcW w:w="1134" w:type="dxa"/>
          </w:tcPr>
          <w:p w14:paraId="3A88FE71"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38DE330F" w14:textId="77777777" w:rsidTr="004B1D7C">
        <w:tc>
          <w:tcPr>
            <w:tcW w:w="4536" w:type="dxa"/>
          </w:tcPr>
          <w:p w14:paraId="7D1C231B"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Platinum-Linker</w:t>
            </w:r>
          </w:p>
        </w:tc>
        <w:tc>
          <w:tcPr>
            <w:tcW w:w="1134" w:type="dxa"/>
          </w:tcPr>
          <w:p w14:paraId="3B7BCAE1" w14:textId="0863D366" w:rsidR="00327BF9" w:rsidRPr="00B81A28" w:rsidRDefault="00DA32DB" w:rsidP="004B1D7C">
            <w:pPr>
              <w:tabs>
                <w:tab w:val="left" w:pos="1050"/>
              </w:tabs>
              <w:spacing w:before="40" w:after="40" w:line="280" w:lineRule="atLeast"/>
              <w:jc w:val="center"/>
              <w:rPr>
                <w:rFonts w:ascii="Verdana" w:hAnsi="Verdana"/>
                <w:sz w:val="16"/>
                <w:szCs w:val="16"/>
              </w:rPr>
            </w:pPr>
            <w:r>
              <w:rPr>
                <w:rFonts w:ascii="Verdana" w:hAnsi="Verdana"/>
                <w:sz w:val="16"/>
                <w:szCs w:val="16"/>
              </w:rPr>
              <w:t>2,99%</w:t>
            </w:r>
          </w:p>
        </w:tc>
        <w:tc>
          <w:tcPr>
            <w:tcW w:w="1276" w:type="dxa"/>
          </w:tcPr>
          <w:p w14:paraId="1722EE2F" w14:textId="57E8A5D7"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6,80%</w:t>
            </w:r>
          </w:p>
        </w:tc>
        <w:tc>
          <w:tcPr>
            <w:tcW w:w="1134" w:type="dxa"/>
          </w:tcPr>
          <w:p w14:paraId="32184FC0" w14:textId="1A71AAD4"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2,08%</w:t>
            </w:r>
          </w:p>
        </w:tc>
        <w:tc>
          <w:tcPr>
            <w:tcW w:w="1134" w:type="dxa"/>
          </w:tcPr>
          <w:p w14:paraId="69B847F2" w14:textId="04722C25"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(2,46%)</w:t>
            </w:r>
          </w:p>
        </w:tc>
        <w:tc>
          <w:tcPr>
            <w:tcW w:w="1134" w:type="dxa"/>
          </w:tcPr>
          <w:p w14:paraId="5DAD0EE4" w14:textId="6655A26D"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(12,63%)</w:t>
            </w:r>
          </w:p>
        </w:tc>
        <w:tc>
          <w:tcPr>
            <w:tcW w:w="1134" w:type="dxa"/>
            <w:shd w:val="clear" w:color="auto" w:fill="auto"/>
          </w:tcPr>
          <w:p w14:paraId="532123F5" w14:textId="4473DF78"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(4,77%)</w:t>
            </w:r>
          </w:p>
        </w:tc>
        <w:tc>
          <w:tcPr>
            <w:tcW w:w="1134" w:type="dxa"/>
            <w:shd w:val="clear" w:color="auto" w:fill="auto"/>
          </w:tcPr>
          <w:p w14:paraId="396D53C2" w14:textId="68A5906D"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(1,20%)</w:t>
            </w:r>
          </w:p>
        </w:tc>
        <w:tc>
          <w:tcPr>
            <w:tcW w:w="1134" w:type="dxa"/>
          </w:tcPr>
          <w:p w14:paraId="32330694" w14:textId="77777777" w:rsidR="00327BF9" w:rsidRPr="00B81A28" w:rsidRDefault="00327BF9" w:rsidP="004B1D7C">
            <w:pPr>
              <w:spacing w:before="40" w:after="40" w:line="280" w:lineRule="atLeast"/>
              <w:jc w:val="center"/>
              <w:rPr>
                <w:rFonts w:ascii="Verdana" w:hAnsi="Verdana"/>
                <w:sz w:val="16"/>
                <w:szCs w:val="16"/>
              </w:rPr>
            </w:pPr>
          </w:p>
        </w:tc>
        <w:tc>
          <w:tcPr>
            <w:tcW w:w="1134" w:type="dxa"/>
          </w:tcPr>
          <w:p w14:paraId="6A903215"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1EA5EFD0" w14:textId="77777777" w:rsidTr="004B1D7C">
        <w:tc>
          <w:tcPr>
            <w:tcW w:w="4536" w:type="dxa"/>
          </w:tcPr>
          <w:p w14:paraId="3F59A1B6"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Silver-Linker</w:t>
            </w:r>
          </w:p>
        </w:tc>
        <w:tc>
          <w:tcPr>
            <w:tcW w:w="1134" w:type="dxa"/>
          </w:tcPr>
          <w:p w14:paraId="6C9DA618" w14:textId="09293D81" w:rsidR="00327BF9" w:rsidRPr="00B81A28" w:rsidRDefault="00DA32DB" w:rsidP="004B1D7C">
            <w:pPr>
              <w:tabs>
                <w:tab w:val="left" w:pos="1050"/>
              </w:tabs>
              <w:spacing w:before="40" w:after="40" w:line="280" w:lineRule="atLeast"/>
              <w:jc w:val="center"/>
              <w:rPr>
                <w:rFonts w:ascii="Verdana" w:hAnsi="Verdana"/>
                <w:sz w:val="16"/>
                <w:szCs w:val="16"/>
              </w:rPr>
            </w:pPr>
            <w:r>
              <w:rPr>
                <w:rFonts w:ascii="Verdana" w:hAnsi="Verdana"/>
                <w:sz w:val="16"/>
                <w:szCs w:val="16"/>
              </w:rPr>
              <w:t>7,20%</w:t>
            </w:r>
          </w:p>
        </w:tc>
        <w:tc>
          <w:tcPr>
            <w:tcW w:w="1276" w:type="dxa"/>
          </w:tcPr>
          <w:p w14:paraId="76F9E4E5" w14:textId="414F7172"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15,33%</w:t>
            </w:r>
          </w:p>
        </w:tc>
        <w:tc>
          <w:tcPr>
            <w:tcW w:w="1134" w:type="dxa"/>
          </w:tcPr>
          <w:p w14:paraId="6BCF20E5" w14:textId="019CF49B"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5,77%</w:t>
            </w:r>
          </w:p>
        </w:tc>
        <w:tc>
          <w:tcPr>
            <w:tcW w:w="1134" w:type="dxa"/>
          </w:tcPr>
          <w:p w14:paraId="042DED34" w14:textId="37AECEC0"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1,30%</w:t>
            </w:r>
          </w:p>
        </w:tc>
        <w:tc>
          <w:tcPr>
            <w:tcW w:w="1134" w:type="dxa"/>
          </w:tcPr>
          <w:p w14:paraId="70F188AE" w14:textId="4002ABFD"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(12,05%)</w:t>
            </w:r>
          </w:p>
        </w:tc>
        <w:tc>
          <w:tcPr>
            <w:tcW w:w="1134" w:type="dxa"/>
            <w:shd w:val="clear" w:color="auto" w:fill="auto"/>
          </w:tcPr>
          <w:p w14:paraId="7D155C2A" w14:textId="1D672F91"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3,02%</w:t>
            </w:r>
          </w:p>
        </w:tc>
        <w:tc>
          <w:tcPr>
            <w:tcW w:w="1134" w:type="dxa"/>
            <w:shd w:val="clear" w:color="auto" w:fill="auto"/>
          </w:tcPr>
          <w:p w14:paraId="377DB942" w14:textId="4AA2F690"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(2,51%)</w:t>
            </w:r>
          </w:p>
        </w:tc>
        <w:tc>
          <w:tcPr>
            <w:tcW w:w="1134" w:type="dxa"/>
          </w:tcPr>
          <w:p w14:paraId="6D38F882" w14:textId="77777777" w:rsidR="00327BF9" w:rsidRPr="00B81A28" w:rsidRDefault="00327BF9" w:rsidP="004B1D7C">
            <w:pPr>
              <w:spacing w:before="40" w:after="40" w:line="280" w:lineRule="atLeast"/>
              <w:jc w:val="center"/>
              <w:rPr>
                <w:rFonts w:ascii="Verdana" w:hAnsi="Verdana"/>
                <w:sz w:val="16"/>
                <w:szCs w:val="16"/>
              </w:rPr>
            </w:pPr>
          </w:p>
        </w:tc>
        <w:tc>
          <w:tcPr>
            <w:tcW w:w="1134" w:type="dxa"/>
          </w:tcPr>
          <w:p w14:paraId="3DA283C5"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329574C5" w14:textId="77777777" w:rsidTr="004B1D7C">
        <w:tc>
          <w:tcPr>
            <w:tcW w:w="4536" w:type="dxa"/>
          </w:tcPr>
          <w:p w14:paraId="5EEDD0D5"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Copper </w:t>
            </w:r>
          </w:p>
        </w:tc>
        <w:tc>
          <w:tcPr>
            <w:tcW w:w="1134" w:type="dxa"/>
          </w:tcPr>
          <w:p w14:paraId="64716626" w14:textId="29A6FC10" w:rsidR="00327BF9" w:rsidRPr="00B81A28" w:rsidRDefault="00DA32DB" w:rsidP="004B1D7C">
            <w:pPr>
              <w:tabs>
                <w:tab w:val="left" w:pos="1050"/>
              </w:tabs>
              <w:spacing w:before="40" w:after="40" w:line="280" w:lineRule="atLeast"/>
              <w:jc w:val="center"/>
              <w:rPr>
                <w:rFonts w:ascii="Verdana" w:hAnsi="Verdana"/>
                <w:sz w:val="16"/>
                <w:szCs w:val="16"/>
              </w:rPr>
            </w:pPr>
            <w:r>
              <w:rPr>
                <w:rFonts w:ascii="Verdana" w:hAnsi="Verdana"/>
                <w:sz w:val="16"/>
                <w:szCs w:val="16"/>
              </w:rPr>
              <w:t>4,49%</w:t>
            </w:r>
          </w:p>
        </w:tc>
        <w:tc>
          <w:tcPr>
            <w:tcW w:w="1276" w:type="dxa"/>
          </w:tcPr>
          <w:p w14:paraId="6D68B9C9" w14:textId="7399A3A8"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12,88%</w:t>
            </w:r>
          </w:p>
        </w:tc>
        <w:tc>
          <w:tcPr>
            <w:tcW w:w="1134" w:type="dxa"/>
          </w:tcPr>
          <w:p w14:paraId="65AC4921" w14:textId="6549E2BD"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(1,00%)</w:t>
            </w:r>
          </w:p>
        </w:tc>
        <w:tc>
          <w:tcPr>
            <w:tcW w:w="1134" w:type="dxa"/>
          </w:tcPr>
          <w:p w14:paraId="1D7E7399" w14:textId="33DDF320"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13,48%</w:t>
            </w:r>
          </w:p>
        </w:tc>
        <w:tc>
          <w:tcPr>
            <w:tcW w:w="1134" w:type="dxa"/>
          </w:tcPr>
          <w:p w14:paraId="17256AAF" w14:textId="2FA169B8"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9,62%</w:t>
            </w:r>
          </w:p>
        </w:tc>
        <w:tc>
          <w:tcPr>
            <w:tcW w:w="1134" w:type="dxa"/>
            <w:shd w:val="clear" w:color="auto" w:fill="auto"/>
          </w:tcPr>
          <w:p w14:paraId="117A7499" w14:textId="55F4CB39"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6,28%</w:t>
            </w:r>
          </w:p>
        </w:tc>
        <w:tc>
          <w:tcPr>
            <w:tcW w:w="1134" w:type="dxa"/>
            <w:shd w:val="clear" w:color="auto" w:fill="auto"/>
          </w:tcPr>
          <w:p w14:paraId="21D7CDD4" w14:textId="681E77F4"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4,51%</w:t>
            </w:r>
          </w:p>
        </w:tc>
        <w:tc>
          <w:tcPr>
            <w:tcW w:w="1134" w:type="dxa"/>
          </w:tcPr>
          <w:p w14:paraId="6EFFF2FD"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6C19BDDB"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3F11CA29" w14:textId="77777777" w:rsidTr="004B1D7C">
        <w:tc>
          <w:tcPr>
            <w:tcW w:w="4536" w:type="dxa"/>
          </w:tcPr>
          <w:p w14:paraId="2AAD66EF"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Corn </w:t>
            </w:r>
          </w:p>
        </w:tc>
        <w:tc>
          <w:tcPr>
            <w:tcW w:w="1134" w:type="dxa"/>
          </w:tcPr>
          <w:p w14:paraId="5952AF98" w14:textId="33AA7BF4" w:rsidR="00327BF9" w:rsidRPr="00B81A28" w:rsidRDefault="00DA32DB" w:rsidP="004B1D7C">
            <w:pPr>
              <w:tabs>
                <w:tab w:val="left" w:pos="1050"/>
              </w:tabs>
              <w:spacing w:before="40" w:after="40" w:line="280" w:lineRule="atLeast"/>
              <w:jc w:val="center"/>
              <w:rPr>
                <w:rFonts w:ascii="Verdana" w:hAnsi="Verdana"/>
                <w:sz w:val="16"/>
                <w:szCs w:val="16"/>
              </w:rPr>
            </w:pPr>
            <w:r>
              <w:rPr>
                <w:rFonts w:ascii="Verdana" w:hAnsi="Verdana"/>
                <w:sz w:val="16"/>
                <w:szCs w:val="16"/>
              </w:rPr>
              <w:t>(5,31%)</w:t>
            </w:r>
          </w:p>
        </w:tc>
        <w:tc>
          <w:tcPr>
            <w:tcW w:w="1276" w:type="dxa"/>
          </w:tcPr>
          <w:p w14:paraId="54275314" w14:textId="3905ADA1"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7,38%</w:t>
            </w:r>
          </w:p>
        </w:tc>
        <w:tc>
          <w:tcPr>
            <w:tcW w:w="1134" w:type="dxa"/>
          </w:tcPr>
          <w:p w14:paraId="03AAFF96" w14:textId="4AB2D374"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8,52%</w:t>
            </w:r>
          </w:p>
        </w:tc>
        <w:tc>
          <w:tcPr>
            <w:tcW w:w="1134" w:type="dxa"/>
          </w:tcPr>
          <w:p w14:paraId="521BBE63" w14:textId="66C7D3E8"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(9,63%)</w:t>
            </w:r>
          </w:p>
        </w:tc>
        <w:tc>
          <w:tcPr>
            <w:tcW w:w="1134" w:type="dxa"/>
          </w:tcPr>
          <w:p w14:paraId="0D63ABD8" w14:textId="43F34F23"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(18,18%)</w:t>
            </w:r>
          </w:p>
        </w:tc>
        <w:tc>
          <w:tcPr>
            <w:tcW w:w="1134" w:type="dxa"/>
            <w:shd w:val="clear" w:color="auto" w:fill="auto"/>
          </w:tcPr>
          <w:p w14:paraId="43C422B5" w14:textId="5FF8B21A"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(10,39%)</w:t>
            </w:r>
          </w:p>
        </w:tc>
        <w:tc>
          <w:tcPr>
            <w:tcW w:w="1134" w:type="dxa"/>
            <w:shd w:val="clear" w:color="auto" w:fill="auto"/>
          </w:tcPr>
          <w:p w14:paraId="56745E28" w14:textId="02E97C97"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(11,70%)</w:t>
            </w:r>
          </w:p>
        </w:tc>
        <w:tc>
          <w:tcPr>
            <w:tcW w:w="1134" w:type="dxa"/>
          </w:tcPr>
          <w:p w14:paraId="494D0DA8"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C11B9CD"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0BFAE421" w14:textId="77777777" w:rsidTr="004B1D7C">
        <w:tc>
          <w:tcPr>
            <w:tcW w:w="4536" w:type="dxa"/>
          </w:tcPr>
          <w:p w14:paraId="288554D2"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Oil </w:t>
            </w:r>
          </w:p>
        </w:tc>
        <w:tc>
          <w:tcPr>
            <w:tcW w:w="1134" w:type="dxa"/>
          </w:tcPr>
          <w:p w14:paraId="1E13D289" w14:textId="1F060F54" w:rsidR="00327BF9" w:rsidRPr="00B81A28" w:rsidRDefault="00DA32DB" w:rsidP="004B1D7C">
            <w:pPr>
              <w:tabs>
                <w:tab w:val="left" w:pos="1050"/>
              </w:tabs>
              <w:spacing w:before="40" w:after="40" w:line="280" w:lineRule="atLeast"/>
              <w:jc w:val="center"/>
              <w:rPr>
                <w:rFonts w:ascii="Verdana" w:hAnsi="Verdana"/>
                <w:sz w:val="16"/>
                <w:szCs w:val="16"/>
              </w:rPr>
            </w:pPr>
            <w:r>
              <w:rPr>
                <w:rFonts w:ascii="Verdana" w:hAnsi="Verdana"/>
                <w:sz w:val="16"/>
                <w:szCs w:val="16"/>
              </w:rPr>
              <w:t>19,08%</w:t>
            </w:r>
          </w:p>
        </w:tc>
        <w:tc>
          <w:tcPr>
            <w:tcW w:w="1276" w:type="dxa"/>
          </w:tcPr>
          <w:p w14:paraId="798087DD" w14:textId="0106D979"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33,59%</w:t>
            </w:r>
          </w:p>
        </w:tc>
        <w:tc>
          <w:tcPr>
            <w:tcW w:w="1134" w:type="dxa"/>
          </w:tcPr>
          <w:p w14:paraId="52E92F08" w14:textId="7095B631"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41,39%</w:t>
            </w:r>
          </w:p>
        </w:tc>
        <w:tc>
          <w:tcPr>
            <w:tcW w:w="1134" w:type="dxa"/>
          </w:tcPr>
          <w:p w14:paraId="56BE2896" w14:textId="616C672F"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73,98%</w:t>
            </w:r>
          </w:p>
        </w:tc>
        <w:tc>
          <w:tcPr>
            <w:tcW w:w="1134" w:type="dxa"/>
          </w:tcPr>
          <w:p w14:paraId="5827E4CC" w14:textId="092F6A78"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10,30%</w:t>
            </w:r>
          </w:p>
        </w:tc>
        <w:tc>
          <w:tcPr>
            <w:tcW w:w="1134" w:type="dxa"/>
            <w:shd w:val="clear" w:color="auto" w:fill="auto"/>
          </w:tcPr>
          <w:p w14:paraId="0D814BF1" w14:textId="7CBC0A51"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0,41%</w:t>
            </w:r>
          </w:p>
        </w:tc>
        <w:tc>
          <w:tcPr>
            <w:tcW w:w="1134" w:type="dxa"/>
            <w:shd w:val="clear" w:color="auto" w:fill="auto"/>
          </w:tcPr>
          <w:p w14:paraId="344B0A42" w14:textId="2AB4CB26" w:rsidR="00327BF9" w:rsidRPr="00B81A28" w:rsidRDefault="00DA32DB" w:rsidP="004B1D7C">
            <w:pPr>
              <w:spacing w:before="40" w:after="40" w:line="280" w:lineRule="atLeast"/>
              <w:jc w:val="center"/>
              <w:rPr>
                <w:rFonts w:ascii="Verdana" w:hAnsi="Verdana"/>
                <w:sz w:val="16"/>
                <w:szCs w:val="16"/>
              </w:rPr>
            </w:pPr>
            <w:r>
              <w:rPr>
                <w:rFonts w:ascii="Verdana" w:hAnsi="Verdana"/>
                <w:sz w:val="16"/>
                <w:szCs w:val="16"/>
              </w:rPr>
              <w:t>(4,94%)</w:t>
            </w:r>
          </w:p>
        </w:tc>
        <w:tc>
          <w:tcPr>
            <w:tcW w:w="1134" w:type="dxa"/>
          </w:tcPr>
          <w:p w14:paraId="3DD5582C"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CA473CA"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4CDC9F72" w14:textId="77777777" w:rsidTr="004B1D7C">
        <w:tc>
          <w:tcPr>
            <w:tcW w:w="4536" w:type="dxa"/>
          </w:tcPr>
          <w:p w14:paraId="330E6E00"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Wheat </w:t>
            </w:r>
          </w:p>
        </w:tc>
        <w:tc>
          <w:tcPr>
            <w:tcW w:w="1134" w:type="dxa"/>
          </w:tcPr>
          <w:p w14:paraId="4B9ECFB0" w14:textId="7E96A3C0" w:rsidR="00327BF9" w:rsidRPr="00B81A28" w:rsidRDefault="007F6D3A" w:rsidP="004B1D7C">
            <w:pPr>
              <w:tabs>
                <w:tab w:val="left" w:pos="1050"/>
              </w:tabs>
              <w:spacing w:before="40" w:after="40" w:line="280" w:lineRule="atLeast"/>
              <w:jc w:val="center"/>
              <w:rPr>
                <w:rFonts w:ascii="Verdana" w:hAnsi="Verdana"/>
                <w:sz w:val="16"/>
                <w:szCs w:val="16"/>
              </w:rPr>
            </w:pPr>
            <w:r>
              <w:rPr>
                <w:rFonts w:ascii="Verdana" w:hAnsi="Verdana"/>
                <w:sz w:val="16"/>
                <w:szCs w:val="16"/>
              </w:rPr>
              <w:t>(2,74%)</w:t>
            </w:r>
          </w:p>
        </w:tc>
        <w:tc>
          <w:tcPr>
            <w:tcW w:w="1276" w:type="dxa"/>
          </w:tcPr>
          <w:p w14:paraId="26927D0A" w14:textId="3D7F060D" w:rsidR="00327BF9" w:rsidRPr="00B81A28" w:rsidRDefault="007F6D3A" w:rsidP="004B1D7C">
            <w:pPr>
              <w:spacing w:before="40" w:after="40" w:line="280" w:lineRule="atLeast"/>
              <w:jc w:val="center"/>
              <w:rPr>
                <w:rFonts w:ascii="Verdana" w:hAnsi="Verdana"/>
                <w:sz w:val="16"/>
                <w:szCs w:val="16"/>
              </w:rPr>
            </w:pPr>
            <w:r>
              <w:rPr>
                <w:rFonts w:ascii="Verdana" w:hAnsi="Verdana"/>
                <w:sz w:val="16"/>
                <w:szCs w:val="16"/>
              </w:rPr>
              <w:t>24,08%</w:t>
            </w:r>
          </w:p>
        </w:tc>
        <w:tc>
          <w:tcPr>
            <w:tcW w:w="1134" w:type="dxa"/>
          </w:tcPr>
          <w:p w14:paraId="5CD3A3E6" w14:textId="1737A664" w:rsidR="00327BF9" w:rsidRPr="00B81A28" w:rsidRDefault="007F6D3A" w:rsidP="004B1D7C">
            <w:pPr>
              <w:spacing w:before="40" w:after="40" w:line="280" w:lineRule="atLeast"/>
              <w:jc w:val="center"/>
              <w:rPr>
                <w:rFonts w:ascii="Verdana" w:hAnsi="Verdana"/>
                <w:sz w:val="16"/>
                <w:szCs w:val="16"/>
              </w:rPr>
            </w:pPr>
            <w:r>
              <w:rPr>
                <w:rFonts w:ascii="Verdana" w:hAnsi="Verdana"/>
                <w:sz w:val="16"/>
                <w:szCs w:val="16"/>
              </w:rPr>
              <w:t>21,95%</w:t>
            </w:r>
          </w:p>
        </w:tc>
        <w:tc>
          <w:tcPr>
            <w:tcW w:w="1134" w:type="dxa"/>
          </w:tcPr>
          <w:p w14:paraId="3E43A265" w14:textId="13E943E7" w:rsidR="00327BF9" w:rsidRPr="00B81A28" w:rsidRDefault="007F6D3A" w:rsidP="004B1D7C">
            <w:pPr>
              <w:spacing w:before="40" w:after="40" w:line="280" w:lineRule="atLeast"/>
              <w:jc w:val="center"/>
              <w:rPr>
                <w:rFonts w:ascii="Verdana" w:hAnsi="Verdana"/>
                <w:sz w:val="16"/>
                <w:szCs w:val="16"/>
              </w:rPr>
            </w:pPr>
            <w:r>
              <w:rPr>
                <w:rFonts w:ascii="Verdana" w:hAnsi="Verdana"/>
                <w:sz w:val="16"/>
                <w:szCs w:val="16"/>
              </w:rPr>
              <w:t>(9,49%)</w:t>
            </w:r>
          </w:p>
        </w:tc>
        <w:tc>
          <w:tcPr>
            <w:tcW w:w="1134" w:type="dxa"/>
          </w:tcPr>
          <w:p w14:paraId="43B9CF7D" w14:textId="6C457121" w:rsidR="00327BF9" w:rsidRPr="00B81A28" w:rsidRDefault="007F6D3A" w:rsidP="004B1D7C">
            <w:pPr>
              <w:spacing w:before="40" w:after="40" w:line="280" w:lineRule="atLeast"/>
              <w:jc w:val="center"/>
              <w:rPr>
                <w:rFonts w:ascii="Verdana" w:hAnsi="Verdana"/>
                <w:sz w:val="16"/>
                <w:szCs w:val="16"/>
              </w:rPr>
            </w:pPr>
            <w:r>
              <w:rPr>
                <w:rFonts w:ascii="Verdana" w:hAnsi="Verdana"/>
                <w:sz w:val="16"/>
                <w:szCs w:val="16"/>
              </w:rPr>
              <w:t>(15,46%)</w:t>
            </w:r>
          </w:p>
        </w:tc>
        <w:tc>
          <w:tcPr>
            <w:tcW w:w="1134" w:type="dxa"/>
            <w:shd w:val="clear" w:color="auto" w:fill="auto"/>
          </w:tcPr>
          <w:p w14:paraId="4A59BD3C" w14:textId="2468D7ED" w:rsidR="00327BF9" w:rsidRPr="00B81A28" w:rsidRDefault="007F6D3A" w:rsidP="004B1D7C">
            <w:pPr>
              <w:spacing w:before="40" w:after="40" w:line="280" w:lineRule="atLeast"/>
              <w:jc w:val="center"/>
              <w:rPr>
                <w:rFonts w:ascii="Verdana" w:hAnsi="Verdana"/>
                <w:sz w:val="16"/>
                <w:szCs w:val="16"/>
              </w:rPr>
            </w:pPr>
            <w:r>
              <w:rPr>
                <w:rFonts w:ascii="Verdana" w:hAnsi="Verdana"/>
                <w:sz w:val="16"/>
                <w:szCs w:val="16"/>
              </w:rPr>
              <w:t>(14,18%)</w:t>
            </w:r>
          </w:p>
        </w:tc>
        <w:tc>
          <w:tcPr>
            <w:tcW w:w="1134" w:type="dxa"/>
            <w:shd w:val="clear" w:color="auto" w:fill="auto"/>
          </w:tcPr>
          <w:p w14:paraId="6FBD83EE" w14:textId="07B4D747" w:rsidR="00327BF9" w:rsidRPr="00B81A28" w:rsidRDefault="007F6D3A" w:rsidP="004B1D7C">
            <w:pPr>
              <w:spacing w:before="40" w:after="40" w:line="280" w:lineRule="atLeast"/>
              <w:jc w:val="center"/>
              <w:rPr>
                <w:rFonts w:ascii="Verdana" w:hAnsi="Verdana"/>
                <w:sz w:val="16"/>
                <w:szCs w:val="16"/>
              </w:rPr>
            </w:pPr>
            <w:r>
              <w:rPr>
                <w:rFonts w:ascii="Verdana" w:hAnsi="Verdana"/>
                <w:sz w:val="16"/>
                <w:szCs w:val="16"/>
              </w:rPr>
              <w:t>(9,96%)</w:t>
            </w:r>
          </w:p>
        </w:tc>
        <w:tc>
          <w:tcPr>
            <w:tcW w:w="1134" w:type="dxa"/>
          </w:tcPr>
          <w:p w14:paraId="547B3932"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64E1732"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bl>
    <w:p w14:paraId="46DDC0CA" w14:textId="77777777" w:rsidR="00327BF9" w:rsidRDefault="00327BF9" w:rsidP="00327BF9">
      <w:pPr>
        <w:rPr>
          <w:rFonts w:ascii="Verdana" w:hAnsi="Verdana"/>
        </w:rPr>
      </w:pPr>
    </w:p>
    <w:p w14:paraId="4439E032" w14:textId="77777777" w:rsidR="00327BF9" w:rsidRPr="00B81A28" w:rsidRDefault="00327BF9" w:rsidP="00327BF9">
      <w:pPr>
        <w:spacing w:after="0" w:line="240" w:lineRule="auto"/>
        <w:rPr>
          <w:rFonts w:ascii="Verdana" w:hAnsi="Verdana"/>
          <w:sz w:val="16"/>
          <w:szCs w:val="16"/>
        </w:rPr>
      </w:pPr>
      <w:r w:rsidRPr="00B81A28">
        <w:rPr>
          <w:rFonts w:ascii="Verdana" w:hAnsi="Verdana"/>
          <w:noProof/>
          <w:lang w:eastAsia="en-ZA"/>
        </w:rPr>
        <w:drawing>
          <wp:inline distT="0" distB="0" distL="0" distR="0" wp14:anchorId="7750C38A" wp14:editId="706A8076">
            <wp:extent cx="3057525" cy="642486"/>
            <wp:effectExtent l="0" t="0" r="0" b="5715"/>
            <wp:docPr id="16" name="Picture 16"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327BF9" w:rsidRPr="00B81A28" w14:paraId="4E342AC5" w14:textId="77777777" w:rsidTr="004B1D7C">
        <w:tc>
          <w:tcPr>
            <w:tcW w:w="14884" w:type="dxa"/>
            <w:gridSpan w:val="10"/>
            <w:shd w:val="clear" w:color="auto" w:fill="CB2229"/>
            <w:vAlign w:val="center"/>
          </w:tcPr>
          <w:p w14:paraId="7B5ABDB2"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32C4634"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p>
          <w:p w14:paraId="348E3280"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327BF9" w:rsidRPr="00B81A28" w14:paraId="391723C9" w14:textId="77777777" w:rsidTr="004B1D7C">
        <w:tc>
          <w:tcPr>
            <w:tcW w:w="4536" w:type="dxa"/>
            <w:shd w:val="clear" w:color="auto" w:fill="4C4C4C"/>
          </w:tcPr>
          <w:p w14:paraId="4259B257" w14:textId="77777777" w:rsidR="00327BF9" w:rsidRPr="0067766B" w:rsidRDefault="00327BF9" w:rsidP="004B1D7C">
            <w:pPr>
              <w:spacing w:before="40" w:after="40" w:line="300" w:lineRule="atLeast"/>
              <w:rPr>
                <w:rFonts w:ascii="Verdana" w:hAnsi="Verdana"/>
                <w:b/>
                <w:caps/>
                <w:color w:val="FFFFFF"/>
                <w:sz w:val="16"/>
                <w:szCs w:val="16"/>
              </w:rPr>
            </w:pPr>
            <w:r>
              <w:rPr>
                <w:rFonts w:ascii="Verdana" w:hAnsi="Verdana"/>
                <w:b/>
                <w:caps/>
                <w:color w:val="FFFFFF"/>
                <w:sz w:val="16"/>
                <w:szCs w:val="16"/>
              </w:rPr>
              <w:t>CURRENCIES</w:t>
            </w:r>
          </w:p>
        </w:tc>
        <w:tc>
          <w:tcPr>
            <w:tcW w:w="1134" w:type="dxa"/>
            <w:shd w:val="clear" w:color="auto" w:fill="4C4C4C"/>
          </w:tcPr>
          <w:p w14:paraId="061B873B"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691F8AD1"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7A1D7074"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56700DFF"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23D5D338"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5D14CE2E"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02369574"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03103559"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1FDB3F46"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60283641" w14:textId="77777777" w:rsidTr="004B1D7C">
        <w:tc>
          <w:tcPr>
            <w:tcW w:w="14884" w:type="dxa"/>
            <w:gridSpan w:val="10"/>
            <w:shd w:val="clear" w:color="auto" w:fill="7583BD"/>
            <w:vAlign w:val="center"/>
          </w:tcPr>
          <w:p w14:paraId="47C4B388" w14:textId="77777777" w:rsidR="00327BF9" w:rsidRPr="00B81A28" w:rsidRDefault="00327BF9" w:rsidP="004B1D7C">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327BF9" w:rsidRPr="00B81A28" w14:paraId="37DF5CE2" w14:textId="77777777" w:rsidTr="004B1D7C">
        <w:tc>
          <w:tcPr>
            <w:tcW w:w="4536" w:type="dxa"/>
          </w:tcPr>
          <w:p w14:paraId="01B65141"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EURO</w:t>
            </w:r>
          </w:p>
        </w:tc>
        <w:tc>
          <w:tcPr>
            <w:tcW w:w="1134" w:type="dxa"/>
          </w:tcPr>
          <w:p w14:paraId="4A57E4D5" w14:textId="329192A2" w:rsidR="00327BF9" w:rsidRPr="00B81A28" w:rsidRDefault="00CD2E46" w:rsidP="004B1D7C">
            <w:pPr>
              <w:tabs>
                <w:tab w:val="left" w:pos="1050"/>
              </w:tabs>
              <w:spacing w:before="40" w:after="40" w:line="300" w:lineRule="atLeast"/>
              <w:jc w:val="center"/>
              <w:rPr>
                <w:rFonts w:ascii="Verdana" w:hAnsi="Verdana"/>
                <w:sz w:val="16"/>
                <w:szCs w:val="16"/>
              </w:rPr>
            </w:pPr>
            <w:r>
              <w:rPr>
                <w:rFonts w:ascii="Verdana" w:hAnsi="Verdana"/>
                <w:sz w:val="16"/>
                <w:szCs w:val="16"/>
              </w:rPr>
              <w:t>10,08%</w:t>
            </w:r>
          </w:p>
        </w:tc>
        <w:tc>
          <w:tcPr>
            <w:tcW w:w="1276" w:type="dxa"/>
          </w:tcPr>
          <w:p w14:paraId="28F29E64" w14:textId="2690F10C"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9,92%</w:t>
            </w:r>
          </w:p>
        </w:tc>
        <w:tc>
          <w:tcPr>
            <w:tcW w:w="1134" w:type="dxa"/>
          </w:tcPr>
          <w:p w14:paraId="7EB33917" w14:textId="383E1880"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8,81%</w:t>
            </w:r>
          </w:p>
        </w:tc>
        <w:tc>
          <w:tcPr>
            <w:tcW w:w="1134" w:type="dxa"/>
          </w:tcPr>
          <w:p w14:paraId="3CA23499" w14:textId="0963F980"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8,37%</w:t>
            </w:r>
          </w:p>
        </w:tc>
        <w:tc>
          <w:tcPr>
            <w:tcW w:w="1134" w:type="dxa"/>
          </w:tcPr>
          <w:p w14:paraId="35C89432" w14:textId="166AC204"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(1,25%)</w:t>
            </w:r>
          </w:p>
        </w:tc>
        <w:tc>
          <w:tcPr>
            <w:tcW w:w="1134" w:type="dxa"/>
            <w:shd w:val="clear" w:color="auto" w:fill="auto"/>
          </w:tcPr>
          <w:p w14:paraId="6AEA07FF" w14:textId="6BD16111"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5,57%</w:t>
            </w:r>
          </w:p>
        </w:tc>
        <w:tc>
          <w:tcPr>
            <w:tcW w:w="1134" w:type="dxa"/>
            <w:shd w:val="clear" w:color="auto" w:fill="auto"/>
          </w:tcPr>
          <w:p w14:paraId="2F41A691" w14:textId="77D4D515"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4,25%</w:t>
            </w:r>
          </w:p>
        </w:tc>
        <w:tc>
          <w:tcPr>
            <w:tcW w:w="1134" w:type="dxa"/>
          </w:tcPr>
          <w:p w14:paraId="049FD5EE"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2DEC95B"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778E6703" w14:textId="77777777" w:rsidTr="004B1D7C">
        <w:tc>
          <w:tcPr>
            <w:tcW w:w="4536" w:type="dxa"/>
          </w:tcPr>
          <w:p w14:paraId="0EFB261F"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Pound</w:t>
            </w:r>
          </w:p>
        </w:tc>
        <w:tc>
          <w:tcPr>
            <w:tcW w:w="1134" w:type="dxa"/>
          </w:tcPr>
          <w:p w14:paraId="53F21979" w14:textId="2C194D03" w:rsidR="00327BF9" w:rsidRPr="00B81A28" w:rsidRDefault="00CD2E46" w:rsidP="004B1D7C">
            <w:pPr>
              <w:tabs>
                <w:tab w:val="left" w:pos="1050"/>
              </w:tabs>
              <w:spacing w:before="40" w:after="40" w:line="300" w:lineRule="atLeast"/>
              <w:jc w:val="center"/>
              <w:rPr>
                <w:rFonts w:ascii="Verdana" w:hAnsi="Verdana"/>
                <w:sz w:val="16"/>
                <w:szCs w:val="16"/>
              </w:rPr>
            </w:pPr>
            <w:r>
              <w:rPr>
                <w:rFonts w:ascii="Verdana" w:hAnsi="Verdana"/>
                <w:sz w:val="16"/>
                <w:szCs w:val="16"/>
              </w:rPr>
              <w:t>8,15%</w:t>
            </w:r>
          </w:p>
        </w:tc>
        <w:tc>
          <w:tcPr>
            <w:tcW w:w="1276" w:type="dxa"/>
          </w:tcPr>
          <w:p w14:paraId="09C8293A" w14:textId="2074E58A"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8,80%</w:t>
            </w:r>
          </w:p>
        </w:tc>
        <w:tc>
          <w:tcPr>
            <w:tcW w:w="1134" w:type="dxa"/>
          </w:tcPr>
          <w:p w14:paraId="5EE2499F" w14:textId="65E457DB"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9,00%</w:t>
            </w:r>
          </w:p>
        </w:tc>
        <w:tc>
          <w:tcPr>
            <w:tcW w:w="1134" w:type="dxa"/>
          </w:tcPr>
          <w:p w14:paraId="2A2F3167" w14:textId="54AAA6D5"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7,84%</w:t>
            </w:r>
          </w:p>
        </w:tc>
        <w:tc>
          <w:tcPr>
            <w:tcW w:w="1134" w:type="dxa"/>
          </w:tcPr>
          <w:p w14:paraId="6F8711AF" w14:textId="34EBBEC6"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(4,77%)</w:t>
            </w:r>
          </w:p>
        </w:tc>
        <w:tc>
          <w:tcPr>
            <w:tcW w:w="1134" w:type="dxa"/>
            <w:shd w:val="clear" w:color="auto" w:fill="auto"/>
          </w:tcPr>
          <w:p w14:paraId="2BBE5B8A" w14:textId="0E509163"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(1,99%)</w:t>
            </w:r>
          </w:p>
        </w:tc>
        <w:tc>
          <w:tcPr>
            <w:tcW w:w="1134" w:type="dxa"/>
            <w:shd w:val="clear" w:color="auto" w:fill="auto"/>
          </w:tcPr>
          <w:p w14:paraId="40CA8570" w14:textId="46C254EC"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3,90%</w:t>
            </w:r>
          </w:p>
        </w:tc>
        <w:tc>
          <w:tcPr>
            <w:tcW w:w="1134" w:type="dxa"/>
          </w:tcPr>
          <w:p w14:paraId="346DFE64"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AC520F6"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FCE5172" w14:textId="77777777" w:rsidTr="004B1D7C">
        <w:tc>
          <w:tcPr>
            <w:tcW w:w="4536" w:type="dxa"/>
          </w:tcPr>
          <w:p w14:paraId="2D12E2CA" w14:textId="77777777" w:rsidR="00327BF9" w:rsidRPr="00B81A28" w:rsidRDefault="00327BF9" w:rsidP="004B1D7C">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US Dollar</w:t>
            </w:r>
          </w:p>
        </w:tc>
        <w:tc>
          <w:tcPr>
            <w:tcW w:w="1134" w:type="dxa"/>
          </w:tcPr>
          <w:p w14:paraId="48932D3C" w14:textId="1A3810DA" w:rsidR="00327BF9" w:rsidRPr="00B81A28" w:rsidRDefault="00CD2E46" w:rsidP="004B1D7C">
            <w:pPr>
              <w:tabs>
                <w:tab w:val="left" w:pos="1050"/>
              </w:tabs>
              <w:spacing w:before="40" w:after="40" w:line="300" w:lineRule="atLeast"/>
              <w:jc w:val="center"/>
              <w:rPr>
                <w:rFonts w:ascii="Verdana" w:hAnsi="Verdana"/>
                <w:sz w:val="16"/>
                <w:szCs w:val="16"/>
              </w:rPr>
            </w:pPr>
            <w:r>
              <w:rPr>
                <w:rFonts w:ascii="Verdana" w:hAnsi="Verdana"/>
                <w:sz w:val="16"/>
                <w:szCs w:val="16"/>
              </w:rPr>
              <w:t>8,53%</w:t>
            </w:r>
          </w:p>
        </w:tc>
        <w:tc>
          <w:tcPr>
            <w:tcW w:w="1276" w:type="dxa"/>
          </w:tcPr>
          <w:p w14:paraId="513B2612" w14:textId="4492428D"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15,66%</w:t>
            </w:r>
          </w:p>
        </w:tc>
        <w:tc>
          <w:tcPr>
            <w:tcW w:w="1134" w:type="dxa"/>
          </w:tcPr>
          <w:p w14:paraId="6530611F" w14:textId="42EFF745"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11,73%</w:t>
            </w:r>
          </w:p>
        </w:tc>
        <w:tc>
          <w:tcPr>
            <w:tcW w:w="1134" w:type="dxa"/>
          </w:tcPr>
          <w:p w14:paraId="0C0AC146" w14:textId="559A6879"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6,64%</w:t>
            </w:r>
          </w:p>
        </w:tc>
        <w:tc>
          <w:tcPr>
            <w:tcW w:w="1134" w:type="dxa"/>
          </w:tcPr>
          <w:p w14:paraId="13A55A32" w14:textId="07A85B88"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(3,30%)</w:t>
            </w:r>
          </w:p>
        </w:tc>
        <w:tc>
          <w:tcPr>
            <w:tcW w:w="1134" w:type="dxa"/>
            <w:shd w:val="clear" w:color="auto" w:fill="auto"/>
          </w:tcPr>
          <w:p w14:paraId="4981F9BE" w14:textId="6C1FF263"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4,12%</w:t>
            </w:r>
          </w:p>
        </w:tc>
        <w:tc>
          <w:tcPr>
            <w:tcW w:w="1134" w:type="dxa"/>
            <w:shd w:val="clear" w:color="auto" w:fill="auto"/>
          </w:tcPr>
          <w:p w14:paraId="1A56D61A" w14:textId="00AD4B18" w:rsidR="00327BF9" w:rsidRPr="00B81A28" w:rsidRDefault="00CD2E46" w:rsidP="004B1D7C">
            <w:pPr>
              <w:spacing w:before="40" w:after="40" w:line="300" w:lineRule="atLeast"/>
              <w:jc w:val="center"/>
              <w:rPr>
                <w:rFonts w:ascii="Verdana" w:hAnsi="Verdana"/>
                <w:sz w:val="16"/>
                <w:szCs w:val="16"/>
              </w:rPr>
            </w:pPr>
            <w:r>
              <w:rPr>
                <w:rFonts w:ascii="Verdana" w:hAnsi="Verdana"/>
                <w:sz w:val="16"/>
                <w:szCs w:val="16"/>
              </w:rPr>
              <w:t>6,67%</w:t>
            </w:r>
          </w:p>
        </w:tc>
        <w:tc>
          <w:tcPr>
            <w:tcW w:w="1134" w:type="dxa"/>
          </w:tcPr>
          <w:p w14:paraId="10606263"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CAB399E" w14:textId="77777777" w:rsidR="00327BF9" w:rsidRPr="00B81A28" w:rsidRDefault="00327BF9" w:rsidP="004B1D7C">
            <w:pPr>
              <w:spacing w:before="40" w:after="40" w:line="300" w:lineRule="atLeast"/>
              <w:jc w:val="center"/>
              <w:rPr>
                <w:rFonts w:ascii="Verdana" w:hAnsi="Verdana"/>
                <w:sz w:val="16"/>
                <w:szCs w:val="16"/>
              </w:rPr>
            </w:pPr>
            <w:r w:rsidRPr="00B81A28">
              <w:rPr>
                <w:rFonts w:ascii="Verdana" w:hAnsi="Verdana"/>
                <w:sz w:val="16"/>
                <w:szCs w:val="16"/>
              </w:rPr>
              <w:t>-</w:t>
            </w:r>
          </w:p>
        </w:tc>
      </w:tr>
      <w:tr w:rsidR="00327BF9" w:rsidRPr="00B81A28" w14:paraId="2B94F0D4" w14:textId="77777777" w:rsidTr="004B1D7C">
        <w:tc>
          <w:tcPr>
            <w:tcW w:w="14884" w:type="dxa"/>
            <w:gridSpan w:val="10"/>
            <w:vAlign w:val="center"/>
          </w:tcPr>
          <w:p w14:paraId="19173D3C" w14:textId="77777777" w:rsidR="00327BF9" w:rsidRPr="00FC742B" w:rsidRDefault="00327BF9" w:rsidP="004B1D7C">
            <w:pPr>
              <w:spacing w:before="40" w:after="40" w:line="300" w:lineRule="atLeast"/>
              <w:rPr>
                <w:rFonts w:ascii="Verdana" w:hAnsi="Verdana"/>
                <w:i/>
                <w:sz w:val="15"/>
                <w:szCs w:val="15"/>
              </w:rPr>
            </w:pPr>
            <w:r w:rsidRPr="00FC742B">
              <w:rPr>
                <w:rFonts w:ascii="Verdana" w:hAnsi="Verdana"/>
                <w:i/>
                <w:sz w:val="15"/>
                <w:szCs w:val="15"/>
              </w:rPr>
              <w:t>Source: etfSA.co.za / Profile Media – Funds Data (</w:t>
            </w:r>
            <w:r>
              <w:rPr>
                <w:rFonts w:ascii="Verdana" w:hAnsi="Verdana"/>
                <w:i/>
                <w:sz w:val="15"/>
                <w:szCs w:val="15"/>
              </w:rPr>
              <w:t>29</w:t>
            </w:r>
            <w:r w:rsidRPr="00FC742B">
              <w:rPr>
                <w:rFonts w:ascii="Verdana" w:hAnsi="Verdana"/>
                <w:i/>
                <w:sz w:val="15"/>
                <w:szCs w:val="15"/>
              </w:rPr>
              <w:t>/</w:t>
            </w:r>
            <w:r>
              <w:rPr>
                <w:rFonts w:ascii="Verdana" w:hAnsi="Verdana"/>
                <w:i/>
                <w:sz w:val="15"/>
                <w:szCs w:val="15"/>
              </w:rPr>
              <w:t>6</w:t>
            </w:r>
            <w:r w:rsidRPr="00FC742B">
              <w:rPr>
                <w:rFonts w:ascii="Verdana" w:hAnsi="Verdana"/>
                <w:i/>
                <w:sz w:val="15"/>
                <w:szCs w:val="15"/>
              </w:rPr>
              <w:t>/2018)</w:t>
            </w:r>
          </w:p>
        </w:tc>
      </w:tr>
    </w:tbl>
    <w:p w14:paraId="0BE7BA2E" w14:textId="77777777" w:rsidR="00327BF9" w:rsidRDefault="00327BF9" w:rsidP="00327BF9">
      <w:pPr>
        <w:rPr>
          <w:rFonts w:ascii="Verdana" w:hAnsi="Verdana"/>
        </w:rPr>
      </w:pPr>
    </w:p>
    <w:bookmarkEnd w:id="8"/>
    <w:p w14:paraId="53DE1CEC" w14:textId="77777777" w:rsidR="00327BF9" w:rsidRDefault="00327BF9" w:rsidP="00327BF9">
      <w:pPr>
        <w:ind w:right="567"/>
        <w:jc w:val="both"/>
        <w:rPr>
          <w:rFonts w:ascii="Verdana" w:hAnsi="Verdana"/>
        </w:rPr>
      </w:pPr>
    </w:p>
    <w:p w14:paraId="0B087C01" w14:textId="77777777" w:rsidR="00327BF9" w:rsidRDefault="00327BF9" w:rsidP="00327BF9">
      <w:pPr>
        <w:ind w:right="567"/>
        <w:jc w:val="both"/>
        <w:rPr>
          <w:rFonts w:ascii="Verdana" w:hAnsi="Verdana"/>
        </w:rPr>
      </w:pPr>
    </w:p>
    <w:p w14:paraId="5F89E5EA" w14:textId="77777777" w:rsidR="00327BF9" w:rsidRPr="00B81A28" w:rsidRDefault="00327BF9" w:rsidP="00327BF9">
      <w:pPr>
        <w:ind w:right="567"/>
        <w:jc w:val="both"/>
        <w:rPr>
          <w:rFonts w:ascii="Verdana" w:hAnsi="Verdana"/>
        </w:rPr>
      </w:pPr>
    </w:p>
    <w:p w14:paraId="48461AA6" w14:textId="77777777" w:rsidR="00327BF9" w:rsidRPr="00B81A28" w:rsidRDefault="00327BF9" w:rsidP="00327BF9">
      <w:pPr>
        <w:pBdr>
          <w:top w:val="single" w:sz="4" w:space="1" w:color="auto"/>
        </w:pBdr>
        <w:spacing w:after="0" w:line="240" w:lineRule="auto"/>
        <w:ind w:right="567"/>
        <w:rPr>
          <w:rFonts w:ascii="Verdana" w:hAnsi="Verdana"/>
          <w:sz w:val="14"/>
          <w:szCs w:val="14"/>
          <w:lang w:eastAsia="en-ZA"/>
        </w:rPr>
      </w:pPr>
      <w:r w:rsidRPr="00B81A28">
        <w:rPr>
          <w:rFonts w:ascii="Verdana" w:hAnsi="Verdana"/>
          <w:b/>
          <w:i/>
          <w:color w:val="0F0D35"/>
          <w:sz w:val="15"/>
          <w:szCs w:val="15"/>
        </w:rPr>
        <w:t xml:space="preserve">Disclaimer: </w:t>
      </w:r>
      <w:r w:rsidRPr="00B81A28">
        <w:rPr>
          <w:rFonts w:ascii="Verdana" w:hAnsi="Verdana"/>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44792793" w14:textId="77777777" w:rsidR="00327BF9" w:rsidRPr="00B81A28" w:rsidRDefault="00327BF9" w:rsidP="00327BF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76F00100" w14:textId="77777777" w:rsidR="00327BF9" w:rsidRPr="00B81A28" w:rsidRDefault="00327BF9" w:rsidP="00327BF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70634B97" w14:textId="77777777" w:rsidR="00327BF9" w:rsidRPr="00B81A28" w:rsidRDefault="00327BF9" w:rsidP="00327BF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2C57E3F5" w14:textId="77777777" w:rsidR="00327BF9" w:rsidRPr="00B81A28" w:rsidRDefault="00327BF9" w:rsidP="00327BF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p w14:paraId="42D0EA79" w14:textId="77777777" w:rsidR="00327BF9" w:rsidRDefault="00327BF9" w:rsidP="00327BF9">
      <w:pPr>
        <w:pBdr>
          <w:top w:val="single" w:sz="4" w:space="1" w:color="auto"/>
        </w:pBdr>
        <w:spacing w:after="0" w:line="240" w:lineRule="auto"/>
        <w:jc w:val="center"/>
        <w:rPr>
          <w:rFonts w:ascii="Verdana" w:hAnsi="Verdana"/>
          <w:sz w:val="15"/>
          <w:szCs w:val="15"/>
        </w:rPr>
      </w:pPr>
      <w:r w:rsidRPr="00B81A28">
        <w:rPr>
          <w:rFonts w:ascii="Verdana" w:hAnsi="Verdana"/>
          <w:sz w:val="15"/>
          <w:szCs w:val="15"/>
        </w:rPr>
        <w:br w:type="page"/>
      </w:r>
    </w:p>
    <w:p w14:paraId="63BFEDD6" w14:textId="77777777" w:rsidR="00327BF9" w:rsidRPr="00B81A28" w:rsidRDefault="00327BF9" w:rsidP="00327BF9">
      <w:pPr>
        <w:pBdr>
          <w:top w:val="single" w:sz="4" w:space="1" w:color="auto"/>
        </w:pBdr>
        <w:spacing w:after="0" w:line="240" w:lineRule="auto"/>
        <w:rPr>
          <w:rFonts w:ascii="Verdana" w:hAnsi="Verdana"/>
          <w:sz w:val="15"/>
          <w:szCs w:val="15"/>
        </w:rPr>
      </w:pPr>
    </w:p>
    <w:p w14:paraId="55140854" w14:textId="77777777" w:rsidR="00327BF9" w:rsidRPr="00B81A28" w:rsidRDefault="00327BF9" w:rsidP="00327BF9">
      <w:pPr>
        <w:spacing w:after="0" w:line="240" w:lineRule="auto"/>
        <w:rPr>
          <w:rFonts w:ascii="Verdana" w:hAnsi="Verdana"/>
          <w:sz w:val="16"/>
          <w:szCs w:val="16"/>
        </w:rPr>
      </w:pPr>
      <w:r w:rsidRPr="00B81A28">
        <w:rPr>
          <w:rFonts w:ascii="Verdana" w:hAnsi="Verdana"/>
          <w:noProof/>
          <w:lang w:eastAsia="en-ZA"/>
        </w:rPr>
        <w:drawing>
          <wp:inline distT="0" distB="0" distL="0" distR="0" wp14:anchorId="40CF2E78" wp14:editId="67369852">
            <wp:extent cx="3057525" cy="642486"/>
            <wp:effectExtent l="0" t="0" r="0" b="5715"/>
            <wp:docPr id="17" name="Picture 17"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327BF9" w:rsidRPr="00B81A28" w14:paraId="0ADC64BA" w14:textId="77777777" w:rsidTr="004B1D7C">
        <w:tc>
          <w:tcPr>
            <w:tcW w:w="14884" w:type="dxa"/>
            <w:gridSpan w:val="7"/>
            <w:shd w:val="clear" w:color="auto" w:fill="CB2229"/>
            <w:vAlign w:val="center"/>
          </w:tcPr>
          <w:p w14:paraId="7C905355"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47D9D565" w14:textId="77777777" w:rsidR="00327BF9" w:rsidRPr="00B81A28" w:rsidRDefault="00327BF9" w:rsidP="004B1D7C">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r>
              <w:rPr>
                <w:rFonts w:ascii="Verdana" w:hAnsi="Verdana"/>
                <w:b/>
                <w:color w:val="FFFFFF"/>
                <w:sz w:val="20"/>
                <w:szCs w:val="20"/>
              </w:rPr>
              <w:t xml:space="preserve">   </w:t>
            </w:r>
            <w:r w:rsidRPr="00B81A28">
              <w:rPr>
                <w:rFonts w:ascii="Verdana" w:hAnsi="Verdana"/>
                <w:b/>
                <w:color w:val="FFFFFF"/>
                <w:sz w:val="20"/>
                <w:szCs w:val="20"/>
              </w:rPr>
              <w:t>(Total Returns – dividends reinvested)</w:t>
            </w:r>
          </w:p>
        </w:tc>
      </w:tr>
      <w:tr w:rsidR="00327BF9" w:rsidRPr="00B81A28" w14:paraId="50AA8F03" w14:textId="77777777" w:rsidTr="004B1D7C">
        <w:tc>
          <w:tcPr>
            <w:tcW w:w="5245" w:type="dxa"/>
            <w:shd w:val="clear" w:color="auto" w:fill="4C4C4C"/>
          </w:tcPr>
          <w:p w14:paraId="4410EFAA" w14:textId="77777777" w:rsidR="00327BF9" w:rsidRPr="0067766B" w:rsidRDefault="00327BF9" w:rsidP="004B1D7C">
            <w:pPr>
              <w:spacing w:before="40" w:after="40" w:line="30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58C71A28"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694362B8"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592F2627"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00D782EF"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66C6B95A"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70C1AA2E" w14:textId="77777777" w:rsidR="00327BF9" w:rsidRPr="00B81A28" w:rsidRDefault="00327BF9" w:rsidP="004B1D7C">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27CAD415" w14:textId="77777777" w:rsidTr="004B1D7C">
        <w:tc>
          <w:tcPr>
            <w:tcW w:w="5245" w:type="dxa"/>
            <w:shd w:val="clear" w:color="auto" w:fill="7583BD"/>
          </w:tcPr>
          <w:p w14:paraId="3A3D39EF" w14:textId="77777777" w:rsidR="00327BF9" w:rsidRPr="00B81A28" w:rsidRDefault="00327BF9" w:rsidP="004B1D7C">
            <w:pPr>
              <w:spacing w:before="40" w:after="40" w:line="280" w:lineRule="atLeast"/>
              <w:rPr>
                <w:rFonts w:ascii="Verdana" w:hAnsi="Verdana"/>
                <w:sz w:val="16"/>
                <w:szCs w:val="16"/>
              </w:rPr>
            </w:pPr>
            <w:r>
              <w:rPr>
                <w:rFonts w:ascii="Verdana" w:hAnsi="Verdana"/>
                <w:b/>
                <w:color w:val="FFFFFF" w:themeColor="background1"/>
                <w:sz w:val="16"/>
                <w:szCs w:val="16"/>
              </w:rPr>
              <w:t>FTSE/JSE TOP 40 INDEX (Total Return)</w:t>
            </w:r>
          </w:p>
        </w:tc>
        <w:tc>
          <w:tcPr>
            <w:tcW w:w="1606" w:type="dxa"/>
            <w:shd w:val="clear" w:color="auto" w:fill="7583BD"/>
          </w:tcPr>
          <w:p w14:paraId="59E4697A" w14:textId="0B335723" w:rsidR="00327BF9" w:rsidRPr="00075E62" w:rsidRDefault="00DF642B" w:rsidP="004B1D7C">
            <w:pPr>
              <w:tabs>
                <w:tab w:val="left" w:pos="1050"/>
              </w:tabs>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3,95%</w:t>
            </w:r>
          </w:p>
        </w:tc>
        <w:tc>
          <w:tcPr>
            <w:tcW w:w="1607" w:type="dxa"/>
            <w:shd w:val="clear" w:color="auto" w:fill="7583BD"/>
          </w:tcPr>
          <w:p w14:paraId="2AAF5D7D" w14:textId="77766C17" w:rsidR="00327BF9" w:rsidRPr="00075E62" w:rsidRDefault="00DF642B"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6,19%</w:t>
            </w:r>
          </w:p>
        </w:tc>
        <w:tc>
          <w:tcPr>
            <w:tcW w:w="1606" w:type="dxa"/>
            <w:shd w:val="clear" w:color="auto" w:fill="7583BD"/>
          </w:tcPr>
          <w:p w14:paraId="24A25B07" w14:textId="25C42A32" w:rsidR="00327BF9" w:rsidRPr="00075E62" w:rsidRDefault="00DF642B"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17,29%</w:t>
            </w:r>
          </w:p>
        </w:tc>
        <w:tc>
          <w:tcPr>
            <w:tcW w:w="1607" w:type="dxa"/>
            <w:shd w:val="clear" w:color="auto" w:fill="7583BD"/>
          </w:tcPr>
          <w:p w14:paraId="038AF47D" w14:textId="28EB0E38" w:rsidR="00327BF9" w:rsidRPr="00075E62" w:rsidRDefault="00DF642B"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6,57%</w:t>
            </w:r>
          </w:p>
        </w:tc>
        <w:tc>
          <w:tcPr>
            <w:tcW w:w="1606" w:type="dxa"/>
            <w:shd w:val="clear" w:color="auto" w:fill="7583BD"/>
          </w:tcPr>
          <w:p w14:paraId="04D203D4" w14:textId="657EF1E0" w:rsidR="00327BF9" w:rsidRPr="00075E62" w:rsidRDefault="00DF642B"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11,20%</w:t>
            </w:r>
          </w:p>
        </w:tc>
        <w:tc>
          <w:tcPr>
            <w:tcW w:w="1607" w:type="dxa"/>
            <w:shd w:val="clear" w:color="auto" w:fill="7583BD"/>
          </w:tcPr>
          <w:p w14:paraId="07E99A23" w14:textId="757B56A5" w:rsidR="00327BF9" w:rsidRPr="00075E62" w:rsidRDefault="00DF642B"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9,10%</w:t>
            </w:r>
          </w:p>
        </w:tc>
      </w:tr>
      <w:tr w:rsidR="00327BF9" w:rsidRPr="00B81A28" w14:paraId="79D557F2" w14:textId="77777777" w:rsidTr="004B1D7C">
        <w:tc>
          <w:tcPr>
            <w:tcW w:w="5245" w:type="dxa"/>
          </w:tcPr>
          <w:p w14:paraId="2B36F947"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 xml:space="preserve">Kagiso Top 40 Tracker Fund </w:t>
            </w:r>
          </w:p>
        </w:tc>
        <w:tc>
          <w:tcPr>
            <w:tcW w:w="1606" w:type="dxa"/>
          </w:tcPr>
          <w:p w14:paraId="7705F5DA" w14:textId="4FD84E28" w:rsidR="00327BF9" w:rsidRPr="00B81A28" w:rsidRDefault="00737E7C" w:rsidP="004B1D7C">
            <w:pPr>
              <w:tabs>
                <w:tab w:val="left" w:pos="1050"/>
              </w:tabs>
              <w:spacing w:before="40" w:after="40" w:line="280" w:lineRule="atLeast"/>
              <w:jc w:val="center"/>
              <w:rPr>
                <w:rFonts w:ascii="Verdana" w:hAnsi="Verdana"/>
                <w:sz w:val="16"/>
                <w:szCs w:val="16"/>
              </w:rPr>
            </w:pPr>
            <w:r>
              <w:rPr>
                <w:rFonts w:ascii="Verdana" w:hAnsi="Verdana"/>
                <w:sz w:val="16"/>
                <w:szCs w:val="16"/>
              </w:rPr>
              <w:t>3,11%</w:t>
            </w:r>
          </w:p>
        </w:tc>
        <w:tc>
          <w:tcPr>
            <w:tcW w:w="1607" w:type="dxa"/>
          </w:tcPr>
          <w:p w14:paraId="3AB59CF7" w14:textId="371C8FE1"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5,92%</w:t>
            </w:r>
          </w:p>
        </w:tc>
        <w:tc>
          <w:tcPr>
            <w:tcW w:w="1606" w:type="dxa"/>
          </w:tcPr>
          <w:p w14:paraId="64537171" w14:textId="7B5288D3"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16,10%</w:t>
            </w:r>
          </w:p>
        </w:tc>
        <w:tc>
          <w:tcPr>
            <w:tcW w:w="1607" w:type="dxa"/>
          </w:tcPr>
          <w:p w14:paraId="7033E15A" w14:textId="3A6A16E3"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5,55%</w:t>
            </w:r>
          </w:p>
        </w:tc>
        <w:tc>
          <w:tcPr>
            <w:tcW w:w="1606" w:type="dxa"/>
          </w:tcPr>
          <w:p w14:paraId="115929B7" w14:textId="35197FFB"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10,15%</w:t>
            </w:r>
          </w:p>
        </w:tc>
        <w:tc>
          <w:tcPr>
            <w:tcW w:w="1607" w:type="dxa"/>
            <w:shd w:val="clear" w:color="auto" w:fill="auto"/>
          </w:tcPr>
          <w:p w14:paraId="24A21A3D" w14:textId="0621D553"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8,24%</w:t>
            </w:r>
          </w:p>
        </w:tc>
      </w:tr>
      <w:tr w:rsidR="00327BF9" w:rsidRPr="00B81A28" w14:paraId="025ECF7B" w14:textId="77777777" w:rsidTr="004B1D7C">
        <w:tc>
          <w:tcPr>
            <w:tcW w:w="5245" w:type="dxa"/>
          </w:tcPr>
          <w:p w14:paraId="089BCB30"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Momentum Top 40 Index Fund</w:t>
            </w:r>
          </w:p>
        </w:tc>
        <w:tc>
          <w:tcPr>
            <w:tcW w:w="1606" w:type="dxa"/>
          </w:tcPr>
          <w:p w14:paraId="5BCEB60B" w14:textId="69B89D75" w:rsidR="00327BF9" w:rsidRPr="00B81A28" w:rsidRDefault="00737E7C" w:rsidP="004B1D7C">
            <w:pPr>
              <w:tabs>
                <w:tab w:val="left" w:pos="1050"/>
              </w:tabs>
              <w:spacing w:before="40" w:after="40" w:line="280" w:lineRule="atLeast"/>
              <w:jc w:val="center"/>
              <w:rPr>
                <w:rFonts w:ascii="Verdana" w:hAnsi="Verdana"/>
                <w:sz w:val="16"/>
                <w:szCs w:val="16"/>
              </w:rPr>
            </w:pPr>
            <w:r>
              <w:rPr>
                <w:rFonts w:ascii="Verdana" w:hAnsi="Verdana"/>
                <w:sz w:val="16"/>
                <w:szCs w:val="16"/>
              </w:rPr>
              <w:t>2,37%</w:t>
            </w:r>
          </w:p>
        </w:tc>
        <w:tc>
          <w:tcPr>
            <w:tcW w:w="1607" w:type="dxa"/>
          </w:tcPr>
          <w:p w14:paraId="242ABA63" w14:textId="1A7282AB"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5,45%</w:t>
            </w:r>
          </w:p>
        </w:tc>
        <w:tc>
          <w:tcPr>
            <w:tcW w:w="1606" w:type="dxa"/>
          </w:tcPr>
          <w:p w14:paraId="163D1B25" w14:textId="4D91B997"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15,46%</w:t>
            </w:r>
          </w:p>
        </w:tc>
        <w:tc>
          <w:tcPr>
            <w:tcW w:w="1607" w:type="dxa"/>
          </w:tcPr>
          <w:p w14:paraId="4147103D" w14:textId="6F094815"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5,63%</w:t>
            </w:r>
          </w:p>
        </w:tc>
        <w:tc>
          <w:tcPr>
            <w:tcW w:w="1606" w:type="dxa"/>
          </w:tcPr>
          <w:p w14:paraId="5E46DE08" w14:textId="4CB59240"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10,37%</w:t>
            </w:r>
          </w:p>
        </w:tc>
        <w:tc>
          <w:tcPr>
            <w:tcW w:w="1607" w:type="dxa"/>
            <w:shd w:val="clear" w:color="auto" w:fill="auto"/>
          </w:tcPr>
          <w:p w14:paraId="5FC0CBFF" w14:textId="24B6A7CE"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8,13%</w:t>
            </w:r>
          </w:p>
        </w:tc>
      </w:tr>
      <w:tr w:rsidR="00327BF9" w:rsidRPr="00B81A28" w14:paraId="593D5360" w14:textId="77777777" w:rsidTr="004B1D7C">
        <w:tc>
          <w:tcPr>
            <w:tcW w:w="5245" w:type="dxa"/>
          </w:tcPr>
          <w:p w14:paraId="0A4A4CFF"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Satrix Equally Weighted Top 40 Index Fund</w:t>
            </w:r>
          </w:p>
        </w:tc>
        <w:tc>
          <w:tcPr>
            <w:tcW w:w="1606" w:type="dxa"/>
          </w:tcPr>
          <w:p w14:paraId="5F7885AA" w14:textId="69CFCD08" w:rsidR="00327BF9" w:rsidRPr="00B81A28" w:rsidRDefault="00737E7C" w:rsidP="004B1D7C">
            <w:pPr>
              <w:tabs>
                <w:tab w:val="left" w:pos="1050"/>
              </w:tabs>
              <w:spacing w:before="40" w:after="40" w:line="280" w:lineRule="atLeast"/>
              <w:jc w:val="center"/>
              <w:rPr>
                <w:rFonts w:ascii="Verdana" w:hAnsi="Verdana"/>
                <w:sz w:val="16"/>
                <w:szCs w:val="16"/>
              </w:rPr>
            </w:pPr>
            <w:r>
              <w:rPr>
                <w:rFonts w:ascii="Verdana" w:hAnsi="Verdana"/>
                <w:sz w:val="16"/>
                <w:szCs w:val="16"/>
              </w:rPr>
              <w:t>(0,16%)</w:t>
            </w:r>
          </w:p>
        </w:tc>
        <w:tc>
          <w:tcPr>
            <w:tcW w:w="1607" w:type="dxa"/>
          </w:tcPr>
          <w:p w14:paraId="2DACAFFA" w14:textId="4589D4F9"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(2,99%)</w:t>
            </w:r>
          </w:p>
        </w:tc>
        <w:tc>
          <w:tcPr>
            <w:tcW w:w="1606" w:type="dxa"/>
          </w:tcPr>
          <w:p w14:paraId="54E7E395" w14:textId="7BCF8624"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2,59%</w:t>
            </w:r>
          </w:p>
        </w:tc>
        <w:tc>
          <w:tcPr>
            <w:tcW w:w="1607" w:type="dxa"/>
          </w:tcPr>
          <w:p w14:paraId="5F12BC32" w14:textId="3BA9A89F"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(0,35%)</w:t>
            </w:r>
          </w:p>
        </w:tc>
        <w:tc>
          <w:tcPr>
            <w:tcW w:w="1606" w:type="dxa"/>
          </w:tcPr>
          <w:p w14:paraId="6CCAA7AC" w14:textId="5B9B4EBD"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5,01%</w:t>
            </w:r>
          </w:p>
        </w:tc>
        <w:tc>
          <w:tcPr>
            <w:tcW w:w="1607" w:type="dxa"/>
            <w:shd w:val="clear" w:color="auto" w:fill="auto"/>
          </w:tcPr>
          <w:p w14:paraId="358F65B3"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0982C18D" w14:textId="77777777" w:rsidTr="004B1D7C">
        <w:tc>
          <w:tcPr>
            <w:tcW w:w="5245" w:type="dxa"/>
          </w:tcPr>
          <w:p w14:paraId="20B4716E"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Satrix Top 40 Index Fund</w:t>
            </w:r>
          </w:p>
        </w:tc>
        <w:tc>
          <w:tcPr>
            <w:tcW w:w="1606" w:type="dxa"/>
          </w:tcPr>
          <w:p w14:paraId="45703D7C" w14:textId="5645D0A4" w:rsidR="00327BF9" w:rsidRPr="00B81A28" w:rsidRDefault="00737E7C" w:rsidP="004B1D7C">
            <w:pPr>
              <w:tabs>
                <w:tab w:val="left" w:pos="1050"/>
              </w:tabs>
              <w:spacing w:before="40" w:after="40" w:line="280" w:lineRule="atLeast"/>
              <w:jc w:val="center"/>
              <w:rPr>
                <w:rFonts w:ascii="Verdana" w:hAnsi="Verdana"/>
                <w:sz w:val="16"/>
                <w:szCs w:val="16"/>
              </w:rPr>
            </w:pPr>
            <w:r>
              <w:rPr>
                <w:rFonts w:ascii="Verdana" w:hAnsi="Verdana"/>
                <w:sz w:val="16"/>
                <w:szCs w:val="16"/>
              </w:rPr>
              <w:t>3,89%</w:t>
            </w:r>
          </w:p>
        </w:tc>
        <w:tc>
          <w:tcPr>
            <w:tcW w:w="1607" w:type="dxa"/>
          </w:tcPr>
          <w:p w14:paraId="7DF3A48C" w14:textId="655FB9F9"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5,97%</w:t>
            </w:r>
          </w:p>
        </w:tc>
        <w:tc>
          <w:tcPr>
            <w:tcW w:w="1606" w:type="dxa"/>
          </w:tcPr>
          <w:p w14:paraId="06FC7B49" w14:textId="18847D16"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16,59%</w:t>
            </w:r>
          </w:p>
        </w:tc>
        <w:tc>
          <w:tcPr>
            <w:tcW w:w="1607" w:type="dxa"/>
          </w:tcPr>
          <w:p w14:paraId="1F124CB4" w14:textId="25D37AB9" w:rsidR="00327BF9" w:rsidRPr="00B81A28" w:rsidRDefault="00737E7C" w:rsidP="004B1D7C">
            <w:pPr>
              <w:spacing w:before="40" w:after="40" w:line="280" w:lineRule="atLeast"/>
              <w:jc w:val="center"/>
              <w:rPr>
                <w:rFonts w:ascii="Verdana" w:hAnsi="Verdana"/>
                <w:sz w:val="16"/>
                <w:szCs w:val="16"/>
              </w:rPr>
            </w:pPr>
            <w:r>
              <w:rPr>
                <w:rFonts w:ascii="Verdana" w:hAnsi="Verdana"/>
                <w:sz w:val="16"/>
                <w:szCs w:val="16"/>
              </w:rPr>
              <w:t>5,80%</w:t>
            </w:r>
          </w:p>
        </w:tc>
        <w:tc>
          <w:tcPr>
            <w:tcW w:w="1606" w:type="dxa"/>
          </w:tcPr>
          <w:p w14:paraId="1C155D2D"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7AA43B45"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22217DBE" w14:textId="77777777" w:rsidTr="004B1D7C">
        <w:tc>
          <w:tcPr>
            <w:tcW w:w="5245" w:type="dxa"/>
          </w:tcPr>
          <w:p w14:paraId="7847FEE2"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Stanlib ALSI 40 Fund</w:t>
            </w:r>
          </w:p>
        </w:tc>
        <w:tc>
          <w:tcPr>
            <w:tcW w:w="1606" w:type="dxa"/>
          </w:tcPr>
          <w:p w14:paraId="7D0A1AEF" w14:textId="22102C9A" w:rsidR="00327BF9" w:rsidRPr="00B81A28" w:rsidRDefault="00E1707F" w:rsidP="004B1D7C">
            <w:pPr>
              <w:tabs>
                <w:tab w:val="left" w:pos="1050"/>
              </w:tabs>
              <w:spacing w:before="40" w:after="40" w:line="280" w:lineRule="atLeast"/>
              <w:jc w:val="center"/>
              <w:rPr>
                <w:rFonts w:ascii="Verdana" w:hAnsi="Verdana"/>
                <w:sz w:val="16"/>
                <w:szCs w:val="16"/>
              </w:rPr>
            </w:pPr>
            <w:r>
              <w:rPr>
                <w:rFonts w:ascii="Verdana" w:hAnsi="Verdana"/>
                <w:sz w:val="16"/>
                <w:szCs w:val="16"/>
              </w:rPr>
              <w:t>3,84%</w:t>
            </w:r>
          </w:p>
        </w:tc>
        <w:tc>
          <w:tcPr>
            <w:tcW w:w="1607" w:type="dxa"/>
          </w:tcPr>
          <w:p w14:paraId="07B84654" w14:textId="50B29369"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6,22%</w:t>
            </w:r>
          </w:p>
        </w:tc>
        <w:tc>
          <w:tcPr>
            <w:tcW w:w="1606" w:type="dxa"/>
          </w:tcPr>
          <w:p w14:paraId="436EAF99" w14:textId="5A8D4D22"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16,48%</w:t>
            </w:r>
          </w:p>
        </w:tc>
        <w:tc>
          <w:tcPr>
            <w:tcW w:w="1607" w:type="dxa"/>
          </w:tcPr>
          <w:p w14:paraId="08536B6F" w14:textId="739CF27A"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6,16%</w:t>
            </w:r>
          </w:p>
        </w:tc>
        <w:tc>
          <w:tcPr>
            <w:tcW w:w="1606" w:type="dxa"/>
          </w:tcPr>
          <w:p w14:paraId="034D358E" w14:textId="34305297"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10,74%</w:t>
            </w:r>
          </w:p>
        </w:tc>
        <w:tc>
          <w:tcPr>
            <w:tcW w:w="1607" w:type="dxa"/>
            <w:shd w:val="clear" w:color="auto" w:fill="auto"/>
          </w:tcPr>
          <w:p w14:paraId="440C2CDA" w14:textId="7B49E060"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8,67%</w:t>
            </w:r>
          </w:p>
        </w:tc>
      </w:tr>
      <w:tr w:rsidR="00327BF9" w:rsidRPr="00B81A28" w14:paraId="70F2635F" w14:textId="77777777" w:rsidTr="004B1D7C">
        <w:tc>
          <w:tcPr>
            <w:tcW w:w="5245" w:type="dxa"/>
          </w:tcPr>
          <w:p w14:paraId="79E1A4A2"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Sygnia Top 40 Index Fund</w:t>
            </w:r>
          </w:p>
        </w:tc>
        <w:tc>
          <w:tcPr>
            <w:tcW w:w="1606" w:type="dxa"/>
          </w:tcPr>
          <w:p w14:paraId="6075C70C" w14:textId="6A430A66" w:rsidR="00327BF9" w:rsidRPr="00B81A28" w:rsidRDefault="00E1707F" w:rsidP="004B1D7C">
            <w:pPr>
              <w:tabs>
                <w:tab w:val="left" w:pos="1050"/>
              </w:tabs>
              <w:spacing w:before="40" w:after="40" w:line="280" w:lineRule="atLeast"/>
              <w:jc w:val="center"/>
              <w:rPr>
                <w:rFonts w:ascii="Verdana" w:hAnsi="Verdana"/>
                <w:sz w:val="16"/>
                <w:szCs w:val="16"/>
              </w:rPr>
            </w:pPr>
            <w:r>
              <w:rPr>
                <w:rFonts w:ascii="Verdana" w:hAnsi="Verdana"/>
                <w:sz w:val="16"/>
                <w:szCs w:val="16"/>
              </w:rPr>
              <w:t>3,14%</w:t>
            </w:r>
          </w:p>
        </w:tc>
        <w:tc>
          <w:tcPr>
            <w:tcW w:w="1607" w:type="dxa"/>
          </w:tcPr>
          <w:p w14:paraId="2161FC4A" w14:textId="2D5D721D"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6,01%</w:t>
            </w:r>
          </w:p>
        </w:tc>
        <w:tc>
          <w:tcPr>
            <w:tcW w:w="1606" w:type="dxa"/>
          </w:tcPr>
          <w:p w14:paraId="4718700F" w14:textId="0260F6BC"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16,03%</w:t>
            </w:r>
          </w:p>
        </w:tc>
        <w:tc>
          <w:tcPr>
            <w:tcW w:w="1607" w:type="dxa"/>
          </w:tcPr>
          <w:p w14:paraId="0F8FCCBD" w14:textId="3CBBF91A"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5,86%</w:t>
            </w:r>
          </w:p>
        </w:tc>
        <w:tc>
          <w:tcPr>
            <w:tcW w:w="1606" w:type="dxa"/>
          </w:tcPr>
          <w:p w14:paraId="1AAE279C"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263240F3"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0AF7A5CC" w14:textId="77777777" w:rsidTr="004B1D7C">
        <w:tc>
          <w:tcPr>
            <w:tcW w:w="5245" w:type="dxa"/>
          </w:tcPr>
          <w:p w14:paraId="1DDB1D17"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Sygnia SWIX Index Fund</w:t>
            </w:r>
          </w:p>
        </w:tc>
        <w:tc>
          <w:tcPr>
            <w:tcW w:w="1606" w:type="dxa"/>
          </w:tcPr>
          <w:p w14:paraId="79F7AC48" w14:textId="22132931" w:rsidR="00327BF9" w:rsidRPr="00B81A28" w:rsidRDefault="00E1707F" w:rsidP="004B1D7C">
            <w:pPr>
              <w:tabs>
                <w:tab w:val="left" w:pos="1050"/>
              </w:tabs>
              <w:spacing w:before="40" w:after="40" w:line="280" w:lineRule="atLeast"/>
              <w:jc w:val="center"/>
              <w:rPr>
                <w:rFonts w:ascii="Verdana" w:hAnsi="Verdana"/>
                <w:sz w:val="16"/>
                <w:szCs w:val="16"/>
              </w:rPr>
            </w:pPr>
            <w:r>
              <w:rPr>
                <w:rFonts w:ascii="Verdana" w:hAnsi="Verdana"/>
                <w:sz w:val="16"/>
                <w:szCs w:val="16"/>
              </w:rPr>
              <w:t>2,13%</w:t>
            </w:r>
          </w:p>
        </w:tc>
        <w:tc>
          <w:tcPr>
            <w:tcW w:w="1607" w:type="dxa"/>
          </w:tcPr>
          <w:p w14:paraId="2D993773" w14:textId="3B312BCC"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1,86%</w:t>
            </w:r>
          </w:p>
        </w:tc>
        <w:tc>
          <w:tcPr>
            <w:tcW w:w="1606" w:type="dxa"/>
          </w:tcPr>
          <w:p w14:paraId="69F102D4" w14:textId="26358682"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11,10%</w:t>
            </w:r>
          </w:p>
        </w:tc>
        <w:tc>
          <w:tcPr>
            <w:tcW w:w="1607" w:type="dxa"/>
          </w:tcPr>
          <w:p w14:paraId="5E0666DD" w14:textId="657AAE76" w:rsidR="00327BF9" w:rsidRPr="00B81A28" w:rsidRDefault="00E1707F" w:rsidP="004B1D7C">
            <w:pPr>
              <w:spacing w:before="40" w:after="40" w:line="280" w:lineRule="atLeast"/>
              <w:jc w:val="center"/>
              <w:rPr>
                <w:rFonts w:ascii="Verdana" w:hAnsi="Verdana"/>
                <w:sz w:val="16"/>
                <w:szCs w:val="16"/>
              </w:rPr>
            </w:pPr>
            <w:r>
              <w:rPr>
                <w:rFonts w:ascii="Verdana" w:hAnsi="Verdana"/>
                <w:sz w:val="16"/>
                <w:szCs w:val="16"/>
              </w:rPr>
              <w:t>4,63%</w:t>
            </w:r>
          </w:p>
        </w:tc>
        <w:tc>
          <w:tcPr>
            <w:tcW w:w="1606" w:type="dxa"/>
          </w:tcPr>
          <w:p w14:paraId="36A5230C"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783E5960"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750CCB1F" w14:textId="77777777" w:rsidTr="004B1D7C">
        <w:tc>
          <w:tcPr>
            <w:tcW w:w="14884" w:type="dxa"/>
            <w:gridSpan w:val="7"/>
            <w:shd w:val="clear" w:color="auto" w:fill="7583BD"/>
            <w:vAlign w:val="center"/>
          </w:tcPr>
          <w:p w14:paraId="59A04891" w14:textId="77777777" w:rsidR="00327BF9" w:rsidRPr="00B81A28" w:rsidRDefault="00327BF9" w:rsidP="004B1D7C">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BOND INDEX TRACKING UNIT TRUSTS (Total Return)</w:t>
            </w:r>
          </w:p>
        </w:tc>
      </w:tr>
      <w:tr w:rsidR="00327BF9" w:rsidRPr="00BC54C5" w14:paraId="366551F4" w14:textId="77777777" w:rsidTr="004B1D7C">
        <w:tc>
          <w:tcPr>
            <w:tcW w:w="5245" w:type="dxa"/>
          </w:tcPr>
          <w:p w14:paraId="06D96C69" w14:textId="77777777" w:rsidR="00327BF9" w:rsidRPr="00BC54C5" w:rsidRDefault="00327BF9" w:rsidP="004B1D7C">
            <w:pPr>
              <w:spacing w:before="40" w:after="20" w:line="260" w:lineRule="atLeast"/>
              <w:rPr>
                <w:rFonts w:ascii="Verdana" w:hAnsi="Verdana"/>
                <w:b/>
                <w:sz w:val="16"/>
                <w:szCs w:val="16"/>
              </w:rPr>
            </w:pPr>
            <w:r>
              <w:rPr>
                <w:rFonts w:ascii="Verdana" w:hAnsi="Verdana"/>
                <w:b/>
                <w:sz w:val="16"/>
                <w:szCs w:val="16"/>
              </w:rPr>
              <w:t>All Bond Index</w:t>
            </w:r>
          </w:p>
        </w:tc>
        <w:tc>
          <w:tcPr>
            <w:tcW w:w="1606" w:type="dxa"/>
          </w:tcPr>
          <w:p w14:paraId="5E20AD44" w14:textId="4240E5A6" w:rsidR="00327BF9" w:rsidRPr="00BC54C5" w:rsidRDefault="00DF642B" w:rsidP="004B1D7C">
            <w:pPr>
              <w:tabs>
                <w:tab w:val="left" w:pos="1050"/>
              </w:tabs>
              <w:spacing w:before="40" w:after="20" w:line="260" w:lineRule="atLeast"/>
              <w:jc w:val="center"/>
              <w:rPr>
                <w:rFonts w:ascii="Verdana" w:hAnsi="Verdana"/>
                <w:b/>
                <w:sz w:val="16"/>
                <w:szCs w:val="16"/>
              </w:rPr>
            </w:pPr>
            <w:r>
              <w:rPr>
                <w:rFonts w:ascii="Verdana" w:hAnsi="Verdana"/>
                <w:b/>
                <w:sz w:val="16"/>
                <w:szCs w:val="16"/>
              </w:rPr>
              <w:t>(1,27%)</w:t>
            </w:r>
          </w:p>
        </w:tc>
        <w:tc>
          <w:tcPr>
            <w:tcW w:w="1607" w:type="dxa"/>
          </w:tcPr>
          <w:p w14:paraId="26A40197" w14:textId="6F76E439"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(3,76%)</w:t>
            </w:r>
          </w:p>
        </w:tc>
        <w:tc>
          <w:tcPr>
            <w:tcW w:w="1606" w:type="dxa"/>
          </w:tcPr>
          <w:p w14:paraId="7CDDC94E" w14:textId="15ECB58F"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9,67%</w:t>
            </w:r>
          </w:p>
        </w:tc>
        <w:tc>
          <w:tcPr>
            <w:tcW w:w="1607" w:type="dxa"/>
          </w:tcPr>
          <w:p w14:paraId="6380B22A" w14:textId="075ECC99"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7,92%</w:t>
            </w:r>
          </w:p>
        </w:tc>
        <w:tc>
          <w:tcPr>
            <w:tcW w:w="1606" w:type="dxa"/>
          </w:tcPr>
          <w:p w14:paraId="5B3FE6C6" w14:textId="0D40C069"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7,39%</w:t>
            </w:r>
          </w:p>
        </w:tc>
        <w:tc>
          <w:tcPr>
            <w:tcW w:w="1607" w:type="dxa"/>
            <w:shd w:val="clear" w:color="auto" w:fill="auto"/>
          </w:tcPr>
          <w:p w14:paraId="3D851AE3" w14:textId="7A2034F7"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9,75%</w:t>
            </w:r>
          </w:p>
        </w:tc>
      </w:tr>
      <w:tr w:rsidR="00327BF9" w:rsidRPr="00B81A28" w14:paraId="149DD509" w14:textId="77777777" w:rsidTr="004B1D7C">
        <w:tc>
          <w:tcPr>
            <w:tcW w:w="5245" w:type="dxa"/>
          </w:tcPr>
          <w:p w14:paraId="6805CF29" w14:textId="77777777" w:rsidR="00327BF9" w:rsidRPr="00B81A28" w:rsidRDefault="00327BF9" w:rsidP="004B1D7C">
            <w:pPr>
              <w:spacing w:before="40" w:after="20" w:line="260" w:lineRule="atLeast"/>
              <w:rPr>
                <w:rFonts w:ascii="Verdana" w:hAnsi="Verdana"/>
                <w:sz w:val="16"/>
                <w:szCs w:val="16"/>
              </w:rPr>
            </w:pPr>
            <w:r w:rsidRPr="00B81A28">
              <w:rPr>
                <w:rFonts w:ascii="Verdana" w:hAnsi="Verdana"/>
                <w:sz w:val="16"/>
                <w:szCs w:val="16"/>
              </w:rPr>
              <w:t>Ashburton GOVI Tracker Fund</w:t>
            </w:r>
          </w:p>
        </w:tc>
        <w:tc>
          <w:tcPr>
            <w:tcW w:w="1606" w:type="dxa"/>
          </w:tcPr>
          <w:p w14:paraId="41E949B6" w14:textId="48DB9E62" w:rsidR="00327BF9" w:rsidRPr="00B81A28" w:rsidRDefault="00E1707F" w:rsidP="004B1D7C">
            <w:pPr>
              <w:tabs>
                <w:tab w:val="left" w:pos="1050"/>
              </w:tabs>
              <w:spacing w:before="40" w:after="20" w:line="260" w:lineRule="atLeast"/>
              <w:jc w:val="center"/>
              <w:rPr>
                <w:rFonts w:ascii="Verdana" w:hAnsi="Verdana"/>
                <w:sz w:val="16"/>
                <w:szCs w:val="16"/>
              </w:rPr>
            </w:pPr>
            <w:r>
              <w:rPr>
                <w:rFonts w:ascii="Verdana" w:hAnsi="Verdana"/>
                <w:sz w:val="16"/>
                <w:szCs w:val="16"/>
              </w:rPr>
              <w:t>(1,45%)</w:t>
            </w:r>
          </w:p>
        </w:tc>
        <w:tc>
          <w:tcPr>
            <w:tcW w:w="1607" w:type="dxa"/>
          </w:tcPr>
          <w:p w14:paraId="2DBDA196" w14:textId="14FE989D" w:rsidR="00327BF9" w:rsidRPr="00B81A28" w:rsidRDefault="00E1707F" w:rsidP="004B1D7C">
            <w:pPr>
              <w:spacing w:before="40" w:after="20" w:line="260" w:lineRule="atLeast"/>
              <w:jc w:val="center"/>
              <w:rPr>
                <w:rFonts w:ascii="Verdana" w:hAnsi="Verdana"/>
                <w:sz w:val="16"/>
                <w:szCs w:val="16"/>
              </w:rPr>
            </w:pPr>
            <w:r>
              <w:rPr>
                <w:rFonts w:ascii="Verdana" w:hAnsi="Verdana"/>
                <w:sz w:val="16"/>
                <w:szCs w:val="16"/>
              </w:rPr>
              <w:t>(4,10%)</w:t>
            </w:r>
          </w:p>
        </w:tc>
        <w:tc>
          <w:tcPr>
            <w:tcW w:w="1606" w:type="dxa"/>
          </w:tcPr>
          <w:p w14:paraId="5EECC27E" w14:textId="5DE30284" w:rsidR="00327BF9" w:rsidRPr="00B81A28" w:rsidRDefault="00E1707F" w:rsidP="004B1D7C">
            <w:pPr>
              <w:spacing w:before="40" w:after="20" w:line="260" w:lineRule="atLeast"/>
              <w:jc w:val="center"/>
              <w:rPr>
                <w:rFonts w:ascii="Verdana" w:hAnsi="Verdana"/>
                <w:sz w:val="16"/>
                <w:szCs w:val="16"/>
              </w:rPr>
            </w:pPr>
            <w:r>
              <w:rPr>
                <w:rFonts w:ascii="Verdana" w:hAnsi="Verdana"/>
                <w:sz w:val="16"/>
                <w:szCs w:val="16"/>
              </w:rPr>
              <w:t>8,10%</w:t>
            </w:r>
          </w:p>
        </w:tc>
        <w:tc>
          <w:tcPr>
            <w:tcW w:w="1607" w:type="dxa"/>
          </w:tcPr>
          <w:p w14:paraId="3BEE5528"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c>
          <w:tcPr>
            <w:tcW w:w="1606" w:type="dxa"/>
          </w:tcPr>
          <w:p w14:paraId="4145C343"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2C60B21D"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r>
      <w:tr w:rsidR="00327BF9" w:rsidRPr="00B81A28" w14:paraId="045FB4D2" w14:textId="77777777" w:rsidTr="004B1D7C">
        <w:tc>
          <w:tcPr>
            <w:tcW w:w="5245" w:type="dxa"/>
          </w:tcPr>
          <w:p w14:paraId="06026D3A" w14:textId="77777777" w:rsidR="00327BF9" w:rsidRPr="00B81A28" w:rsidRDefault="00327BF9" w:rsidP="004B1D7C">
            <w:pPr>
              <w:spacing w:before="40" w:after="20" w:line="260" w:lineRule="atLeast"/>
              <w:rPr>
                <w:rFonts w:ascii="Verdana" w:hAnsi="Verdana"/>
                <w:sz w:val="16"/>
                <w:szCs w:val="16"/>
              </w:rPr>
            </w:pPr>
            <w:r w:rsidRPr="00B81A28">
              <w:rPr>
                <w:rFonts w:ascii="Verdana" w:hAnsi="Verdana"/>
                <w:sz w:val="16"/>
                <w:szCs w:val="16"/>
              </w:rPr>
              <w:t>Satrix Bond Index Fund</w:t>
            </w:r>
          </w:p>
        </w:tc>
        <w:tc>
          <w:tcPr>
            <w:tcW w:w="1606" w:type="dxa"/>
          </w:tcPr>
          <w:p w14:paraId="2624EAF7" w14:textId="6A91A346" w:rsidR="00327BF9" w:rsidRPr="00B81A28" w:rsidRDefault="00E1707F" w:rsidP="004B1D7C">
            <w:pPr>
              <w:tabs>
                <w:tab w:val="left" w:pos="1050"/>
              </w:tabs>
              <w:spacing w:before="40" w:after="20" w:line="260" w:lineRule="atLeast"/>
              <w:jc w:val="center"/>
              <w:rPr>
                <w:rFonts w:ascii="Verdana" w:hAnsi="Verdana"/>
                <w:sz w:val="16"/>
                <w:szCs w:val="16"/>
              </w:rPr>
            </w:pPr>
            <w:r>
              <w:rPr>
                <w:rFonts w:ascii="Verdana" w:hAnsi="Verdana"/>
                <w:sz w:val="16"/>
                <w:szCs w:val="16"/>
              </w:rPr>
              <w:t>(1,31%)</w:t>
            </w:r>
          </w:p>
        </w:tc>
        <w:tc>
          <w:tcPr>
            <w:tcW w:w="1607" w:type="dxa"/>
          </w:tcPr>
          <w:p w14:paraId="7156D59A" w14:textId="2FCE4DA8" w:rsidR="00327BF9" w:rsidRPr="00B81A28" w:rsidRDefault="00E1707F" w:rsidP="004B1D7C">
            <w:pPr>
              <w:spacing w:before="40" w:after="20" w:line="260" w:lineRule="atLeast"/>
              <w:jc w:val="center"/>
              <w:rPr>
                <w:rFonts w:ascii="Verdana" w:hAnsi="Verdana"/>
                <w:sz w:val="16"/>
                <w:szCs w:val="16"/>
              </w:rPr>
            </w:pPr>
            <w:r>
              <w:rPr>
                <w:rFonts w:ascii="Verdana" w:hAnsi="Verdana"/>
                <w:sz w:val="16"/>
                <w:szCs w:val="16"/>
              </w:rPr>
              <w:t>(3,88%)</w:t>
            </w:r>
          </w:p>
        </w:tc>
        <w:tc>
          <w:tcPr>
            <w:tcW w:w="1606" w:type="dxa"/>
          </w:tcPr>
          <w:p w14:paraId="2B4D66EA" w14:textId="6E3E9781" w:rsidR="00327BF9" w:rsidRPr="00B81A28" w:rsidRDefault="00E1707F" w:rsidP="004B1D7C">
            <w:pPr>
              <w:spacing w:before="40" w:after="20" w:line="260" w:lineRule="atLeast"/>
              <w:jc w:val="center"/>
              <w:rPr>
                <w:rFonts w:ascii="Verdana" w:hAnsi="Verdana"/>
                <w:sz w:val="16"/>
                <w:szCs w:val="16"/>
              </w:rPr>
            </w:pPr>
            <w:r>
              <w:rPr>
                <w:rFonts w:ascii="Verdana" w:hAnsi="Verdana"/>
                <w:sz w:val="16"/>
                <w:szCs w:val="16"/>
              </w:rPr>
              <w:t>9,23%</w:t>
            </w:r>
          </w:p>
        </w:tc>
        <w:tc>
          <w:tcPr>
            <w:tcW w:w="1607" w:type="dxa"/>
          </w:tcPr>
          <w:p w14:paraId="5371DD1F" w14:textId="26E82CA4" w:rsidR="00327BF9" w:rsidRPr="00B81A28" w:rsidRDefault="00E1707F" w:rsidP="004B1D7C">
            <w:pPr>
              <w:spacing w:before="40" w:after="20" w:line="260" w:lineRule="atLeast"/>
              <w:jc w:val="center"/>
              <w:rPr>
                <w:rFonts w:ascii="Verdana" w:hAnsi="Verdana"/>
                <w:sz w:val="16"/>
                <w:szCs w:val="16"/>
              </w:rPr>
            </w:pPr>
            <w:r>
              <w:rPr>
                <w:rFonts w:ascii="Verdana" w:hAnsi="Verdana"/>
                <w:sz w:val="16"/>
                <w:szCs w:val="16"/>
              </w:rPr>
              <w:t>7,35%</w:t>
            </w:r>
          </w:p>
        </w:tc>
        <w:tc>
          <w:tcPr>
            <w:tcW w:w="1606" w:type="dxa"/>
          </w:tcPr>
          <w:p w14:paraId="523CDE5B"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042B18B6"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r>
      <w:tr w:rsidR="00327BF9" w:rsidRPr="00B81A28" w14:paraId="29844E54" w14:textId="77777777" w:rsidTr="004B1D7C">
        <w:tc>
          <w:tcPr>
            <w:tcW w:w="5245" w:type="dxa"/>
          </w:tcPr>
          <w:p w14:paraId="66A88054" w14:textId="77777777" w:rsidR="00327BF9" w:rsidRPr="00B81A28" w:rsidRDefault="00327BF9" w:rsidP="004B1D7C">
            <w:pPr>
              <w:spacing w:before="40" w:after="20" w:line="260" w:lineRule="atLeast"/>
              <w:rPr>
                <w:rFonts w:ascii="Verdana" w:hAnsi="Verdana"/>
                <w:sz w:val="16"/>
                <w:szCs w:val="16"/>
              </w:rPr>
            </w:pPr>
            <w:r w:rsidRPr="00B81A28">
              <w:rPr>
                <w:rFonts w:ascii="Verdana" w:hAnsi="Verdana"/>
                <w:sz w:val="16"/>
                <w:szCs w:val="16"/>
              </w:rPr>
              <w:t>Stanlib ALBI Tracker Fund</w:t>
            </w:r>
          </w:p>
        </w:tc>
        <w:tc>
          <w:tcPr>
            <w:tcW w:w="1606" w:type="dxa"/>
          </w:tcPr>
          <w:p w14:paraId="694FFE84" w14:textId="72A2AF3B" w:rsidR="00327BF9" w:rsidRPr="00B81A28" w:rsidRDefault="004611DD" w:rsidP="004B1D7C">
            <w:pPr>
              <w:tabs>
                <w:tab w:val="left" w:pos="1050"/>
              </w:tabs>
              <w:spacing w:before="40" w:after="20" w:line="260" w:lineRule="atLeast"/>
              <w:jc w:val="center"/>
              <w:rPr>
                <w:rFonts w:ascii="Verdana" w:hAnsi="Verdana"/>
                <w:sz w:val="16"/>
                <w:szCs w:val="16"/>
              </w:rPr>
            </w:pPr>
            <w:r>
              <w:rPr>
                <w:rFonts w:ascii="Verdana" w:hAnsi="Verdana"/>
                <w:sz w:val="16"/>
                <w:szCs w:val="16"/>
              </w:rPr>
              <w:t>(1,25%)</w:t>
            </w:r>
          </w:p>
        </w:tc>
        <w:tc>
          <w:tcPr>
            <w:tcW w:w="1607" w:type="dxa"/>
          </w:tcPr>
          <w:p w14:paraId="3CE3EC4A" w14:textId="070DA7DB" w:rsidR="00327BF9" w:rsidRPr="00B81A28" w:rsidRDefault="004611DD" w:rsidP="004B1D7C">
            <w:pPr>
              <w:spacing w:before="40" w:after="20" w:line="260" w:lineRule="atLeast"/>
              <w:jc w:val="center"/>
              <w:rPr>
                <w:rFonts w:ascii="Verdana" w:hAnsi="Verdana"/>
                <w:sz w:val="16"/>
                <w:szCs w:val="16"/>
              </w:rPr>
            </w:pPr>
            <w:r>
              <w:rPr>
                <w:rFonts w:ascii="Verdana" w:hAnsi="Verdana"/>
                <w:sz w:val="16"/>
                <w:szCs w:val="16"/>
              </w:rPr>
              <w:t>(4,45%)</w:t>
            </w:r>
          </w:p>
        </w:tc>
        <w:tc>
          <w:tcPr>
            <w:tcW w:w="1606" w:type="dxa"/>
          </w:tcPr>
          <w:p w14:paraId="0EECA0A9" w14:textId="05D79680" w:rsidR="00327BF9" w:rsidRPr="00B81A28" w:rsidRDefault="004611DD" w:rsidP="004B1D7C">
            <w:pPr>
              <w:spacing w:before="40" w:after="20" w:line="260" w:lineRule="atLeast"/>
              <w:jc w:val="center"/>
              <w:rPr>
                <w:rFonts w:ascii="Verdana" w:hAnsi="Verdana"/>
                <w:sz w:val="16"/>
                <w:szCs w:val="16"/>
              </w:rPr>
            </w:pPr>
            <w:r>
              <w:rPr>
                <w:rFonts w:ascii="Verdana" w:hAnsi="Verdana"/>
                <w:sz w:val="16"/>
                <w:szCs w:val="16"/>
              </w:rPr>
              <w:t>8,93%</w:t>
            </w:r>
          </w:p>
        </w:tc>
        <w:tc>
          <w:tcPr>
            <w:tcW w:w="1607" w:type="dxa"/>
          </w:tcPr>
          <w:p w14:paraId="26DC3BB4" w14:textId="47279857" w:rsidR="00327BF9" w:rsidRPr="00B81A28" w:rsidRDefault="004611DD" w:rsidP="004B1D7C">
            <w:pPr>
              <w:spacing w:before="40" w:after="20" w:line="260" w:lineRule="atLeast"/>
              <w:jc w:val="center"/>
              <w:rPr>
                <w:rFonts w:ascii="Verdana" w:hAnsi="Verdana"/>
                <w:sz w:val="16"/>
                <w:szCs w:val="16"/>
              </w:rPr>
            </w:pPr>
            <w:r>
              <w:rPr>
                <w:rFonts w:ascii="Verdana" w:hAnsi="Verdana"/>
                <w:sz w:val="16"/>
                <w:szCs w:val="16"/>
              </w:rPr>
              <w:t>6,97%</w:t>
            </w:r>
          </w:p>
        </w:tc>
        <w:tc>
          <w:tcPr>
            <w:tcW w:w="1606" w:type="dxa"/>
          </w:tcPr>
          <w:p w14:paraId="69EB26BB"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7D39B291"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r>
      <w:tr w:rsidR="00327BF9" w:rsidRPr="00B81A28" w14:paraId="018A36A2" w14:textId="77777777" w:rsidTr="004B1D7C">
        <w:tc>
          <w:tcPr>
            <w:tcW w:w="5245" w:type="dxa"/>
          </w:tcPr>
          <w:p w14:paraId="53BDA47C" w14:textId="77777777" w:rsidR="00327BF9" w:rsidRPr="00B81A28" w:rsidRDefault="00327BF9" w:rsidP="004B1D7C">
            <w:pPr>
              <w:spacing w:before="40" w:after="20" w:line="260" w:lineRule="atLeast"/>
              <w:rPr>
                <w:rFonts w:ascii="Verdana" w:hAnsi="Verdana"/>
                <w:sz w:val="16"/>
                <w:szCs w:val="16"/>
              </w:rPr>
            </w:pPr>
            <w:r w:rsidRPr="00B81A28">
              <w:rPr>
                <w:rFonts w:ascii="Verdana" w:hAnsi="Verdana"/>
                <w:sz w:val="16"/>
                <w:szCs w:val="16"/>
              </w:rPr>
              <w:t>Stanlib Inflation-Linked Bond Tracker Fund</w:t>
            </w:r>
          </w:p>
        </w:tc>
        <w:tc>
          <w:tcPr>
            <w:tcW w:w="1606" w:type="dxa"/>
          </w:tcPr>
          <w:p w14:paraId="2D5C1D30" w14:textId="7BE29748" w:rsidR="00327BF9" w:rsidRPr="00B81A28" w:rsidRDefault="004611DD" w:rsidP="004B1D7C">
            <w:pPr>
              <w:tabs>
                <w:tab w:val="left" w:pos="1050"/>
              </w:tabs>
              <w:spacing w:before="40" w:after="20" w:line="260" w:lineRule="atLeast"/>
              <w:jc w:val="center"/>
              <w:rPr>
                <w:rFonts w:ascii="Verdana" w:hAnsi="Verdana"/>
                <w:sz w:val="16"/>
                <w:szCs w:val="16"/>
              </w:rPr>
            </w:pPr>
            <w:r>
              <w:rPr>
                <w:rFonts w:ascii="Verdana" w:hAnsi="Verdana"/>
                <w:sz w:val="16"/>
                <w:szCs w:val="16"/>
              </w:rPr>
              <w:t>(1,69%)</w:t>
            </w:r>
          </w:p>
        </w:tc>
        <w:tc>
          <w:tcPr>
            <w:tcW w:w="1607" w:type="dxa"/>
          </w:tcPr>
          <w:p w14:paraId="41D882BE" w14:textId="55DD8B1C" w:rsidR="00327BF9" w:rsidRPr="00B81A28" w:rsidRDefault="004611DD" w:rsidP="004B1D7C">
            <w:pPr>
              <w:spacing w:before="40" w:after="20" w:line="260" w:lineRule="atLeast"/>
              <w:jc w:val="center"/>
              <w:rPr>
                <w:rFonts w:ascii="Verdana" w:hAnsi="Verdana"/>
                <w:sz w:val="16"/>
                <w:szCs w:val="16"/>
              </w:rPr>
            </w:pPr>
            <w:r>
              <w:rPr>
                <w:rFonts w:ascii="Verdana" w:hAnsi="Verdana"/>
                <w:sz w:val="16"/>
                <w:szCs w:val="16"/>
              </w:rPr>
              <w:t>(4,76%)</w:t>
            </w:r>
          </w:p>
        </w:tc>
        <w:tc>
          <w:tcPr>
            <w:tcW w:w="1606" w:type="dxa"/>
          </w:tcPr>
          <w:p w14:paraId="2A1C97BB" w14:textId="5AE01295" w:rsidR="00327BF9" w:rsidRPr="00B81A28" w:rsidRDefault="004611DD" w:rsidP="004B1D7C">
            <w:pPr>
              <w:spacing w:before="40" w:after="20" w:line="260" w:lineRule="atLeast"/>
              <w:jc w:val="center"/>
              <w:rPr>
                <w:rFonts w:ascii="Verdana" w:hAnsi="Verdana"/>
                <w:sz w:val="16"/>
                <w:szCs w:val="16"/>
              </w:rPr>
            </w:pPr>
            <w:r>
              <w:rPr>
                <w:rFonts w:ascii="Verdana" w:hAnsi="Verdana"/>
                <w:sz w:val="16"/>
                <w:szCs w:val="16"/>
              </w:rPr>
              <w:t>1,03%</w:t>
            </w:r>
          </w:p>
        </w:tc>
        <w:tc>
          <w:tcPr>
            <w:tcW w:w="1607" w:type="dxa"/>
          </w:tcPr>
          <w:p w14:paraId="25F59935"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c>
          <w:tcPr>
            <w:tcW w:w="1606" w:type="dxa"/>
          </w:tcPr>
          <w:p w14:paraId="5A03498A"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4B291151"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r>
      <w:tr w:rsidR="00327BF9" w:rsidRPr="00B81A28" w14:paraId="11AB874E" w14:textId="77777777" w:rsidTr="004B1D7C">
        <w:tc>
          <w:tcPr>
            <w:tcW w:w="5245" w:type="dxa"/>
          </w:tcPr>
          <w:p w14:paraId="2E5E8F0A" w14:textId="77777777" w:rsidR="00327BF9" w:rsidRPr="00B81A28" w:rsidRDefault="00327BF9" w:rsidP="004B1D7C">
            <w:pPr>
              <w:spacing w:before="40" w:after="20" w:line="260" w:lineRule="atLeast"/>
              <w:rPr>
                <w:rFonts w:ascii="Verdana" w:hAnsi="Verdana"/>
                <w:sz w:val="16"/>
                <w:szCs w:val="16"/>
              </w:rPr>
            </w:pPr>
            <w:r>
              <w:rPr>
                <w:rFonts w:ascii="Verdana" w:hAnsi="Verdana"/>
                <w:sz w:val="16"/>
                <w:szCs w:val="16"/>
              </w:rPr>
              <w:t>Stanlib Global Bond Index Feeder</w:t>
            </w:r>
          </w:p>
        </w:tc>
        <w:tc>
          <w:tcPr>
            <w:tcW w:w="1606" w:type="dxa"/>
          </w:tcPr>
          <w:p w14:paraId="7CA23039" w14:textId="0E0E34B8" w:rsidR="00327BF9" w:rsidRPr="00B81A28" w:rsidRDefault="004611DD" w:rsidP="004B1D7C">
            <w:pPr>
              <w:tabs>
                <w:tab w:val="left" w:pos="1050"/>
              </w:tabs>
              <w:spacing w:before="40" w:after="20" w:line="260" w:lineRule="atLeast"/>
              <w:jc w:val="center"/>
              <w:rPr>
                <w:rFonts w:ascii="Verdana" w:hAnsi="Verdana"/>
                <w:sz w:val="16"/>
                <w:szCs w:val="16"/>
              </w:rPr>
            </w:pPr>
            <w:r>
              <w:rPr>
                <w:rFonts w:ascii="Verdana" w:hAnsi="Verdana"/>
                <w:sz w:val="16"/>
                <w:szCs w:val="16"/>
              </w:rPr>
              <w:t>8,54%</w:t>
            </w:r>
          </w:p>
        </w:tc>
        <w:tc>
          <w:tcPr>
            <w:tcW w:w="1607" w:type="dxa"/>
          </w:tcPr>
          <w:p w14:paraId="7520EBE2"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c>
          <w:tcPr>
            <w:tcW w:w="1606" w:type="dxa"/>
          </w:tcPr>
          <w:p w14:paraId="0B06385D"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c>
          <w:tcPr>
            <w:tcW w:w="1607" w:type="dxa"/>
          </w:tcPr>
          <w:p w14:paraId="08ACF39F"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c>
          <w:tcPr>
            <w:tcW w:w="1606" w:type="dxa"/>
          </w:tcPr>
          <w:p w14:paraId="6E0AD833"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1151AA2"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r>
      <w:tr w:rsidR="00327BF9" w:rsidRPr="00B81A28" w14:paraId="7CC4996A" w14:textId="77777777" w:rsidTr="004B1D7C">
        <w:tc>
          <w:tcPr>
            <w:tcW w:w="5245" w:type="dxa"/>
          </w:tcPr>
          <w:p w14:paraId="7C7275A0" w14:textId="77777777" w:rsidR="00327BF9" w:rsidRPr="00B81A28" w:rsidRDefault="00327BF9" w:rsidP="004B1D7C">
            <w:pPr>
              <w:spacing w:before="40" w:after="20" w:line="260" w:lineRule="atLeast"/>
              <w:rPr>
                <w:rFonts w:ascii="Verdana" w:hAnsi="Verdana"/>
                <w:sz w:val="16"/>
                <w:szCs w:val="16"/>
              </w:rPr>
            </w:pPr>
            <w:r w:rsidRPr="00B81A28">
              <w:rPr>
                <w:rFonts w:ascii="Verdana" w:hAnsi="Verdana"/>
                <w:sz w:val="16"/>
                <w:szCs w:val="16"/>
              </w:rPr>
              <w:t>Sygnia All Bond Index Fund</w:t>
            </w:r>
          </w:p>
        </w:tc>
        <w:tc>
          <w:tcPr>
            <w:tcW w:w="1606" w:type="dxa"/>
          </w:tcPr>
          <w:p w14:paraId="4E178777" w14:textId="131CC550" w:rsidR="00327BF9" w:rsidRPr="00B81A28" w:rsidRDefault="004611DD" w:rsidP="004B1D7C">
            <w:pPr>
              <w:tabs>
                <w:tab w:val="left" w:pos="1050"/>
              </w:tabs>
              <w:spacing w:before="40" w:after="20" w:line="260" w:lineRule="atLeast"/>
              <w:jc w:val="center"/>
              <w:rPr>
                <w:rFonts w:ascii="Verdana" w:hAnsi="Verdana"/>
                <w:sz w:val="16"/>
                <w:szCs w:val="16"/>
              </w:rPr>
            </w:pPr>
            <w:r>
              <w:rPr>
                <w:rFonts w:ascii="Verdana" w:hAnsi="Verdana"/>
                <w:sz w:val="16"/>
                <w:szCs w:val="16"/>
              </w:rPr>
              <w:t>(1,33%)</w:t>
            </w:r>
          </w:p>
        </w:tc>
        <w:tc>
          <w:tcPr>
            <w:tcW w:w="1607" w:type="dxa"/>
          </w:tcPr>
          <w:p w14:paraId="77B4C24F" w14:textId="1FBEF293" w:rsidR="00327BF9" w:rsidRPr="00B81A28" w:rsidRDefault="004611DD" w:rsidP="004B1D7C">
            <w:pPr>
              <w:spacing w:before="40" w:after="20" w:line="260" w:lineRule="atLeast"/>
              <w:jc w:val="center"/>
              <w:rPr>
                <w:rFonts w:ascii="Verdana" w:hAnsi="Verdana"/>
                <w:sz w:val="16"/>
                <w:szCs w:val="16"/>
              </w:rPr>
            </w:pPr>
            <w:r>
              <w:rPr>
                <w:rFonts w:ascii="Verdana" w:hAnsi="Verdana"/>
                <w:sz w:val="16"/>
                <w:szCs w:val="16"/>
              </w:rPr>
              <w:t>(3,94%)</w:t>
            </w:r>
          </w:p>
        </w:tc>
        <w:tc>
          <w:tcPr>
            <w:tcW w:w="1606" w:type="dxa"/>
          </w:tcPr>
          <w:p w14:paraId="6C8F47FC" w14:textId="4698CB92" w:rsidR="00327BF9" w:rsidRPr="00B81A28" w:rsidRDefault="004611DD" w:rsidP="004B1D7C">
            <w:pPr>
              <w:spacing w:before="40" w:after="20" w:line="260" w:lineRule="atLeast"/>
              <w:jc w:val="center"/>
              <w:rPr>
                <w:rFonts w:ascii="Verdana" w:hAnsi="Verdana"/>
                <w:sz w:val="16"/>
                <w:szCs w:val="16"/>
              </w:rPr>
            </w:pPr>
            <w:r>
              <w:rPr>
                <w:rFonts w:ascii="Verdana" w:hAnsi="Verdana"/>
                <w:sz w:val="16"/>
                <w:szCs w:val="16"/>
              </w:rPr>
              <w:t>9,01%</w:t>
            </w:r>
          </w:p>
        </w:tc>
        <w:tc>
          <w:tcPr>
            <w:tcW w:w="1607" w:type="dxa"/>
          </w:tcPr>
          <w:p w14:paraId="4FC96EFB" w14:textId="7D298B6E" w:rsidR="00327BF9" w:rsidRPr="00B81A28" w:rsidRDefault="004611DD" w:rsidP="004B1D7C">
            <w:pPr>
              <w:spacing w:before="40" w:after="20" w:line="260" w:lineRule="atLeast"/>
              <w:jc w:val="center"/>
              <w:rPr>
                <w:rFonts w:ascii="Verdana" w:hAnsi="Verdana"/>
                <w:sz w:val="16"/>
                <w:szCs w:val="16"/>
              </w:rPr>
            </w:pPr>
            <w:r>
              <w:rPr>
                <w:rFonts w:ascii="Verdana" w:hAnsi="Verdana"/>
                <w:sz w:val="16"/>
                <w:szCs w:val="16"/>
              </w:rPr>
              <w:t>7,14%</w:t>
            </w:r>
          </w:p>
        </w:tc>
        <w:tc>
          <w:tcPr>
            <w:tcW w:w="1606" w:type="dxa"/>
          </w:tcPr>
          <w:p w14:paraId="7DB36454"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661CDFDA"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r>
      <w:tr w:rsidR="00327BF9" w:rsidRPr="00FC742B" w14:paraId="0018F7BA" w14:textId="77777777" w:rsidTr="004B1D7C">
        <w:tc>
          <w:tcPr>
            <w:tcW w:w="14884" w:type="dxa"/>
            <w:gridSpan w:val="7"/>
            <w:shd w:val="clear" w:color="auto" w:fill="7583BD"/>
            <w:vAlign w:val="center"/>
          </w:tcPr>
          <w:p w14:paraId="1D3E74F1" w14:textId="77777777" w:rsidR="00327BF9" w:rsidRPr="00FC742B" w:rsidRDefault="00327BF9" w:rsidP="004B1D7C">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PROPERTY INDEX TRACKING UNIT TRUSTS (Total Return)</w:t>
            </w:r>
          </w:p>
        </w:tc>
      </w:tr>
      <w:tr w:rsidR="00327BF9" w:rsidRPr="00BC54C5" w14:paraId="7AADA7AB" w14:textId="77777777" w:rsidTr="004B1D7C">
        <w:tc>
          <w:tcPr>
            <w:tcW w:w="5245" w:type="dxa"/>
          </w:tcPr>
          <w:p w14:paraId="58E45A8F" w14:textId="77777777" w:rsidR="00327BF9" w:rsidRPr="00BC54C5" w:rsidRDefault="00327BF9" w:rsidP="004B1D7C">
            <w:pPr>
              <w:spacing w:before="40" w:after="20" w:line="260" w:lineRule="atLeast"/>
              <w:rPr>
                <w:rFonts w:ascii="Verdana" w:hAnsi="Verdana"/>
                <w:b/>
                <w:sz w:val="16"/>
                <w:szCs w:val="16"/>
              </w:rPr>
            </w:pPr>
            <w:r>
              <w:rPr>
                <w:rFonts w:ascii="Verdana" w:hAnsi="Verdana"/>
                <w:b/>
                <w:sz w:val="16"/>
                <w:szCs w:val="16"/>
              </w:rPr>
              <w:t>FTSE/JSE SA Listed Property Index (SAPY)</w:t>
            </w:r>
          </w:p>
        </w:tc>
        <w:tc>
          <w:tcPr>
            <w:tcW w:w="1606" w:type="dxa"/>
          </w:tcPr>
          <w:p w14:paraId="4B72FE6F" w14:textId="59A70021" w:rsidR="00327BF9" w:rsidRPr="00BC54C5" w:rsidRDefault="00DF642B" w:rsidP="004B1D7C">
            <w:pPr>
              <w:tabs>
                <w:tab w:val="left" w:pos="1050"/>
              </w:tabs>
              <w:spacing w:before="40" w:after="20" w:line="260" w:lineRule="atLeast"/>
              <w:jc w:val="center"/>
              <w:rPr>
                <w:rFonts w:ascii="Verdana" w:hAnsi="Verdana"/>
                <w:b/>
                <w:sz w:val="16"/>
                <w:szCs w:val="16"/>
              </w:rPr>
            </w:pPr>
            <w:r>
              <w:rPr>
                <w:rFonts w:ascii="Verdana" w:hAnsi="Verdana"/>
                <w:b/>
                <w:sz w:val="16"/>
                <w:szCs w:val="16"/>
              </w:rPr>
              <w:t>(2,76%)</w:t>
            </w:r>
          </w:p>
        </w:tc>
        <w:tc>
          <w:tcPr>
            <w:tcW w:w="1607" w:type="dxa"/>
          </w:tcPr>
          <w:p w14:paraId="1597D1AD" w14:textId="7F2193E8"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(2,19%)</w:t>
            </w:r>
          </w:p>
        </w:tc>
        <w:tc>
          <w:tcPr>
            <w:tcW w:w="1606" w:type="dxa"/>
          </w:tcPr>
          <w:p w14:paraId="7C539C28" w14:textId="4CC0C782"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(9,87%)</w:t>
            </w:r>
          </w:p>
        </w:tc>
        <w:tc>
          <w:tcPr>
            <w:tcW w:w="1607" w:type="dxa"/>
          </w:tcPr>
          <w:p w14:paraId="2E9AA138" w14:textId="4FDED054"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1,32%</w:t>
            </w:r>
          </w:p>
        </w:tc>
        <w:tc>
          <w:tcPr>
            <w:tcW w:w="1606" w:type="dxa"/>
          </w:tcPr>
          <w:p w14:paraId="7D27B064" w14:textId="1F71B7DD"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6,71%</w:t>
            </w:r>
          </w:p>
        </w:tc>
        <w:tc>
          <w:tcPr>
            <w:tcW w:w="1607" w:type="dxa"/>
            <w:shd w:val="clear" w:color="auto" w:fill="auto"/>
          </w:tcPr>
          <w:p w14:paraId="76A6DE5E" w14:textId="623E7F9C" w:rsidR="00327BF9" w:rsidRPr="00BC54C5" w:rsidRDefault="00DF642B" w:rsidP="004B1D7C">
            <w:pPr>
              <w:spacing w:before="40" w:after="20" w:line="260" w:lineRule="atLeast"/>
              <w:jc w:val="center"/>
              <w:rPr>
                <w:rFonts w:ascii="Verdana" w:hAnsi="Verdana"/>
                <w:b/>
                <w:sz w:val="16"/>
                <w:szCs w:val="16"/>
              </w:rPr>
            </w:pPr>
            <w:r>
              <w:rPr>
                <w:rFonts w:ascii="Verdana" w:hAnsi="Verdana"/>
                <w:b/>
                <w:sz w:val="16"/>
                <w:szCs w:val="16"/>
              </w:rPr>
              <w:t>16,06%</w:t>
            </w:r>
          </w:p>
        </w:tc>
      </w:tr>
      <w:tr w:rsidR="00327BF9" w:rsidRPr="00B81A28" w14:paraId="57E718CF" w14:textId="77777777" w:rsidTr="004B1D7C">
        <w:tc>
          <w:tcPr>
            <w:tcW w:w="5245" w:type="dxa"/>
          </w:tcPr>
          <w:p w14:paraId="73063E22" w14:textId="77777777" w:rsidR="00327BF9" w:rsidRPr="00B81A28" w:rsidRDefault="00327BF9" w:rsidP="004B1D7C">
            <w:pPr>
              <w:spacing w:before="40" w:after="20" w:line="260" w:lineRule="atLeast"/>
              <w:rPr>
                <w:rFonts w:ascii="Verdana" w:hAnsi="Verdana"/>
                <w:sz w:val="16"/>
                <w:szCs w:val="16"/>
              </w:rPr>
            </w:pPr>
            <w:r w:rsidRPr="00B81A28">
              <w:rPr>
                <w:rFonts w:ascii="Verdana" w:hAnsi="Verdana"/>
                <w:sz w:val="16"/>
                <w:szCs w:val="16"/>
              </w:rPr>
              <w:t>Ashburton Property Tracker Fund</w:t>
            </w:r>
          </w:p>
        </w:tc>
        <w:tc>
          <w:tcPr>
            <w:tcW w:w="1606" w:type="dxa"/>
          </w:tcPr>
          <w:p w14:paraId="518A97A9" w14:textId="0844F7D0" w:rsidR="00327BF9" w:rsidRPr="00B81A28" w:rsidRDefault="00B420C2" w:rsidP="004B1D7C">
            <w:pPr>
              <w:tabs>
                <w:tab w:val="left" w:pos="1050"/>
              </w:tabs>
              <w:spacing w:before="40" w:after="20" w:line="260" w:lineRule="atLeast"/>
              <w:jc w:val="center"/>
              <w:rPr>
                <w:rFonts w:ascii="Verdana" w:hAnsi="Verdana"/>
                <w:sz w:val="16"/>
                <w:szCs w:val="16"/>
              </w:rPr>
            </w:pPr>
            <w:r>
              <w:rPr>
                <w:rFonts w:ascii="Verdana" w:hAnsi="Verdana"/>
                <w:sz w:val="16"/>
                <w:szCs w:val="16"/>
              </w:rPr>
              <w:t>(2,82%)</w:t>
            </w:r>
          </w:p>
        </w:tc>
        <w:tc>
          <w:tcPr>
            <w:tcW w:w="1607" w:type="dxa"/>
          </w:tcPr>
          <w:p w14:paraId="4CE90B3B" w14:textId="7F527AEB"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(2,37%)</w:t>
            </w:r>
          </w:p>
        </w:tc>
        <w:tc>
          <w:tcPr>
            <w:tcW w:w="1606" w:type="dxa"/>
          </w:tcPr>
          <w:p w14:paraId="2360B24C" w14:textId="6E867F6A"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(10,55%)</w:t>
            </w:r>
          </w:p>
        </w:tc>
        <w:tc>
          <w:tcPr>
            <w:tcW w:w="1607" w:type="dxa"/>
          </w:tcPr>
          <w:p w14:paraId="4FA4DB9C"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c>
          <w:tcPr>
            <w:tcW w:w="1606" w:type="dxa"/>
          </w:tcPr>
          <w:p w14:paraId="0289CCE3"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7B85D270"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r>
      <w:tr w:rsidR="00327BF9" w:rsidRPr="00B81A28" w14:paraId="2F18FC29" w14:textId="77777777" w:rsidTr="004B1D7C">
        <w:tc>
          <w:tcPr>
            <w:tcW w:w="5245" w:type="dxa"/>
          </w:tcPr>
          <w:p w14:paraId="57AFB35C" w14:textId="77777777" w:rsidR="00327BF9" w:rsidRPr="00B81A28" w:rsidRDefault="00327BF9" w:rsidP="004B1D7C">
            <w:pPr>
              <w:spacing w:before="40" w:after="20" w:line="260" w:lineRule="atLeast"/>
              <w:rPr>
                <w:rFonts w:ascii="Verdana" w:hAnsi="Verdana"/>
                <w:sz w:val="16"/>
                <w:szCs w:val="16"/>
              </w:rPr>
            </w:pPr>
            <w:r w:rsidRPr="00B81A28">
              <w:rPr>
                <w:rFonts w:ascii="Verdana" w:hAnsi="Verdana"/>
                <w:sz w:val="16"/>
                <w:szCs w:val="16"/>
              </w:rPr>
              <w:t>Satrix Property Index Fund</w:t>
            </w:r>
          </w:p>
        </w:tc>
        <w:tc>
          <w:tcPr>
            <w:tcW w:w="1606" w:type="dxa"/>
          </w:tcPr>
          <w:p w14:paraId="0A80BB6C" w14:textId="6831034B" w:rsidR="00327BF9" w:rsidRPr="00B81A28" w:rsidRDefault="00B420C2" w:rsidP="004B1D7C">
            <w:pPr>
              <w:tabs>
                <w:tab w:val="left" w:pos="1050"/>
              </w:tabs>
              <w:spacing w:before="40" w:after="20" w:line="260" w:lineRule="atLeast"/>
              <w:jc w:val="center"/>
              <w:rPr>
                <w:rFonts w:ascii="Verdana" w:hAnsi="Verdana"/>
                <w:sz w:val="16"/>
                <w:szCs w:val="16"/>
              </w:rPr>
            </w:pPr>
            <w:r>
              <w:rPr>
                <w:rFonts w:ascii="Verdana" w:hAnsi="Verdana"/>
                <w:sz w:val="16"/>
                <w:szCs w:val="16"/>
              </w:rPr>
              <w:t>(2,79%)</w:t>
            </w:r>
          </w:p>
        </w:tc>
        <w:tc>
          <w:tcPr>
            <w:tcW w:w="1607" w:type="dxa"/>
          </w:tcPr>
          <w:p w14:paraId="07A2E066" w14:textId="397EC380"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(2,34%)</w:t>
            </w:r>
          </w:p>
        </w:tc>
        <w:tc>
          <w:tcPr>
            <w:tcW w:w="1606" w:type="dxa"/>
          </w:tcPr>
          <w:p w14:paraId="0E876B72" w14:textId="5CD344D4"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(10,35%)</w:t>
            </w:r>
          </w:p>
        </w:tc>
        <w:tc>
          <w:tcPr>
            <w:tcW w:w="1607" w:type="dxa"/>
          </w:tcPr>
          <w:p w14:paraId="7C31A557" w14:textId="2DA01609"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1,08%</w:t>
            </w:r>
          </w:p>
        </w:tc>
        <w:tc>
          <w:tcPr>
            <w:tcW w:w="1606" w:type="dxa"/>
          </w:tcPr>
          <w:p w14:paraId="17A0EBE6" w14:textId="28011CF4"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6,19%</w:t>
            </w:r>
          </w:p>
        </w:tc>
        <w:tc>
          <w:tcPr>
            <w:tcW w:w="1607" w:type="dxa"/>
            <w:shd w:val="clear" w:color="auto" w:fill="auto"/>
          </w:tcPr>
          <w:p w14:paraId="1386A29C" w14:textId="77777777" w:rsidR="00327BF9" w:rsidRPr="00B81A28" w:rsidRDefault="00327BF9" w:rsidP="004B1D7C">
            <w:pPr>
              <w:spacing w:before="40" w:after="20" w:line="260" w:lineRule="atLeast"/>
              <w:jc w:val="center"/>
              <w:rPr>
                <w:rFonts w:ascii="Verdana" w:hAnsi="Verdana"/>
                <w:sz w:val="16"/>
                <w:szCs w:val="16"/>
              </w:rPr>
            </w:pPr>
          </w:p>
        </w:tc>
      </w:tr>
      <w:tr w:rsidR="00327BF9" w:rsidRPr="00B81A28" w14:paraId="46BA7697" w14:textId="77777777" w:rsidTr="004B1D7C">
        <w:tc>
          <w:tcPr>
            <w:tcW w:w="5245" w:type="dxa"/>
          </w:tcPr>
          <w:p w14:paraId="6C8E814A" w14:textId="77777777" w:rsidR="00327BF9" w:rsidRPr="00B81A28" w:rsidRDefault="00327BF9" w:rsidP="004B1D7C">
            <w:pPr>
              <w:spacing w:before="40" w:after="20" w:line="260" w:lineRule="atLeast"/>
              <w:rPr>
                <w:rFonts w:ascii="Verdana" w:hAnsi="Verdana"/>
                <w:sz w:val="16"/>
                <w:szCs w:val="16"/>
              </w:rPr>
            </w:pPr>
            <w:r w:rsidRPr="00B81A28">
              <w:rPr>
                <w:rFonts w:ascii="Verdana" w:hAnsi="Verdana"/>
                <w:sz w:val="16"/>
                <w:szCs w:val="16"/>
              </w:rPr>
              <w:t>Prudential Enhanced SA Property Tracker Fund</w:t>
            </w:r>
          </w:p>
        </w:tc>
        <w:tc>
          <w:tcPr>
            <w:tcW w:w="1606" w:type="dxa"/>
          </w:tcPr>
          <w:p w14:paraId="3202F044" w14:textId="731D1B72" w:rsidR="00327BF9" w:rsidRPr="00B81A28" w:rsidRDefault="00B420C2" w:rsidP="004B1D7C">
            <w:pPr>
              <w:tabs>
                <w:tab w:val="left" w:pos="1050"/>
              </w:tabs>
              <w:spacing w:before="40" w:after="20" w:line="260" w:lineRule="atLeast"/>
              <w:jc w:val="center"/>
              <w:rPr>
                <w:rFonts w:ascii="Verdana" w:hAnsi="Verdana"/>
                <w:sz w:val="16"/>
                <w:szCs w:val="16"/>
              </w:rPr>
            </w:pPr>
            <w:r>
              <w:rPr>
                <w:rFonts w:ascii="Verdana" w:hAnsi="Verdana"/>
                <w:sz w:val="16"/>
                <w:szCs w:val="16"/>
              </w:rPr>
              <w:t>(2,59%)</w:t>
            </w:r>
          </w:p>
        </w:tc>
        <w:tc>
          <w:tcPr>
            <w:tcW w:w="1607" w:type="dxa"/>
          </w:tcPr>
          <w:p w14:paraId="35C82843" w14:textId="1F73F406"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(2,53%)</w:t>
            </w:r>
          </w:p>
        </w:tc>
        <w:tc>
          <w:tcPr>
            <w:tcW w:w="1606" w:type="dxa"/>
          </w:tcPr>
          <w:p w14:paraId="5ABD57B9" w14:textId="737BEA62"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(11,06%)</w:t>
            </w:r>
          </w:p>
        </w:tc>
        <w:tc>
          <w:tcPr>
            <w:tcW w:w="1607" w:type="dxa"/>
          </w:tcPr>
          <w:p w14:paraId="2CDB35B1" w14:textId="5E2EBC1D"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1,49%</w:t>
            </w:r>
          </w:p>
        </w:tc>
        <w:tc>
          <w:tcPr>
            <w:tcW w:w="1606" w:type="dxa"/>
          </w:tcPr>
          <w:p w14:paraId="70A786D6" w14:textId="3D91377E"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6,96%</w:t>
            </w:r>
          </w:p>
        </w:tc>
        <w:tc>
          <w:tcPr>
            <w:tcW w:w="1607" w:type="dxa"/>
            <w:shd w:val="clear" w:color="auto" w:fill="auto"/>
          </w:tcPr>
          <w:p w14:paraId="65ECC124" w14:textId="210FD12C"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15,99%</w:t>
            </w:r>
          </w:p>
        </w:tc>
      </w:tr>
      <w:tr w:rsidR="00327BF9" w:rsidRPr="00B81A28" w14:paraId="40B96564" w14:textId="77777777" w:rsidTr="004B1D7C">
        <w:tc>
          <w:tcPr>
            <w:tcW w:w="5245" w:type="dxa"/>
          </w:tcPr>
          <w:p w14:paraId="7A646A00" w14:textId="77777777" w:rsidR="00327BF9" w:rsidRPr="00B81A28" w:rsidRDefault="00327BF9" w:rsidP="004B1D7C">
            <w:pPr>
              <w:spacing w:before="40" w:after="20" w:line="260" w:lineRule="atLeast"/>
              <w:rPr>
                <w:rFonts w:ascii="Verdana" w:hAnsi="Verdana"/>
                <w:sz w:val="16"/>
                <w:szCs w:val="16"/>
              </w:rPr>
            </w:pPr>
            <w:r>
              <w:rPr>
                <w:rFonts w:ascii="Verdana" w:hAnsi="Verdana"/>
                <w:sz w:val="16"/>
                <w:szCs w:val="16"/>
              </w:rPr>
              <w:t>Stanlib Global REIT Index Feeder Fund</w:t>
            </w:r>
          </w:p>
        </w:tc>
        <w:tc>
          <w:tcPr>
            <w:tcW w:w="1606" w:type="dxa"/>
          </w:tcPr>
          <w:p w14:paraId="79437875" w14:textId="70C23952" w:rsidR="00327BF9" w:rsidRPr="00B81A28" w:rsidRDefault="00B420C2" w:rsidP="004B1D7C">
            <w:pPr>
              <w:tabs>
                <w:tab w:val="left" w:pos="1050"/>
              </w:tabs>
              <w:spacing w:before="40" w:after="20" w:line="260" w:lineRule="atLeast"/>
              <w:jc w:val="center"/>
              <w:rPr>
                <w:rFonts w:ascii="Verdana" w:hAnsi="Verdana"/>
                <w:sz w:val="16"/>
                <w:szCs w:val="16"/>
              </w:rPr>
            </w:pPr>
            <w:r>
              <w:rPr>
                <w:rFonts w:ascii="Verdana" w:hAnsi="Verdana"/>
                <w:sz w:val="16"/>
                <w:szCs w:val="16"/>
              </w:rPr>
              <w:t>11,81%</w:t>
            </w:r>
          </w:p>
        </w:tc>
        <w:tc>
          <w:tcPr>
            <w:tcW w:w="1607" w:type="dxa"/>
          </w:tcPr>
          <w:p w14:paraId="2C712774"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c>
          <w:tcPr>
            <w:tcW w:w="1606" w:type="dxa"/>
          </w:tcPr>
          <w:p w14:paraId="0C0345DD"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c>
          <w:tcPr>
            <w:tcW w:w="1607" w:type="dxa"/>
          </w:tcPr>
          <w:p w14:paraId="749BF604"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c>
          <w:tcPr>
            <w:tcW w:w="1606" w:type="dxa"/>
          </w:tcPr>
          <w:p w14:paraId="1E39E347"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2DD0DCF5" w14:textId="77777777" w:rsidR="00327BF9" w:rsidRPr="00B81A28" w:rsidRDefault="00327BF9" w:rsidP="004B1D7C">
            <w:pPr>
              <w:spacing w:before="40" w:after="20" w:line="260" w:lineRule="atLeast"/>
              <w:jc w:val="center"/>
              <w:rPr>
                <w:rFonts w:ascii="Verdana" w:hAnsi="Verdana"/>
                <w:sz w:val="16"/>
                <w:szCs w:val="16"/>
              </w:rPr>
            </w:pPr>
            <w:r>
              <w:rPr>
                <w:rFonts w:ascii="Verdana" w:hAnsi="Verdana"/>
                <w:sz w:val="16"/>
                <w:szCs w:val="16"/>
              </w:rPr>
              <w:t>-</w:t>
            </w:r>
          </w:p>
        </w:tc>
      </w:tr>
      <w:tr w:rsidR="00327BF9" w:rsidRPr="00B81A28" w14:paraId="51A0DAD2" w14:textId="77777777" w:rsidTr="004B1D7C">
        <w:tc>
          <w:tcPr>
            <w:tcW w:w="5245" w:type="dxa"/>
          </w:tcPr>
          <w:p w14:paraId="2373849F" w14:textId="77777777" w:rsidR="00327BF9" w:rsidRPr="00B81A28" w:rsidRDefault="00327BF9" w:rsidP="004B1D7C">
            <w:pPr>
              <w:spacing w:before="40" w:after="20" w:line="260" w:lineRule="atLeast"/>
              <w:rPr>
                <w:rFonts w:ascii="Verdana" w:hAnsi="Verdana"/>
                <w:sz w:val="16"/>
                <w:szCs w:val="16"/>
              </w:rPr>
            </w:pPr>
            <w:r w:rsidRPr="00B81A28">
              <w:rPr>
                <w:rFonts w:ascii="Verdana" w:hAnsi="Verdana"/>
                <w:sz w:val="16"/>
                <w:szCs w:val="16"/>
              </w:rPr>
              <w:t>Sygnia Listed Property Index Fund</w:t>
            </w:r>
          </w:p>
        </w:tc>
        <w:tc>
          <w:tcPr>
            <w:tcW w:w="1606" w:type="dxa"/>
          </w:tcPr>
          <w:p w14:paraId="21B392B1" w14:textId="2DDD81E5" w:rsidR="00327BF9" w:rsidRPr="00B81A28" w:rsidRDefault="00B420C2" w:rsidP="004B1D7C">
            <w:pPr>
              <w:tabs>
                <w:tab w:val="left" w:pos="1050"/>
              </w:tabs>
              <w:spacing w:before="40" w:after="20" w:line="260" w:lineRule="atLeast"/>
              <w:jc w:val="center"/>
              <w:rPr>
                <w:rFonts w:ascii="Verdana" w:hAnsi="Verdana"/>
                <w:sz w:val="16"/>
                <w:szCs w:val="16"/>
              </w:rPr>
            </w:pPr>
            <w:r>
              <w:rPr>
                <w:rFonts w:ascii="Verdana" w:hAnsi="Verdana"/>
                <w:sz w:val="16"/>
                <w:szCs w:val="16"/>
              </w:rPr>
              <w:t>(3,06%)</w:t>
            </w:r>
          </w:p>
        </w:tc>
        <w:tc>
          <w:tcPr>
            <w:tcW w:w="1607" w:type="dxa"/>
          </w:tcPr>
          <w:p w14:paraId="010F5C5B" w14:textId="7EC6B4EA"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(2,33%)</w:t>
            </w:r>
          </w:p>
        </w:tc>
        <w:tc>
          <w:tcPr>
            <w:tcW w:w="1606" w:type="dxa"/>
          </w:tcPr>
          <w:p w14:paraId="4556D08C" w14:textId="518D78E1"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(10,56%)</w:t>
            </w:r>
          </w:p>
        </w:tc>
        <w:tc>
          <w:tcPr>
            <w:tcW w:w="1607" w:type="dxa"/>
          </w:tcPr>
          <w:p w14:paraId="2E8B5B43" w14:textId="50FEAD17"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1,18%</w:t>
            </w:r>
          </w:p>
        </w:tc>
        <w:tc>
          <w:tcPr>
            <w:tcW w:w="1606" w:type="dxa"/>
          </w:tcPr>
          <w:p w14:paraId="3338D476" w14:textId="0954617C" w:rsidR="00327BF9" w:rsidRPr="00B81A28" w:rsidRDefault="00B420C2" w:rsidP="004B1D7C">
            <w:pPr>
              <w:spacing w:before="40" w:after="20" w:line="260" w:lineRule="atLeast"/>
              <w:jc w:val="center"/>
              <w:rPr>
                <w:rFonts w:ascii="Verdana" w:hAnsi="Verdana"/>
                <w:sz w:val="16"/>
                <w:szCs w:val="16"/>
              </w:rPr>
            </w:pPr>
            <w:r>
              <w:rPr>
                <w:rFonts w:ascii="Verdana" w:hAnsi="Verdana"/>
                <w:sz w:val="16"/>
                <w:szCs w:val="16"/>
              </w:rPr>
              <w:t>6,28%</w:t>
            </w:r>
          </w:p>
        </w:tc>
        <w:tc>
          <w:tcPr>
            <w:tcW w:w="1607" w:type="dxa"/>
            <w:shd w:val="clear" w:color="auto" w:fill="auto"/>
          </w:tcPr>
          <w:p w14:paraId="263B7269" w14:textId="77777777" w:rsidR="00327BF9" w:rsidRPr="00B81A28" w:rsidRDefault="00327BF9" w:rsidP="004B1D7C">
            <w:pPr>
              <w:spacing w:before="40" w:after="20" w:line="260" w:lineRule="atLeast"/>
              <w:jc w:val="center"/>
              <w:rPr>
                <w:rFonts w:ascii="Verdana" w:hAnsi="Verdana"/>
                <w:sz w:val="16"/>
                <w:szCs w:val="16"/>
              </w:rPr>
            </w:pPr>
            <w:r w:rsidRPr="00B81A28">
              <w:rPr>
                <w:rFonts w:ascii="Verdana" w:hAnsi="Verdana"/>
                <w:sz w:val="16"/>
                <w:szCs w:val="16"/>
              </w:rPr>
              <w:t>-</w:t>
            </w:r>
          </w:p>
        </w:tc>
      </w:tr>
    </w:tbl>
    <w:p w14:paraId="22F7785E" w14:textId="77777777" w:rsidR="00327BF9" w:rsidRDefault="00327BF9" w:rsidP="00327BF9">
      <w:pPr>
        <w:spacing w:after="160" w:line="259" w:lineRule="auto"/>
      </w:pPr>
      <w:r>
        <w:br w:type="page"/>
      </w:r>
    </w:p>
    <w:p w14:paraId="0AD16BF8" w14:textId="77777777" w:rsidR="00327BF9" w:rsidRPr="00B81A28" w:rsidRDefault="00327BF9" w:rsidP="00327BF9">
      <w:pPr>
        <w:spacing w:after="0" w:line="240" w:lineRule="auto"/>
        <w:rPr>
          <w:rFonts w:ascii="Verdana" w:hAnsi="Verdana"/>
          <w:sz w:val="15"/>
          <w:szCs w:val="15"/>
        </w:rPr>
      </w:pPr>
    </w:p>
    <w:p w14:paraId="1F27B6F4" w14:textId="77777777" w:rsidR="00327BF9" w:rsidRPr="00B81A28" w:rsidRDefault="00327BF9" w:rsidP="00327BF9">
      <w:pPr>
        <w:spacing w:after="0" w:line="240" w:lineRule="auto"/>
        <w:rPr>
          <w:rFonts w:ascii="Verdana" w:hAnsi="Verdana"/>
          <w:sz w:val="16"/>
          <w:szCs w:val="16"/>
        </w:rPr>
      </w:pPr>
      <w:r w:rsidRPr="00B81A28">
        <w:rPr>
          <w:rFonts w:ascii="Verdana" w:hAnsi="Verdana"/>
          <w:noProof/>
          <w:lang w:eastAsia="en-ZA"/>
        </w:rPr>
        <w:drawing>
          <wp:inline distT="0" distB="0" distL="0" distR="0" wp14:anchorId="347E5CC1" wp14:editId="6EB91F38">
            <wp:extent cx="3057525" cy="642486"/>
            <wp:effectExtent l="0" t="0" r="0" b="5715"/>
            <wp:docPr id="2" name="Picture 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327BF9" w:rsidRPr="00B81A28" w14:paraId="4A407B3E" w14:textId="77777777" w:rsidTr="004B1D7C">
        <w:tc>
          <w:tcPr>
            <w:tcW w:w="14884" w:type="dxa"/>
            <w:gridSpan w:val="7"/>
            <w:shd w:val="clear" w:color="auto" w:fill="CB2229"/>
            <w:vAlign w:val="center"/>
          </w:tcPr>
          <w:p w14:paraId="51A26869" w14:textId="77777777" w:rsidR="00327BF9" w:rsidRPr="00B81A28" w:rsidRDefault="00327BF9" w:rsidP="004B1D7C">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E8C5FB5" w14:textId="77777777" w:rsidR="00327BF9" w:rsidRPr="00B81A28" w:rsidRDefault="00327BF9" w:rsidP="004B1D7C">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r>
              <w:rPr>
                <w:rFonts w:ascii="Verdana" w:hAnsi="Verdana"/>
                <w:b/>
                <w:color w:val="FFFFFF"/>
                <w:sz w:val="20"/>
                <w:szCs w:val="20"/>
              </w:rPr>
              <w:t xml:space="preserve">   </w:t>
            </w:r>
            <w:r w:rsidRPr="00B81A28">
              <w:rPr>
                <w:rFonts w:ascii="Verdana" w:hAnsi="Verdana"/>
                <w:b/>
                <w:color w:val="FFFFFF"/>
                <w:sz w:val="20"/>
                <w:szCs w:val="20"/>
              </w:rPr>
              <w:t>(Total Returns – dividends reinvested)</w:t>
            </w:r>
          </w:p>
        </w:tc>
      </w:tr>
      <w:tr w:rsidR="00327BF9" w:rsidRPr="00B81A28" w14:paraId="194AE666" w14:textId="77777777" w:rsidTr="004B1D7C">
        <w:tc>
          <w:tcPr>
            <w:tcW w:w="5245" w:type="dxa"/>
            <w:shd w:val="clear" w:color="auto" w:fill="4C4C4C"/>
          </w:tcPr>
          <w:p w14:paraId="26C4E738" w14:textId="77777777" w:rsidR="00327BF9" w:rsidRPr="0067766B" w:rsidRDefault="00327BF9" w:rsidP="004B1D7C">
            <w:pPr>
              <w:spacing w:before="40" w:after="20" w:line="26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6AE7262F" w14:textId="77777777" w:rsidR="00327BF9" w:rsidRPr="00B81A28" w:rsidRDefault="00327BF9" w:rsidP="004B1D7C">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40B0C6EB" w14:textId="77777777" w:rsidR="00327BF9" w:rsidRPr="00B81A28" w:rsidRDefault="00327BF9" w:rsidP="004B1D7C">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58CC0A4C" w14:textId="77777777" w:rsidR="00327BF9" w:rsidRPr="00B81A28" w:rsidRDefault="00327BF9" w:rsidP="004B1D7C">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26B3F927" w14:textId="77777777" w:rsidR="00327BF9" w:rsidRPr="00B81A28" w:rsidRDefault="00327BF9" w:rsidP="004B1D7C">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616A0417" w14:textId="77777777" w:rsidR="00327BF9" w:rsidRPr="00B81A28" w:rsidRDefault="00327BF9" w:rsidP="004B1D7C">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3B2BC5AA" w14:textId="77777777" w:rsidR="00327BF9" w:rsidRPr="00B81A28" w:rsidRDefault="00327BF9" w:rsidP="004B1D7C">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4FEC2BCB" w14:textId="77777777" w:rsidTr="004B1D7C">
        <w:tc>
          <w:tcPr>
            <w:tcW w:w="5245" w:type="dxa"/>
            <w:shd w:val="clear" w:color="auto" w:fill="7583BD"/>
          </w:tcPr>
          <w:p w14:paraId="69759026" w14:textId="77777777" w:rsidR="00327BF9" w:rsidRPr="00B81A28" w:rsidRDefault="00327BF9" w:rsidP="004B1D7C">
            <w:pPr>
              <w:spacing w:before="40" w:after="40" w:line="280" w:lineRule="atLeast"/>
              <w:rPr>
                <w:rFonts w:ascii="Verdana" w:hAnsi="Verdana"/>
                <w:sz w:val="16"/>
                <w:szCs w:val="16"/>
              </w:rPr>
            </w:pPr>
            <w:r>
              <w:rPr>
                <w:rFonts w:ascii="Verdana" w:hAnsi="Verdana"/>
                <w:b/>
                <w:color w:val="FFFFFF" w:themeColor="background1"/>
                <w:sz w:val="16"/>
                <w:szCs w:val="16"/>
              </w:rPr>
              <w:t>FTSE/JSE ALL SHARE INDEX (Total Return)</w:t>
            </w:r>
          </w:p>
        </w:tc>
        <w:tc>
          <w:tcPr>
            <w:tcW w:w="1606" w:type="dxa"/>
            <w:shd w:val="clear" w:color="auto" w:fill="7583BD"/>
          </w:tcPr>
          <w:p w14:paraId="5E27EB61" w14:textId="3F442D1B" w:rsidR="00327BF9" w:rsidRPr="00075E62" w:rsidRDefault="00DE0550" w:rsidP="004B1D7C">
            <w:pPr>
              <w:tabs>
                <w:tab w:val="left" w:pos="1050"/>
              </w:tabs>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3,20%</w:t>
            </w:r>
          </w:p>
        </w:tc>
        <w:tc>
          <w:tcPr>
            <w:tcW w:w="1607" w:type="dxa"/>
            <w:shd w:val="clear" w:color="auto" w:fill="7583BD"/>
          </w:tcPr>
          <w:p w14:paraId="3C7DBF75" w14:textId="12F86759" w:rsidR="00327BF9" w:rsidRPr="00075E62" w:rsidRDefault="00DE0550"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4,54%</w:t>
            </w:r>
          </w:p>
        </w:tc>
        <w:tc>
          <w:tcPr>
            <w:tcW w:w="1606" w:type="dxa"/>
            <w:shd w:val="clear" w:color="auto" w:fill="7583BD"/>
          </w:tcPr>
          <w:p w14:paraId="3F26AF77" w14:textId="52D86E94" w:rsidR="00327BF9" w:rsidRPr="00075E62" w:rsidRDefault="00DE0550"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15,59%</w:t>
            </w:r>
          </w:p>
        </w:tc>
        <w:tc>
          <w:tcPr>
            <w:tcW w:w="1607" w:type="dxa"/>
            <w:shd w:val="clear" w:color="auto" w:fill="7583BD"/>
          </w:tcPr>
          <w:p w14:paraId="4A263867" w14:textId="410D5F4F" w:rsidR="00327BF9" w:rsidRPr="00075E62" w:rsidRDefault="00DE0550"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6,56%</w:t>
            </w:r>
          </w:p>
        </w:tc>
        <w:tc>
          <w:tcPr>
            <w:tcW w:w="1606" w:type="dxa"/>
            <w:shd w:val="clear" w:color="auto" w:fill="7583BD"/>
          </w:tcPr>
          <w:p w14:paraId="374EAEE5" w14:textId="651C9DE5" w:rsidR="00327BF9" w:rsidRPr="00075E62" w:rsidRDefault="00DE0550"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11,05%</w:t>
            </w:r>
          </w:p>
        </w:tc>
        <w:tc>
          <w:tcPr>
            <w:tcW w:w="1607" w:type="dxa"/>
            <w:shd w:val="clear" w:color="auto" w:fill="7583BD"/>
          </w:tcPr>
          <w:p w14:paraId="60985B1C" w14:textId="7FAE33F5" w:rsidR="00327BF9" w:rsidRPr="00075E62" w:rsidRDefault="00DE0550" w:rsidP="004B1D7C">
            <w:pPr>
              <w:spacing w:before="40" w:after="40" w:line="280" w:lineRule="atLeast"/>
              <w:jc w:val="center"/>
              <w:rPr>
                <w:rFonts w:ascii="Verdana" w:hAnsi="Verdana"/>
                <w:b/>
                <w:color w:val="FFFFFF" w:themeColor="background1"/>
                <w:sz w:val="16"/>
                <w:szCs w:val="16"/>
              </w:rPr>
            </w:pPr>
            <w:r>
              <w:rPr>
                <w:rFonts w:ascii="Verdana" w:hAnsi="Verdana"/>
                <w:b/>
                <w:color w:val="FFFFFF" w:themeColor="background1"/>
                <w:sz w:val="16"/>
                <w:szCs w:val="16"/>
              </w:rPr>
              <w:t>9,82%</w:t>
            </w:r>
          </w:p>
        </w:tc>
      </w:tr>
      <w:tr w:rsidR="00327BF9" w:rsidRPr="00B81A28" w14:paraId="7AA65C05" w14:textId="77777777" w:rsidTr="004B1D7C">
        <w:tc>
          <w:tcPr>
            <w:tcW w:w="5245" w:type="dxa"/>
          </w:tcPr>
          <w:p w14:paraId="3258F6CB"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Gryphon All Share Tracker Fund</w:t>
            </w:r>
          </w:p>
        </w:tc>
        <w:tc>
          <w:tcPr>
            <w:tcW w:w="1606" w:type="dxa"/>
          </w:tcPr>
          <w:p w14:paraId="1A00A0BE" w14:textId="4D04B6EB" w:rsidR="00327BF9" w:rsidRPr="00B81A28" w:rsidRDefault="003F104F" w:rsidP="004B1D7C">
            <w:pPr>
              <w:tabs>
                <w:tab w:val="left" w:pos="1050"/>
              </w:tabs>
              <w:spacing w:before="40" w:after="40" w:line="280" w:lineRule="atLeast"/>
              <w:jc w:val="center"/>
              <w:rPr>
                <w:rFonts w:ascii="Verdana" w:hAnsi="Verdana"/>
                <w:sz w:val="16"/>
                <w:szCs w:val="16"/>
              </w:rPr>
            </w:pPr>
            <w:r>
              <w:rPr>
                <w:rFonts w:ascii="Verdana" w:hAnsi="Verdana"/>
                <w:sz w:val="16"/>
                <w:szCs w:val="16"/>
              </w:rPr>
              <w:t>2,92%</w:t>
            </w:r>
          </w:p>
        </w:tc>
        <w:tc>
          <w:tcPr>
            <w:tcW w:w="1607" w:type="dxa"/>
          </w:tcPr>
          <w:p w14:paraId="25234815" w14:textId="6DD6B56C"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5,08%</w:t>
            </w:r>
          </w:p>
        </w:tc>
        <w:tc>
          <w:tcPr>
            <w:tcW w:w="1606" w:type="dxa"/>
          </w:tcPr>
          <w:p w14:paraId="559103CD" w14:textId="79293C20"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16,22%</w:t>
            </w:r>
          </w:p>
        </w:tc>
        <w:tc>
          <w:tcPr>
            <w:tcW w:w="1607" w:type="dxa"/>
          </w:tcPr>
          <w:p w14:paraId="374BB5D3" w14:textId="6298178D"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6,54%</w:t>
            </w:r>
          </w:p>
        </w:tc>
        <w:tc>
          <w:tcPr>
            <w:tcW w:w="1606" w:type="dxa"/>
          </w:tcPr>
          <w:p w14:paraId="6E8B3E22" w14:textId="5A9774F7"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10,89%</w:t>
            </w:r>
          </w:p>
        </w:tc>
        <w:tc>
          <w:tcPr>
            <w:tcW w:w="1607" w:type="dxa"/>
            <w:shd w:val="clear" w:color="auto" w:fill="auto"/>
          </w:tcPr>
          <w:p w14:paraId="6EDBA06D" w14:textId="61B729CF"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9,49%</w:t>
            </w:r>
          </w:p>
        </w:tc>
      </w:tr>
      <w:tr w:rsidR="00327BF9" w:rsidRPr="00B81A28" w14:paraId="5800C52D" w14:textId="77777777" w:rsidTr="004B1D7C">
        <w:tc>
          <w:tcPr>
            <w:tcW w:w="5245" w:type="dxa"/>
          </w:tcPr>
          <w:p w14:paraId="5B2537B5"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Stanlib Index Fund</w:t>
            </w:r>
          </w:p>
        </w:tc>
        <w:tc>
          <w:tcPr>
            <w:tcW w:w="1606" w:type="dxa"/>
          </w:tcPr>
          <w:p w14:paraId="3DD6F964" w14:textId="0AF0C7CD" w:rsidR="00327BF9" w:rsidRPr="00B81A28" w:rsidRDefault="003F104F" w:rsidP="004B1D7C">
            <w:pPr>
              <w:tabs>
                <w:tab w:val="left" w:pos="1050"/>
              </w:tabs>
              <w:spacing w:before="40" w:after="40" w:line="280" w:lineRule="atLeast"/>
              <w:jc w:val="center"/>
              <w:rPr>
                <w:rFonts w:ascii="Verdana" w:hAnsi="Verdana"/>
                <w:sz w:val="16"/>
                <w:szCs w:val="16"/>
              </w:rPr>
            </w:pPr>
            <w:r>
              <w:rPr>
                <w:rFonts w:ascii="Verdana" w:hAnsi="Verdana"/>
                <w:sz w:val="16"/>
                <w:szCs w:val="16"/>
              </w:rPr>
              <w:t>2,79%</w:t>
            </w:r>
          </w:p>
        </w:tc>
        <w:tc>
          <w:tcPr>
            <w:tcW w:w="1607" w:type="dxa"/>
          </w:tcPr>
          <w:p w14:paraId="7B2A349C" w14:textId="13EC9879"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2,89%</w:t>
            </w:r>
          </w:p>
        </w:tc>
        <w:tc>
          <w:tcPr>
            <w:tcW w:w="1606" w:type="dxa"/>
          </w:tcPr>
          <w:p w14:paraId="1D314939" w14:textId="71600364"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11,74%</w:t>
            </w:r>
          </w:p>
        </w:tc>
        <w:tc>
          <w:tcPr>
            <w:tcW w:w="1607" w:type="dxa"/>
          </w:tcPr>
          <w:p w14:paraId="06D2CFA0" w14:textId="410D1F90"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4,22%</w:t>
            </w:r>
          </w:p>
        </w:tc>
        <w:tc>
          <w:tcPr>
            <w:tcW w:w="1606" w:type="dxa"/>
          </w:tcPr>
          <w:p w14:paraId="6073DE47" w14:textId="3EC13A73"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9,44%</w:t>
            </w:r>
          </w:p>
        </w:tc>
        <w:tc>
          <w:tcPr>
            <w:tcW w:w="1607" w:type="dxa"/>
            <w:shd w:val="clear" w:color="auto" w:fill="auto"/>
          </w:tcPr>
          <w:p w14:paraId="582329A0" w14:textId="00A90ACF"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8,47%</w:t>
            </w:r>
          </w:p>
        </w:tc>
      </w:tr>
      <w:tr w:rsidR="00327BF9" w:rsidRPr="00B81A28" w14:paraId="1530BFD6" w14:textId="77777777" w:rsidTr="004B1D7C">
        <w:tc>
          <w:tcPr>
            <w:tcW w:w="5245" w:type="dxa"/>
          </w:tcPr>
          <w:p w14:paraId="30993853"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Satrix ALSI Index Fund</w:t>
            </w:r>
          </w:p>
        </w:tc>
        <w:tc>
          <w:tcPr>
            <w:tcW w:w="1606" w:type="dxa"/>
          </w:tcPr>
          <w:p w14:paraId="01128DFD" w14:textId="5B38E45F" w:rsidR="00327BF9" w:rsidRPr="00B81A28" w:rsidRDefault="003F104F" w:rsidP="004B1D7C">
            <w:pPr>
              <w:tabs>
                <w:tab w:val="left" w:pos="1050"/>
              </w:tabs>
              <w:spacing w:before="40" w:after="40" w:line="280" w:lineRule="atLeast"/>
              <w:jc w:val="center"/>
              <w:rPr>
                <w:rFonts w:ascii="Verdana" w:hAnsi="Verdana"/>
                <w:sz w:val="16"/>
                <w:szCs w:val="16"/>
              </w:rPr>
            </w:pPr>
            <w:r>
              <w:rPr>
                <w:rFonts w:ascii="Verdana" w:hAnsi="Verdana"/>
                <w:sz w:val="16"/>
                <w:szCs w:val="16"/>
              </w:rPr>
              <w:t>3,07%</w:t>
            </w:r>
          </w:p>
        </w:tc>
        <w:tc>
          <w:tcPr>
            <w:tcW w:w="1607" w:type="dxa"/>
          </w:tcPr>
          <w:p w14:paraId="3FDDE17A" w14:textId="58BD6245"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4,34%</w:t>
            </w:r>
          </w:p>
        </w:tc>
        <w:tc>
          <w:tcPr>
            <w:tcW w:w="1606" w:type="dxa"/>
          </w:tcPr>
          <w:p w14:paraId="3E1FD280" w14:textId="401D43F0"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14,65%</w:t>
            </w:r>
          </w:p>
        </w:tc>
        <w:tc>
          <w:tcPr>
            <w:tcW w:w="1607" w:type="dxa"/>
          </w:tcPr>
          <w:p w14:paraId="65DB3AE2" w14:textId="698E994E"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5,82%</w:t>
            </w:r>
          </w:p>
        </w:tc>
        <w:tc>
          <w:tcPr>
            <w:tcW w:w="1606" w:type="dxa"/>
          </w:tcPr>
          <w:p w14:paraId="266EEDC2" w14:textId="0CD5E082"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10,21%</w:t>
            </w:r>
          </w:p>
        </w:tc>
        <w:tc>
          <w:tcPr>
            <w:tcW w:w="1607" w:type="dxa"/>
            <w:shd w:val="clear" w:color="auto" w:fill="auto"/>
          </w:tcPr>
          <w:p w14:paraId="08A3F669" w14:textId="4390DAED"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9,10%</w:t>
            </w:r>
          </w:p>
        </w:tc>
      </w:tr>
      <w:tr w:rsidR="00327BF9" w:rsidRPr="00B81A28" w14:paraId="2D0862E6" w14:textId="77777777" w:rsidTr="004B1D7C">
        <w:tc>
          <w:tcPr>
            <w:tcW w:w="5245" w:type="dxa"/>
          </w:tcPr>
          <w:p w14:paraId="0A3C363C"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Satrix RAFI 40 Index Fund</w:t>
            </w:r>
          </w:p>
        </w:tc>
        <w:tc>
          <w:tcPr>
            <w:tcW w:w="1606" w:type="dxa"/>
          </w:tcPr>
          <w:p w14:paraId="42F945D5" w14:textId="7FCBD38C" w:rsidR="00327BF9" w:rsidRPr="00B81A28" w:rsidRDefault="003F104F" w:rsidP="004B1D7C">
            <w:pPr>
              <w:tabs>
                <w:tab w:val="left" w:pos="1050"/>
              </w:tabs>
              <w:spacing w:before="40" w:after="40" w:line="280" w:lineRule="atLeast"/>
              <w:jc w:val="center"/>
              <w:rPr>
                <w:rFonts w:ascii="Verdana" w:hAnsi="Verdana"/>
                <w:sz w:val="16"/>
                <w:szCs w:val="16"/>
              </w:rPr>
            </w:pPr>
            <w:r>
              <w:rPr>
                <w:rFonts w:ascii="Verdana" w:hAnsi="Verdana"/>
                <w:sz w:val="16"/>
                <w:szCs w:val="16"/>
              </w:rPr>
              <w:t>1,93%</w:t>
            </w:r>
          </w:p>
        </w:tc>
        <w:tc>
          <w:tcPr>
            <w:tcW w:w="1607" w:type="dxa"/>
          </w:tcPr>
          <w:p w14:paraId="6FF8D265" w14:textId="36C51072"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2,18%</w:t>
            </w:r>
          </w:p>
        </w:tc>
        <w:tc>
          <w:tcPr>
            <w:tcW w:w="1606" w:type="dxa"/>
          </w:tcPr>
          <w:p w14:paraId="37AC5A9D" w14:textId="3621EF62"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18,80%</w:t>
            </w:r>
          </w:p>
        </w:tc>
        <w:tc>
          <w:tcPr>
            <w:tcW w:w="1607" w:type="dxa"/>
          </w:tcPr>
          <w:p w14:paraId="6A1CFE7E" w14:textId="4B8A35F9"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6,76%</w:t>
            </w:r>
          </w:p>
        </w:tc>
        <w:tc>
          <w:tcPr>
            <w:tcW w:w="1606" w:type="dxa"/>
          </w:tcPr>
          <w:p w14:paraId="755C1038" w14:textId="0E2EE9EC"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9,36%</w:t>
            </w:r>
          </w:p>
        </w:tc>
        <w:tc>
          <w:tcPr>
            <w:tcW w:w="1607" w:type="dxa"/>
            <w:shd w:val="clear" w:color="auto" w:fill="auto"/>
          </w:tcPr>
          <w:p w14:paraId="67E73C7D"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7999AD60" w14:textId="77777777" w:rsidTr="004B1D7C">
        <w:tc>
          <w:tcPr>
            <w:tcW w:w="5245" w:type="dxa"/>
          </w:tcPr>
          <w:p w14:paraId="35C6E314"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Ashburton Momentum SA Tracker Fund</w:t>
            </w:r>
          </w:p>
        </w:tc>
        <w:tc>
          <w:tcPr>
            <w:tcW w:w="1606" w:type="dxa"/>
          </w:tcPr>
          <w:p w14:paraId="2A0241B8" w14:textId="7DE0A374" w:rsidR="00327BF9" w:rsidRPr="00B81A28" w:rsidRDefault="003F104F" w:rsidP="004B1D7C">
            <w:pPr>
              <w:tabs>
                <w:tab w:val="left" w:pos="1050"/>
              </w:tabs>
              <w:spacing w:before="40" w:after="40" w:line="280" w:lineRule="atLeast"/>
              <w:jc w:val="center"/>
              <w:rPr>
                <w:rFonts w:ascii="Verdana" w:hAnsi="Verdana"/>
                <w:sz w:val="16"/>
                <w:szCs w:val="16"/>
              </w:rPr>
            </w:pPr>
            <w:r>
              <w:rPr>
                <w:rFonts w:ascii="Verdana" w:hAnsi="Verdana"/>
                <w:sz w:val="16"/>
                <w:szCs w:val="16"/>
              </w:rPr>
              <w:t>(0,41%)</w:t>
            </w:r>
          </w:p>
        </w:tc>
        <w:tc>
          <w:tcPr>
            <w:tcW w:w="1607" w:type="dxa"/>
          </w:tcPr>
          <w:p w14:paraId="33A00650" w14:textId="595D21DE"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(5,40%)</w:t>
            </w:r>
          </w:p>
        </w:tc>
        <w:tc>
          <w:tcPr>
            <w:tcW w:w="1606" w:type="dxa"/>
          </w:tcPr>
          <w:p w14:paraId="1D1EF611" w14:textId="0A9D3323"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9,69%</w:t>
            </w:r>
          </w:p>
        </w:tc>
        <w:tc>
          <w:tcPr>
            <w:tcW w:w="1607" w:type="dxa"/>
          </w:tcPr>
          <w:p w14:paraId="47D2BD32"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6" w:type="dxa"/>
          </w:tcPr>
          <w:p w14:paraId="7AB10AE4"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74FBC3F6"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24A509FC" w14:textId="77777777" w:rsidTr="004B1D7C">
        <w:tc>
          <w:tcPr>
            <w:tcW w:w="5245" w:type="dxa"/>
          </w:tcPr>
          <w:p w14:paraId="179D2334"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Satrix Momentum Index Fund</w:t>
            </w:r>
          </w:p>
        </w:tc>
        <w:tc>
          <w:tcPr>
            <w:tcW w:w="1606" w:type="dxa"/>
          </w:tcPr>
          <w:p w14:paraId="025C47F4" w14:textId="066EDA4A" w:rsidR="00327BF9" w:rsidRPr="00B81A28" w:rsidRDefault="003F104F" w:rsidP="004B1D7C">
            <w:pPr>
              <w:tabs>
                <w:tab w:val="left" w:pos="1050"/>
              </w:tabs>
              <w:spacing w:before="40" w:after="40" w:line="280" w:lineRule="atLeast"/>
              <w:jc w:val="center"/>
              <w:rPr>
                <w:rFonts w:ascii="Verdana" w:hAnsi="Verdana"/>
                <w:sz w:val="16"/>
                <w:szCs w:val="16"/>
              </w:rPr>
            </w:pPr>
            <w:r>
              <w:rPr>
                <w:rFonts w:ascii="Verdana" w:hAnsi="Verdana"/>
                <w:sz w:val="16"/>
                <w:szCs w:val="16"/>
              </w:rPr>
              <w:t>2,76%</w:t>
            </w:r>
          </w:p>
        </w:tc>
        <w:tc>
          <w:tcPr>
            <w:tcW w:w="1607" w:type="dxa"/>
          </w:tcPr>
          <w:p w14:paraId="294108C0" w14:textId="04B3E3A8"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(0,01%)</w:t>
            </w:r>
          </w:p>
        </w:tc>
        <w:tc>
          <w:tcPr>
            <w:tcW w:w="1606" w:type="dxa"/>
          </w:tcPr>
          <w:p w14:paraId="3EF96E91" w14:textId="10C60A1C"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16,17%</w:t>
            </w:r>
          </w:p>
        </w:tc>
        <w:tc>
          <w:tcPr>
            <w:tcW w:w="1607" w:type="dxa"/>
          </w:tcPr>
          <w:p w14:paraId="02137FBB" w14:textId="7E12E858"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6,47%</w:t>
            </w:r>
          </w:p>
        </w:tc>
        <w:tc>
          <w:tcPr>
            <w:tcW w:w="1606" w:type="dxa"/>
          </w:tcPr>
          <w:p w14:paraId="4117CE40"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49503243"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697E1A9E" w14:textId="77777777" w:rsidTr="004B1D7C">
        <w:tc>
          <w:tcPr>
            <w:tcW w:w="5245" w:type="dxa"/>
          </w:tcPr>
          <w:p w14:paraId="6A7CD39F"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 xml:space="preserve">Old Mutual RAFI 40 </w:t>
            </w:r>
            <w:r>
              <w:rPr>
                <w:rFonts w:ascii="Verdana" w:hAnsi="Verdana"/>
                <w:sz w:val="16"/>
                <w:szCs w:val="16"/>
              </w:rPr>
              <w:t>Index</w:t>
            </w:r>
            <w:r w:rsidRPr="00B81A28">
              <w:rPr>
                <w:rFonts w:ascii="Verdana" w:hAnsi="Verdana"/>
                <w:sz w:val="16"/>
                <w:szCs w:val="16"/>
              </w:rPr>
              <w:t xml:space="preserve"> Fund</w:t>
            </w:r>
          </w:p>
        </w:tc>
        <w:tc>
          <w:tcPr>
            <w:tcW w:w="1606" w:type="dxa"/>
          </w:tcPr>
          <w:p w14:paraId="51CF7B1D" w14:textId="62E9D953" w:rsidR="00327BF9" w:rsidRPr="00B81A28" w:rsidRDefault="003F104F" w:rsidP="004B1D7C">
            <w:pPr>
              <w:tabs>
                <w:tab w:val="left" w:pos="1050"/>
              </w:tabs>
              <w:spacing w:before="40" w:after="40" w:line="280" w:lineRule="atLeast"/>
              <w:jc w:val="center"/>
              <w:rPr>
                <w:rFonts w:ascii="Verdana" w:hAnsi="Verdana"/>
                <w:sz w:val="16"/>
                <w:szCs w:val="16"/>
              </w:rPr>
            </w:pPr>
            <w:r>
              <w:rPr>
                <w:rFonts w:ascii="Verdana" w:hAnsi="Verdana"/>
                <w:sz w:val="16"/>
                <w:szCs w:val="16"/>
              </w:rPr>
              <w:t>1,48%</w:t>
            </w:r>
          </w:p>
        </w:tc>
        <w:tc>
          <w:tcPr>
            <w:tcW w:w="1607" w:type="dxa"/>
          </w:tcPr>
          <w:p w14:paraId="1FB2E725" w14:textId="22AC3189"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2,16%</w:t>
            </w:r>
          </w:p>
        </w:tc>
        <w:tc>
          <w:tcPr>
            <w:tcW w:w="1606" w:type="dxa"/>
          </w:tcPr>
          <w:p w14:paraId="2D5A4797" w14:textId="72B0DA65"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18,40%</w:t>
            </w:r>
          </w:p>
        </w:tc>
        <w:tc>
          <w:tcPr>
            <w:tcW w:w="1607" w:type="dxa"/>
          </w:tcPr>
          <w:p w14:paraId="7B793AD4" w14:textId="42462C0B"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6,68%</w:t>
            </w:r>
          </w:p>
        </w:tc>
        <w:tc>
          <w:tcPr>
            <w:tcW w:w="1606" w:type="dxa"/>
          </w:tcPr>
          <w:p w14:paraId="74D2C216" w14:textId="1F877536"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9,71%</w:t>
            </w:r>
          </w:p>
        </w:tc>
        <w:tc>
          <w:tcPr>
            <w:tcW w:w="1607" w:type="dxa"/>
            <w:shd w:val="clear" w:color="auto" w:fill="auto"/>
          </w:tcPr>
          <w:p w14:paraId="546CB58F" w14:textId="4BD3C983"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9,44%</w:t>
            </w:r>
          </w:p>
        </w:tc>
      </w:tr>
      <w:tr w:rsidR="00327BF9" w:rsidRPr="00B81A28" w14:paraId="48505F59" w14:textId="77777777" w:rsidTr="004B1D7C">
        <w:tc>
          <w:tcPr>
            <w:tcW w:w="5245" w:type="dxa"/>
          </w:tcPr>
          <w:p w14:paraId="25D02047"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Ashburton Low Beta SA Composite Tracker Fund</w:t>
            </w:r>
          </w:p>
        </w:tc>
        <w:tc>
          <w:tcPr>
            <w:tcW w:w="1606" w:type="dxa"/>
          </w:tcPr>
          <w:p w14:paraId="3C730774" w14:textId="6317CC36" w:rsidR="00327BF9" w:rsidRPr="00B81A28" w:rsidRDefault="003F104F" w:rsidP="004B1D7C">
            <w:pPr>
              <w:tabs>
                <w:tab w:val="left" w:pos="1050"/>
              </w:tabs>
              <w:spacing w:before="40" w:after="40" w:line="280" w:lineRule="atLeast"/>
              <w:jc w:val="center"/>
              <w:rPr>
                <w:rFonts w:ascii="Verdana" w:hAnsi="Verdana"/>
                <w:sz w:val="16"/>
                <w:szCs w:val="16"/>
              </w:rPr>
            </w:pPr>
            <w:r>
              <w:rPr>
                <w:rFonts w:ascii="Verdana" w:hAnsi="Verdana"/>
                <w:sz w:val="16"/>
                <w:szCs w:val="16"/>
              </w:rPr>
              <w:t>4,87%</w:t>
            </w:r>
          </w:p>
        </w:tc>
        <w:tc>
          <w:tcPr>
            <w:tcW w:w="1607" w:type="dxa"/>
          </w:tcPr>
          <w:p w14:paraId="23F1C7CE" w14:textId="4DFD8893"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8,84%</w:t>
            </w:r>
          </w:p>
        </w:tc>
        <w:tc>
          <w:tcPr>
            <w:tcW w:w="1606" w:type="dxa"/>
          </w:tcPr>
          <w:p w14:paraId="0D8AFB70" w14:textId="2B1AE7DC"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(0,78%)</w:t>
            </w:r>
          </w:p>
        </w:tc>
        <w:tc>
          <w:tcPr>
            <w:tcW w:w="1607" w:type="dxa"/>
          </w:tcPr>
          <w:p w14:paraId="27DCA3BF"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6" w:type="dxa"/>
          </w:tcPr>
          <w:p w14:paraId="5682A8BB"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6D8FFFAC"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7C68013A" w14:textId="77777777" w:rsidTr="004B1D7C">
        <w:tc>
          <w:tcPr>
            <w:tcW w:w="5245" w:type="dxa"/>
          </w:tcPr>
          <w:p w14:paraId="4E66A888"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Ashburton Enhanced Value SA Tracker Fund</w:t>
            </w:r>
          </w:p>
        </w:tc>
        <w:tc>
          <w:tcPr>
            <w:tcW w:w="1606" w:type="dxa"/>
          </w:tcPr>
          <w:p w14:paraId="535C4305" w14:textId="69AADE05" w:rsidR="00327BF9" w:rsidRPr="00B81A28" w:rsidRDefault="003F104F" w:rsidP="004B1D7C">
            <w:pPr>
              <w:tabs>
                <w:tab w:val="left" w:pos="1050"/>
              </w:tabs>
              <w:spacing w:before="40" w:after="40" w:line="280" w:lineRule="atLeast"/>
              <w:jc w:val="center"/>
              <w:rPr>
                <w:rFonts w:ascii="Verdana" w:hAnsi="Verdana"/>
                <w:sz w:val="16"/>
                <w:szCs w:val="16"/>
              </w:rPr>
            </w:pPr>
            <w:r>
              <w:rPr>
                <w:rFonts w:ascii="Verdana" w:hAnsi="Verdana"/>
                <w:sz w:val="16"/>
                <w:szCs w:val="16"/>
              </w:rPr>
              <w:t>(0,96%)</w:t>
            </w:r>
          </w:p>
        </w:tc>
        <w:tc>
          <w:tcPr>
            <w:tcW w:w="1607" w:type="dxa"/>
          </w:tcPr>
          <w:p w14:paraId="1583F9F3" w14:textId="066B9F65"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(2,63%)</w:t>
            </w:r>
          </w:p>
        </w:tc>
        <w:tc>
          <w:tcPr>
            <w:tcW w:w="1606" w:type="dxa"/>
          </w:tcPr>
          <w:p w14:paraId="03189EAC" w14:textId="46BF100F" w:rsidR="00327BF9" w:rsidRPr="00B81A28" w:rsidRDefault="003F104F" w:rsidP="004B1D7C">
            <w:pPr>
              <w:spacing w:before="40" w:after="40" w:line="280" w:lineRule="atLeast"/>
              <w:jc w:val="center"/>
              <w:rPr>
                <w:rFonts w:ascii="Verdana" w:hAnsi="Verdana"/>
                <w:sz w:val="16"/>
                <w:szCs w:val="16"/>
              </w:rPr>
            </w:pPr>
            <w:r>
              <w:rPr>
                <w:rFonts w:ascii="Verdana" w:hAnsi="Verdana"/>
                <w:sz w:val="16"/>
                <w:szCs w:val="16"/>
              </w:rPr>
              <w:t>14,64%</w:t>
            </w:r>
          </w:p>
        </w:tc>
        <w:tc>
          <w:tcPr>
            <w:tcW w:w="1607" w:type="dxa"/>
          </w:tcPr>
          <w:p w14:paraId="628BD338"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6" w:type="dxa"/>
          </w:tcPr>
          <w:p w14:paraId="29330807"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25C7C89D"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73D4A9DD" w14:textId="77777777" w:rsidTr="004B1D7C">
        <w:tc>
          <w:tcPr>
            <w:tcW w:w="5245" w:type="dxa"/>
          </w:tcPr>
          <w:p w14:paraId="3D04183D"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Satrix Balanced Index Fund</w:t>
            </w:r>
          </w:p>
        </w:tc>
        <w:tc>
          <w:tcPr>
            <w:tcW w:w="1606" w:type="dxa"/>
          </w:tcPr>
          <w:p w14:paraId="6122B3E6" w14:textId="3CD3FD7D" w:rsidR="00327BF9" w:rsidRPr="00B81A28" w:rsidRDefault="00712E6E" w:rsidP="004B1D7C">
            <w:pPr>
              <w:tabs>
                <w:tab w:val="left" w:pos="1050"/>
              </w:tabs>
              <w:spacing w:before="40" w:after="40" w:line="280" w:lineRule="atLeast"/>
              <w:jc w:val="center"/>
              <w:rPr>
                <w:rFonts w:ascii="Verdana" w:hAnsi="Verdana"/>
                <w:sz w:val="16"/>
                <w:szCs w:val="16"/>
              </w:rPr>
            </w:pPr>
            <w:r>
              <w:rPr>
                <w:rFonts w:ascii="Verdana" w:hAnsi="Verdana"/>
                <w:sz w:val="16"/>
                <w:szCs w:val="16"/>
              </w:rPr>
              <w:t>1,50%</w:t>
            </w:r>
          </w:p>
        </w:tc>
        <w:tc>
          <w:tcPr>
            <w:tcW w:w="1607" w:type="dxa"/>
          </w:tcPr>
          <w:p w14:paraId="0B5C734C" w14:textId="4A19A70E"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0,41%</w:t>
            </w:r>
          </w:p>
        </w:tc>
        <w:tc>
          <w:tcPr>
            <w:tcW w:w="1606" w:type="dxa"/>
          </w:tcPr>
          <w:p w14:paraId="74BFDDEF" w14:textId="7B77DE1A"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12,70%</w:t>
            </w:r>
          </w:p>
        </w:tc>
        <w:tc>
          <w:tcPr>
            <w:tcW w:w="1607" w:type="dxa"/>
          </w:tcPr>
          <w:p w14:paraId="7FB203EB" w14:textId="16D93656"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6,27%</w:t>
            </w:r>
          </w:p>
        </w:tc>
        <w:tc>
          <w:tcPr>
            <w:tcW w:w="1606" w:type="dxa"/>
          </w:tcPr>
          <w:p w14:paraId="6B4D565D"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10F721B4"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1C746981" w14:textId="77777777" w:rsidTr="004B1D7C">
        <w:tc>
          <w:tcPr>
            <w:tcW w:w="5245" w:type="dxa"/>
          </w:tcPr>
          <w:p w14:paraId="40857B52"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Satrix Low Equity Balanced Index Fund</w:t>
            </w:r>
          </w:p>
        </w:tc>
        <w:tc>
          <w:tcPr>
            <w:tcW w:w="1606" w:type="dxa"/>
          </w:tcPr>
          <w:p w14:paraId="5BD8D254" w14:textId="4C39AA33" w:rsidR="00327BF9" w:rsidRPr="00B81A28" w:rsidRDefault="00712E6E" w:rsidP="004B1D7C">
            <w:pPr>
              <w:tabs>
                <w:tab w:val="left" w:pos="1050"/>
              </w:tabs>
              <w:spacing w:before="40" w:after="40" w:line="280" w:lineRule="atLeast"/>
              <w:jc w:val="center"/>
              <w:rPr>
                <w:rFonts w:ascii="Verdana" w:hAnsi="Verdana"/>
                <w:sz w:val="16"/>
                <w:szCs w:val="16"/>
              </w:rPr>
            </w:pPr>
            <w:r>
              <w:rPr>
                <w:rFonts w:ascii="Verdana" w:hAnsi="Verdana"/>
                <w:sz w:val="16"/>
                <w:szCs w:val="16"/>
              </w:rPr>
              <w:t>1,85%</w:t>
            </w:r>
          </w:p>
        </w:tc>
        <w:tc>
          <w:tcPr>
            <w:tcW w:w="1607" w:type="dxa"/>
          </w:tcPr>
          <w:p w14:paraId="2809BCAE" w14:textId="45E4EB01"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2,40%</w:t>
            </w:r>
          </w:p>
        </w:tc>
        <w:tc>
          <w:tcPr>
            <w:tcW w:w="1606" w:type="dxa"/>
          </w:tcPr>
          <w:p w14:paraId="189822B9" w14:textId="6CED96A0"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7,65%</w:t>
            </w:r>
          </w:p>
        </w:tc>
        <w:tc>
          <w:tcPr>
            <w:tcW w:w="1607" w:type="dxa"/>
          </w:tcPr>
          <w:p w14:paraId="1F78DFF0" w14:textId="4D99E7AE"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5,85%</w:t>
            </w:r>
          </w:p>
        </w:tc>
        <w:tc>
          <w:tcPr>
            <w:tcW w:w="1606" w:type="dxa"/>
          </w:tcPr>
          <w:p w14:paraId="7B33ADA9"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089A246F"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22E48318" w14:textId="77777777" w:rsidTr="004B1D7C">
        <w:tc>
          <w:tcPr>
            <w:tcW w:w="5245" w:type="dxa"/>
          </w:tcPr>
          <w:p w14:paraId="39002FAA"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Satrix Dividend Plus Index Fund</w:t>
            </w:r>
          </w:p>
        </w:tc>
        <w:tc>
          <w:tcPr>
            <w:tcW w:w="1606" w:type="dxa"/>
          </w:tcPr>
          <w:p w14:paraId="57315044" w14:textId="429BD3A3" w:rsidR="00327BF9" w:rsidRPr="00B81A28" w:rsidRDefault="00712E6E" w:rsidP="004B1D7C">
            <w:pPr>
              <w:tabs>
                <w:tab w:val="left" w:pos="1050"/>
              </w:tabs>
              <w:spacing w:before="40" w:after="40" w:line="280" w:lineRule="atLeast"/>
              <w:jc w:val="center"/>
              <w:rPr>
                <w:rFonts w:ascii="Verdana" w:hAnsi="Verdana"/>
                <w:sz w:val="16"/>
                <w:szCs w:val="16"/>
              </w:rPr>
            </w:pPr>
            <w:r>
              <w:rPr>
                <w:rFonts w:ascii="Verdana" w:hAnsi="Verdana"/>
                <w:sz w:val="16"/>
                <w:szCs w:val="16"/>
              </w:rPr>
              <w:t>0,19%</w:t>
            </w:r>
          </w:p>
        </w:tc>
        <w:tc>
          <w:tcPr>
            <w:tcW w:w="1607" w:type="dxa"/>
          </w:tcPr>
          <w:p w14:paraId="19E133CC" w14:textId="0D61502D"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(1,98%)</w:t>
            </w:r>
          </w:p>
        </w:tc>
        <w:tc>
          <w:tcPr>
            <w:tcW w:w="1606" w:type="dxa"/>
          </w:tcPr>
          <w:p w14:paraId="6F8CCC95" w14:textId="4BD3B354"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24,99%</w:t>
            </w:r>
          </w:p>
        </w:tc>
        <w:tc>
          <w:tcPr>
            <w:tcW w:w="1607" w:type="dxa"/>
          </w:tcPr>
          <w:p w14:paraId="0791682B" w14:textId="05FBE6D8"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6,27%</w:t>
            </w:r>
          </w:p>
        </w:tc>
        <w:tc>
          <w:tcPr>
            <w:tcW w:w="1606" w:type="dxa"/>
          </w:tcPr>
          <w:p w14:paraId="7055ECCB" w14:textId="23556A6D"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7,17%</w:t>
            </w:r>
          </w:p>
        </w:tc>
        <w:tc>
          <w:tcPr>
            <w:tcW w:w="1607" w:type="dxa"/>
            <w:shd w:val="clear" w:color="auto" w:fill="auto"/>
          </w:tcPr>
          <w:p w14:paraId="2B6A2A46"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39B4ACAA" w14:textId="77777777" w:rsidTr="004B1D7C">
        <w:tc>
          <w:tcPr>
            <w:tcW w:w="5245" w:type="dxa"/>
          </w:tcPr>
          <w:p w14:paraId="3385E405"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Stanlib Sector Neutral Growth &amp; Quality Index Tracker Fund</w:t>
            </w:r>
          </w:p>
        </w:tc>
        <w:tc>
          <w:tcPr>
            <w:tcW w:w="1606" w:type="dxa"/>
          </w:tcPr>
          <w:p w14:paraId="3289656A" w14:textId="784E9F1B" w:rsidR="00327BF9" w:rsidRPr="00B81A28" w:rsidRDefault="00712E6E" w:rsidP="004B1D7C">
            <w:pPr>
              <w:tabs>
                <w:tab w:val="left" w:pos="1050"/>
              </w:tabs>
              <w:spacing w:before="40" w:after="40" w:line="280" w:lineRule="atLeast"/>
              <w:jc w:val="center"/>
              <w:rPr>
                <w:rFonts w:ascii="Verdana" w:hAnsi="Verdana"/>
                <w:sz w:val="16"/>
                <w:szCs w:val="16"/>
              </w:rPr>
            </w:pPr>
            <w:r>
              <w:rPr>
                <w:rFonts w:ascii="Verdana" w:hAnsi="Verdana"/>
                <w:sz w:val="16"/>
                <w:szCs w:val="16"/>
              </w:rPr>
              <w:t>4,04%</w:t>
            </w:r>
          </w:p>
        </w:tc>
        <w:tc>
          <w:tcPr>
            <w:tcW w:w="1607" w:type="dxa"/>
          </w:tcPr>
          <w:p w14:paraId="5C0465ED" w14:textId="0E216ECB"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4,16%</w:t>
            </w:r>
          </w:p>
        </w:tc>
        <w:tc>
          <w:tcPr>
            <w:tcW w:w="1606" w:type="dxa"/>
          </w:tcPr>
          <w:p w14:paraId="2FC72DCF" w14:textId="7EB58D88" w:rsidR="00327BF9" w:rsidRPr="00B81A28" w:rsidRDefault="00712E6E" w:rsidP="004B1D7C">
            <w:pPr>
              <w:spacing w:before="40" w:after="40" w:line="280" w:lineRule="atLeast"/>
              <w:jc w:val="center"/>
              <w:rPr>
                <w:rFonts w:ascii="Verdana" w:hAnsi="Verdana"/>
                <w:sz w:val="16"/>
                <w:szCs w:val="16"/>
              </w:rPr>
            </w:pPr>
            <w:r>
              <w:rPr>
                <w:rFonts w:ascii="Verdana" w:hAnsi="Verdana"/>
                <w:sz w:val="16"/>
                <w:szCs w:val="16"/>
              </w:rPr>
              <w:t>7,32%</w:t>
            </w:r>
          </w:p>
        </w:tc>
        <w:tc>
          <w:tcPr>
            <w:tcW w:w="1607" w:type="dxa"/>
          </w:tcPr>
          <w:p w14:paraId="07352995"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1D88E244"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275D19D4"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r>
      <w:tr w:rsidR="00327BF9" w:rsidRPr="00B81A28" w14:paraId="19BD7C91" w14:textId="77777777" w:rsidTr="004B1D7C">
        <w:tc>
          <w:tcPr>
            <w:tcW w:w="5245" w:type="dxa"/>
          </w:tcPr>
          <w:p w14:paraId="6350B6A5"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Stanlib Sector Neutral Momentum Index Tracker Fund</w:t>
            </w:r>
          </w:p>
        </w:tc>
        <w:tc>
          <w:tcPr>
            <w:tcW w:w="1606" w:type="dxa"/>
          </w:tcPr>
          <w:p w14:paraId="2A7BBD52" w14:textId="5B90CCB5" w:rsidR="00327BF9" w:rsidRPr="00B81A28" w:rsidRDefault="00F24999" w:rsidP="004B1D7C">
            <w:pPr>
              <w:tabs>
                <w:tab w:val="left" w:pos="1050"/>
              </w:tabs>
              <w:spacing w:before="40" w:after="40" w:line="280" w:lineRule="atLeast"/>
              <w:jc w:val="center"/>
              <w:rPr>
                <w:rFonts w:ascii="Verdana" w:hAnsi="Verdana"/>
                <w:sz w:val="16"/>
                <w:szCs w:val="16"/>
              </w:rPr>
            </w:pPr>
            <w:r>
              <w:rPr>
                <w:rFonts w:ascii="Verdana" w:hAnsi="Verdana"/>
                <w:sz w:val="16"/>
                <w:szCs w:val="16"/>
              </w:rPr>
              <w:t>2,92%</w:t>
            </w:r>
          </w:p>
        </w:tc>
        <w:tc>
          <w:tcPr>
            <w:tcW w:w="1607" w:type="dxa"/>
          </w:tcPr>
          <w:p w14:paraId="681AC369" w14:textId="20AAD7B9" w:rsidR="00327BF9" w:rsidRPr="00B81A28" w:rsidRDefault="00F24999" w:rsidP="004B1D7C">
            <w:pPr>
              <w:spacing w:before="40" w:after="40" w:line="280" w:lineRule="atLeast"/>
              <w:jc w:val="center"/>
              <w:rPr>
                <w:rFonts w:ascii="Verdana" w:hAnsi="Verdana"/>
                <w:sz w:val="16"/>
                <w:szCs w:val="16"/>
              </w:rPr>
            </w:pPr>
            <w:r>
              <w:rPr>
                <w:rFonts w:ascii="Verdana" w:hAnsi="Verdana"/>
                <w:sz w:val="16"/>
                <w:szCs w:val="16"/>
              </w:rPr>
              <w:t>3,12%</w:t>
            </w:r>
          </w:p>
        </w:tc>
        <w:tc>
          <w:tcPr>
            <w:tcW w:w="1606" w:type="dxa"/>
          </w:tcPr>
          <w:p w14:paraId="65C77E11" w14:textId="79DC38A8" w:rsidR="00327BF9" w:rsidRPr="00B81A28" w:rsidRDefault="00F24999" w:rsidP="004B1D7C">
            <w:pPr>
              <w:spacing w:before="40" w:after="40" w:line="280" w:lineRule="atLeast"/>
              <w:jc w:val="center"/>
              <w:rPr>
                <w:rFonts w:ascii="Verdana" w:hAnsi="Verdana"/>
                <w:sz w:val="16"/>
                <w:szCs w:val="16"/>
              </w:rPr>
            </w:pPr>
            <w:r>
              <w:rPr>
                <w:rFonts w:ascii="Verdana" w:hAnsi="Verdana"/>
                <w:sz w:val="16"/>
                <w:szCs w:val="16"/>
              </w:rPr>
              <w:t>11,76%</w:t>
            </w:r>
          </w:p>
        </w:tc>
        <w:tc>
          <w:tcPr>
            <w:tcW w:w="1607" w:type="dxa"/>
          </w:tcPr>
          <w:p w14:paraId="313C33BC"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6D9979CD"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3E2AAC1"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r>
      <w:tr w:rsidR="00327BF9" w:rsidRPr="00B81A28" w14:paraId="64EB03CF" w14:textId="77777777" w:rsidTr="004B1D7C">
        <w:tc>
          <w:tcPr>
            <w:tcW w:w="5245" w:type="dxa"/>
          </w:tcPr>
          <w:p w14:paraId="156080F9"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Stanlib Sector Neutral Value Index Tracker Fund</w:t>
            </w:r>
          </w:p>
        </w:tc>
        <w:tc>
          <w:tcPr>
            <w:tcW w:w="1606" w:type="dxa"/>
          </w:tcPr>
          <w:p w14:paraId="32409013" w14:textId="2B40FD28" w:rsidR="00327BF9" w:rsidRPr="00B81A28" w:rsidRDefault="00F24999" w:rsidP="004B1D7C">
            <w:pPr>
              <w:tabs>
                <w:tab w:val="left" w:pos="1050"/>
              </w:tabs>
              <w:spacing w:before="40" w:after="40" w:line="280" w:lineRule="atLeast"/>
              <w:jc w:val="center"/>
              <w:rPr>
                <w:rFonts w:ascii="Verdana" w:hAnsi="Verdana"/>
                <w:sz w:val="16"/>
                <w:szCs w:val="16"/>
              </w:rPr>
            </w:pPr>
            <w:r>
              <w:rPr>
                <w:rFonts w:ascii="Verdana" w:hAnsi="Verdana"/>
                <w:sz w:val="16"/>
                <w:szCs w:val="16"/>
              </w:rPr>
              <w:t>(0,97%)</w:t>
            </w:r>
          </w:p>
        </w:tc>
        <w:tc>
          <w:tcPr>
            <w:tcW w:w="1607" w:type="dxa"/>
          </w:tcPr>
          <w:p w14:paraId="71E3E48B" w14:textId="20B98BA0" w:rsidR="00327BF9" w:rsidRPr="00B81A28" w:rsidRDefault="00F24999" w:rsidP="004B1D7C">
            <w:pPr>
              <w:spacing w:before="40" w:after="40" w:line="280" w:lineRule="atLeast"/>
              <w:jc w:val="center"/>
              <w:rPr>
                <w:rFonts w:ascii="Verdana" w:hAnsi="Verdana"/>
                <w:sz w:val="16"/>
                <w:szCs w:val="16"/>
              </w:rPr>
            </w:pPr>
            <w:r>
              <w:rPr>
                <w:rFonts w:ascii="Verdana" w:hAnsi="Verdana"/>
                <w:sz w:val="16"/>
                <w:szCs w:val="16"/>
              </w:rPr>
              <w:t>(6,76%)</w:t>
            </w:r>
          </w:p>
        </w:tc>
        <w:tc>
          <w:tcPr>
            <w:tcW w:w="1606" w:type="dxa"/>
          </w:tcPr>
          <w:p w14:paraId="4EC398D0" w14:textId="1E2CD74E" w:rsidR="00327BF9" w:rsidRPr="00B81A28" w:rsidRDefault="00F24999" w:rsidP="004B1D7C">
            <w:pPr>
              <w:spacing w:before="40" w:after="40" w:line="280" w:lineRule="atLeast"/>
              <w:jc w:val="center"/>
              <w:rPr>
                <w:rFonts w:ascii="Verdana" w:hAnsi="Verdana"/>
                <w:sz w:val="16"/>
                <w:szCs w:val="16"/>
              </w:rPr>
            </w:pPr>
            <w:r>
              <w:rPr>
                <w:rFonts w:ascii="Verdana" w:hAnsi="Verdana"/>
                <w:sz w:val="16"/>
                <w:szCs w:val="16"/>
              </w:rPr>
              <w:t>6,28%</w:t>
            </w:r>
          </w:p>
        </w:tc>
        <w:tc>
          <w:tcPr>
            <w:tcW w:w="1607" w:type="dxa"/>
          </w:tcPr>
          <w:p w14:paraId="40CA4831"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2B405778"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5E685E00"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r>
      <w:tr w:rsidR="00327BF9" w:rsidRPr="00B81A28" w14:paraId="3A4E7D4B" w14:textId="77777777" w:rsidTr="004B1D7C">
        <w:tc>
          <w:tcPr>
            <w:tcW w:w="5245" w:type="dxa"/>
          </w:tcPr>
          <w:p w14:paraId="26FE05ED"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Sygnia Dividend Index Fund</w:t>
            </w:r>
          </w:p>
        </w:tc>
        <w:tc>
          <w:tcPr>
            <w:tcW w:w="1606" w:type="dxa"/>
          </w:tcPr>
          <w:p w14:paraId="7A3613E2" w14:textId="28B0AF2C" w:rsidR="00327BF9" w:rsidRPr="00B81A28" w:rsidRDefault="00F24999" w:rsidP="004B1D7C">
            <w:pPr>
              <w:tabs>
                <w:tab w:val="left" w:pos="1050"/>
              </w:tabs>
              <w:spacing w:before="40" w:after="40" w:line="280" w:lineRule="atLeast"/>
              <w:jc w:val="center"/>
              <w:rPr>
                <w:rFonts w:ascii="Verdana" w:hAnsi="Verdana"/>
                <w:sz w:val="16"/>
                <w:szCs w:val="16"/>
              </w:rPr>
            </w:pPr>
            <w:r>
              <w:rPr>
                <w:rFonts w:ascii="Verdana" w:hAnsi="Verdana"/>
                <w:sz w:val="16"/>
                <w:szCs w:val="16"/>
              </w:rPr>
              <w:t>(0,01%)</w:t>
            </w:r>
          </w:p>
        </w:tc>
        <w:tc>
          <w:tcPr>
            <w:tcW w:w="1607" w:type="dxa"/>
          </w:tcPr>
          <w:p w14:paraId="07A5CD8D" w14:textId="6D7B5071" w:rsidR="00327BF9" w:rsidRPr="00B81A28" w:rsidRDefault="00F24999" w:rsidP="004B1D7C">
            <w:pPr>
              <w:spacing w:before="40" w:after="40" w:line="280" w:lineRule="atLeast"/>
              <w:jc w:val="center"/>
              <w:rPr>
                <w:rFonts w:ascii="Verdana" w:hAnsi="Verdana"/>
                <w:sz w:val="16"/>
                <w:szCs w:val="16"/>
              </w:rPr>
            </w:pPr>
            <w:r>
              <w:rPr>
                <w:rFonts w:ascii="Verdana" w:hAnsi="Verdana"/>
                <w:sz w:val="16"/>
                <w:szCs w:val="16"/>
              </w:rPr>
              <w:t>(1,96%)</w:t>
            </w:r>
          </w:p>
        </w:tc>
        <w:tc>
          <w:tcPr>
            <w:tcW w:w="1606" w:type="dxa"/>
          </w:tcPr>
          <w:p w14:paraId="7ECB44DA" w14:textId="2934BA5F" w:rsidR="00327BF9" w:rsidRPr="00B81A28" w:rsidRDefault="00F24999" w:rsidP="004B1D7C">
            <w:pPr>
              <w:spacing w:before="40" w:after="40" w:line="280" w:lineRule="atLeast"/>
              <w:jc w:val="center"/>
              <w:rPr>
                <w:rFonts w:ascii="Verdana" w:hAnsi="Verdana"/>
                <w:sz w:val="16"/>
                <w:szCs w:val="16"/>
              </w:rPr>
            </w:pPr>
            <w:r>
              <w:rPr>
                <w:rFonts w:ascii="Verdana" w:hAnsi="Verdana"/>
                <w:sz w:val="16"/>
                <w:szCs w:val="16"/>
              </w:rPr>
              <w:t>25,23%</w:t>
            </w:r>
          </w:p>
        </w:tc>
        <w:tc>
          <w:tcPr>
            <w:tcW w:w="1607" w:type="dxa"/>
          </w:tcPr>
          <w:p w14:paraId="571D6CF5" w14:textId="290D6530" w:rsidR="00327BF9" w:rsidRPr="00B81A28" w:rsidRDefault="00F24999" w:rsidP="004B1D7C">
            <w:pPr>
              <w:spacing w:before="40" w:after="40" w:line="280" w:lineRule="atLeast"/>
              <w:jc w:val="center"/>
              <w:rPr>
                <w:rFonts w:ascii="Verdana" w:hAnsi="Verdana"/>
                <w:sz w:val="16"/>
                <w:szCs w:val="16"/>
              </w:rPr>
            </w:pPr>
            <w:r>
              <w:rPr>
                <w:rFonts w:ascii="Verdana" w:hAnsi="Verdana"/>
                <w:sz w:val="16"/>
                <w:szCs w:val="16"/>
              </w:rPr>
              <w:t>6,51%</w:t>
            </w:r>
          </w:p>
        </w:tc>
        <w:tc>
          <w:tcPr>
            <w:tcW w:w="1606" w:type="dxa"/>
          </w:tcPr>
          <w:p w14:paraId="1EE9E652" w14:textId="42722093" w:rsidR="00327BF9" w:rsidRPr="00B81A28" w:rsidRDefault="00F24999" w:rsidP="004B1D7C">
            <w:pPr>
              <w:spacing w:before="40" w:after="40" w:line="280" w:lineRule="atLeast"/>
              <w:jc w:val="center"/>
              <w:rPr>
                <w:rFonts w:ascii="Verdana" w:hAnsi="Verdana"/>
                <w:sz w:val="16"/>
                <w:szCs w:val="16"/>
              </w:rPr>
            </w:pPr>
            <w:r>
              <w:rPr>
                <w:rFonts w:ascii="Verdana" w:hAnsi="Verdana"/>
                <w:sz w:val="16"/>
                <w:szCs w:val="16"/>
              </w:rPr>
              <w:t>7,37%</w:t>
            </w:r>
          </w:p>
        </w:tc>
        <w:tc>
          <w:tcPr>
            <w:tcW w:w="1607" w:type="dxa"/>
            <w:shd w:val="clear" w:color="auto" w:fill="auto"/>
          </w:tcPr>
          <w:p w14:paraId="0E35A02C"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bl>
    <w:p w14:paraId="702980C2" w14:textId="77777777" w:rsidR="00327BF9" w:rsidRDefault="00327BF9" w:rsidP="00327BF9">
      <w:pPr>
        <w:spacing w:after="160" w:line="259" w:lineRule="auto"/>
        <w:rPr>
          <w:rFonts w:ascii="Verdana" w:hAnsi="Verdana"/>
          <w:sz w:val="15"/>
          <w:szCs w:val="15"/>
        </w:rPr>
      </w:pPr>
      <w:r>
        <w:rPr>
          <w:rFonts w:ascii="Verdana" w:hAnsi="Verdana"/>
          <w:sz w:val="15"/>
          <w:szCs w:val="15"/>
        </w:rPr>
        <w:br w:type="page"/>
      </w:r>
    </w:p>
    <w:p w14:paraId="033D7C81" w14:textId="77777777" w:rsidR="00327BF9" w:rsidRPr="00B81A28" w:rsidRDefault="00327BF9" w:rsidP="00327BF9">
      <w:pPr>
        <w:spacing w:after="0" w:line="240" w:lineRule="auto"/>
        <w:rPr>
          <w:rFonts w:ascii="Verdana" w:hAnsi="Verdana"/>
          <w:sz w:val="15"/>
          <w:szCs w:val="15"/>
        </w:rPr>
      </w:pPr>
    </w:p>
    <w:p w14:paraId="68DE153C" w14:textId="77777777" w:rsidR="00327BF9" w:rsidRPr="00B81A28" w:rsidRDefault="00327BF9" w:rsidP="00327BF9">
      <w:pPr>
        <w:spacing w:after="0" w:line="240" w:lineRule="auto"/>
        <w:rPr>
          <w:rFonts w:ascii="Verdana" w:hAnsi="Verdana"/>
          <w:sz w:val="16"/>
          <w:szCs w:val="16"/>
        </w:rPr>
      </w:pPr>
      <w:r w:rsidRPr="00B81A28">
        <w:rPr>
          <w:rFonts w:ascii="Verdana" w:hAnsi="Verdana"/>
          <w:noProof/>
          <w:lang w:eastAsia="en-ZA"/>
        </w:rPr>
        <w:drawing>
          <wp:inline distT="0" distB="0" distL="0" distR="0" wp14:anchorId="4EEF8FA5" wp14:editId="576680C9">
            <wp:extent cx="3057525" cy="642486"/>
            <wp:effectExtent l="0" t="0" r="0" b="5715"/>
            <wp:docPr id="18" name="Picture 1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327BF9" w:rsidRPr="00B81A28" w14:paraId="6522D407" w14:textId="77777777" w:rsidTr="004B1D7C">
        <w:tc>
          <w:tcPr>
            <w:tcW w:w="14884" w:type="dxa"/>
            <w:gridSpan w:val="7"/>
            <w:shd w:val="clear" w:color="auto" w:fill="CB2229"/>
            <w:vAlign w:val="center"/>
          </w:tcPr>
          <w:p w14:paraId="2AE19DBB" w14:textId="77777777" w:rsidR="00327BF9" w:rsidRPr="00B81A28" w:rsidRDefault="00327BF9" w:rsidP="004B1D7C">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2C6CCDE0" w14:textId="77777777" w:rsidR="00327BF9" w:rsidRPr="00B81A28" w:rsidRDefault="00327BF9" w:rsidP="004B1D7C">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29 June</w:t>
            </w:r>
            <w:r w:rsidRPr="00B81A28">
              <w:rPr>
                <w:rFonts w:ascii="Verdana" w:hAnsi="Verdana"/>
                <w:b/>
                <w:color w:val="FFFFFF"/>
                <w:sz w:val="20"/>
                <w:szCs w:val="20"/>
              </w:rPr>
              <w:t xml:space="preserve"> 2018</w:t>
            </w:r>
            <w:r>
              <w:rPr>
                <w:rFonts w:ascii="Verdana" w:hAnsi="Verdana"/>
                <w:b/>
                <w:color w:val="FFFFFF"/>
                <w:sz w:val="20"/>
                <w:szCs w:val="20"/>
              </w:rPr>
              <w:t xml:space="preserve">   </w:t>
            </w:r>
            <w:r w:rsidRPr="00B81A28">
              <w:rPr>
                <w:rFonts w:ascii="Verdana" w:hAnsi="Verdana"/>
                <w:b/>
                <w:color w:val="FFFFFF"/>
                <w:sz w:val="20"/>
                <w:szCs w:val="20"/>
              </w:rPr>
              <w:t>(Total Returns – dividends reinvested)</w:t>
            </w:r>
          </w:p>
        </w:tc>
      </w:tr>
      <w:tr w:rsidR="00327BF9" w:rsidRPr="00B81A28" w14:paraId="5CDA88ED" w14:textId="77777777" w:rsidTr="004B1D7C">
        <w:tc>
          <w:tcPr>
            <w:tcW w:w="5245" w:type="dxa"/>
            <w:shd w:val="clear" w:color="auto" w:fill="4C4C4C"/>
          </w:tcPr>
          <w:p w14:paraId="042CFF97" w14:textId="77777777" w:rsidR="00327BF9" w:rsidRPr="0067766B" w:rsidRDefault="00327BF9" w:rsidP="004B1D7C">
            <w:pPr>
              <w:spacing w:before="40" w:after="40" w:line="28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4D55FEAC" w14:textId="77777777" w:rsidR="00327BF9" w:rsidRPr="00B81A28" w:rsidRDefault="00327BF9" w:rsidP="004B1D7C">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7717FCE0" w14:textId="77777777" w:rsidR="00327BF9" w:rsidRPr="00B81A28" w:rsidRDefault="00327BF9" w:rsidP="004B1D7C">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6E4D08E5" w14:textId="77777777" w:rsidR="00327BF9" w:rsidRPr="00B81A28" w:rsidRDefault="00327BF9" w:rsidP="004B1D7C">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1C5B2C35" w14:textId="77777777" w:rsidR="00327BF9" w:rsidRPr="00B81A28" w:rsidRDefault="00327BF9" w:rsidP="004B1D7C">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70BBC032" w14:textId="77777777" w:rsidR="00327BF9" w:rsidRPr="00B81A28" w:rsidRDefault="00327BF9" w:rsidP="004B1D7C">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6DC94149" w14:textId="77777777" w:rsidR="00327BF9" w:rsidRPr="00B81A28" w:rsidRDefault="00327BF9" w:rsidP="004B1D7C">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327BF9" w:rsidRPr="00B81A28" w14:paraId="607ECEFF" w14:textId="77777777" w:rsidTr="004B1D7C">
        <w:tc>
          <w:tcPr>
            <w:tcW w:w="14884" w:type="dxa"/>
            <w:gridSpan w:val="7"/>
            <w:shd w:val="clear" w:color="auto" w:fill="7583BD"/>
            <w:vAlign w:val="center"/>
          </w:tcPr>
          <w:p w14:paraId="46C3CC3B" w14:textId="77777777" w:rsidR="00327BF9" w:rsidRPr="00FC742B" w:rsidRDefault="00327BF9" w:rsidP="004B1D7C">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MSCI WORLD INDEX TRACKING UNIT TRUSTS (Total Return)</w:t>
            </w:r>
          </w:p>
        </w:tc>
      </w:tr>
      <w:tr w:rsidR="00327BF9" w:rsidRPr="00BC54C5" w14:paraId="22AB92CD" w14:textId="77777777" w:rsidTr="004B1D7C">
        <w:tc>
          <w:tcPr>
            <w:tcW w:w="5245" w:type="dxa"/>
          </w:tcPr>
          <w:p w14:paraId="7BD7E520" w14:textId="77777777" w:rsidR="00327BF9" w:rsidRPr="00BC54C5" w:rsidRDefault="00327BF9" w:rsidP="004B1D7C">
            <w:pPr>
              <w:spacing w:before="40" w:after="40" w:line="280" w:lineRule="atLeast"/>
              <w:rPr>
                <w:rFonts w:ascii="Verdana" w:hAnsi="Verdana"/>
                <w:b/>
                <w:sz w:val="16"/>
                <w:szCs w:val="16"/>
              </w:rPr>
            </w:pPr>
            <w:r>
              <w:rPr>
                <w:rFonts w:ascii="Verdana" w:hAnsi="Verdana"/>
                <w:b/>
                <w:sz w:val="16"/>
                <w:szCs w:val="16"/>
              </w:rPr>
              <w:t>MSCI World Index (Rands)</w:t>
            </w:r>
          </w:p>
        </w:tc>
        <w:tc>
          <w:tcPr>
            <w:tcW w:w="1606" w:type="dxa"/>
          </w:tcPr>
          <w:p w14:paraId="247DEA52" w14:textId="1263BD11" w:rsidR="00327BF9" w:rsidRPr="00BC54C5" w:rsidRDefault="00FC4E9C" w:rsidP="004B1D7C">
            <w:pPr>
              <w:tabs>
                <w:tab w:val="left" w:pos="1050"/>
              </w:tabs>
              <w:spacing w:before="40" w:after="40" w:line="280" w:lineRule="atLeast"/>
              <w:jc w:val="center"/>
              <w:rPr>
                <w:rFonts w:ascii="Verdana" w:hAnsi="Verdana"/>
                <w:b/>
                <w:sz w:val="16"/>
                <w:szCs w:val="16"/>
              </w:rPr>
            </w:pPr>
            <w:r>
              <w:rPr>
                <w:rFonts w:ascii="Verdana" w:hAnsi="Verdana"/>
                <w:b/>
                <w:sz w:val="16"/>
                <w:szCs w:val="16"/>
              </w:rPr>
              <w:t>8,57%</w:t>
            </w:r>
          </w:p>
        </w:tc>
        <w:tc>
          <w:tcPr>
            <w:tcW w:w="1607" w:type="dxa"/>
          </w:tcPr>
          <w:p w14:paraId="0D9322A2" w14:textId="7AC54121" w:rsidR="00327BF9" w:rsidRPr="00BC54C5" w:rsidRDefault="00FC4E9C" w:rsidP="004B1D7C">
            <w:pPr>
              <w:spacing w:before="40" w:after="40" w:line="280" w:lineRule="atLeast"/>
              <w:jc w:val="center"/>
              <w:rPr>
                <w:rFonts w:ascii="Verdana" w:hAnsi="Verdana"/>
                <w:b/>
                <w:sz w:val="16"/>
                <w:szCs w:val="16"/>
              </w:rPr>
            </w:pPr>
            <w:r>
              <w:rPr>
                <w:rFonts w:ascii="Verdana" w:hAnsi="Verdana"/>
                <w:b/>
                <w:sz w:val="16"/>
                <w:szCs w:val="16"/>
              </w:rPr>
              <w:t>18,71%</w:t>
            </w:r>
          </w:p>
        </w:tc>
        <w:tc>
          <w:tcPr>
            <w:tcW w:w="1606" w:type="dxa"/>
          </w:tcPr>
          <w:p w14:paraId="60A46855" w14:textId="73D5A967" w:rsidR="00327BF9" w:rsidRPr="00BC54C5" w:rsidRDefault="00FC4E9C" w:rsidP="004B1D7C">
            <w:pPr>
              <w:spacing w:before="40" w:after="40" w:line="280" w:lineRule="atLeast"/>
              <w:jc w:val="center"/>
              <w:rPr>
                <w:rFonts w:ascii="Verdana" w:hAnsi="Verdana"/>
                <w:b/>
                <w:sz w:val="16"/>
                <w:szCs w:val="16"/>
              </w:rPr>
            </w:pPr>
            <w:r>
              <w:rPr>
                <w:rFonts w:ascii="Verdana" w:hAnsi="Verdana"/>
                <w:b/>
                <w:sz w:val="16"/>
                <w:szCs w:val="16"/>
              </w:rPr>
              <w:t>13,77%</w:t>
            </w:r>
          </w:p>
        </w:tc>
        <w:tc>
          <w:tcPr>
            <w:tcW w:w="1607" w:type="dxa"/>
          </w:tcPr>
          <w:p w14:paraId="1E4369A9" w14:textId="607F1A12" w:rsidR="00327BF9" w:rsidRPr="00BC54C5" w:rsidRDefault="00FC4E9C" w:rsidP="004B1D7C">
            <w:pPr>
              <w:spacing w:before="40" w:after="40" w:line="280" w:lineRule="atLeast"/>
              <w:jc w:val="center"/>
              <w:rPr>
                <w:rFonts w:ascii="Verdana" w:hAnsi="Verdana"/>
                <w:b/>
                <w:sz w:val="16"/>
                <w:szCs w:val="16"/>
              </w:rPr>
            </w:pPr>
            <w:r>
              <w:rPr>
                <w:rFonts w:ascii="Verdana" w:hAnsi="Verdana"/>
                <w:b/>
                <w:sz w:val="16"/>
                <w:szCs w:val="16"/>
              </w:rPr>
              <w:t>9,71%</w:t>
            </w:r>
          </w:p>
        </w:tc>
        <w:tc>
          <w:tcPr>
            <w:tcW w:w="1606" w:type="dxa"/>
          </w:tcPr>
          <w:p w14:paraId="1B3937A3" w14:textId="537D9F53" w:rsidR="00327BF9" w:rsidRPr="00BC54C5" w:rsidRDefault="00FC4E9C" w:rsidP="004B1D7C">
            <w:pPr>
              <w:spacing w:before="40" w:after="40" w:line="280" w:lineRule="atLeast"/>
              <w:jc w:val="center"/>
              <w:rPr>
                <w:rFonts w:ascii="Verdana" w:hAnsi="Verdana"/>
                <w:b/>
                <w:sz w:val="16"/>
                <w:szCs w:val="16"/>
              </w:rPr>
            </w:pPr>
            <w:r>
              <w:rPr>
                <w:rFonts w:ascii="Verdana" w:hAnsi="Verdana"/>
                <w:b/>
                <w:sz w:val="16"/>
                <w:szCs w:val="16"/>
              </w:rPr>
              <w:t>14,95%</w:t>
            </w:r>
          </w:p>
        </w:tc>
        <w:tc>
          <w:tcPr>
            <w:tcW w:w="1607" w:type="dxa"/>
            <w:shd w:val="clear" w:color="auto" w:fill="auto"/>
          </w:tcPr>
          <w:p w14:paraId="7D182760" w14:textId="068E2CD7" w:rsidR="00327BF9" w:rsidRPr="00BC54C5" w:rsidRDefault="00FC4E9C" w:rsidP="004B1D7C">
            <w:pPr>
              <w:spacing w:before="40" w:after="40" w:line="280" w:lineRule="atLeast"/>
              <w:jc w:val="center"/>
              <w:rPr>
                <w:rFonts w:ascii="Verdana" w:hAnsi="Verdana"/>
                <w:b/>
                <w:sz w:val="16"/>
                <w:szCs w:val="16"/>
              </w:rPr>
            </w:pPr>
            <w:r>
              <w:rPr>
                <w:rFonts w:ascii="Verdana" w:hAnsi="Verdana"/>
                <w:b/>
                <w:sz w:val="16"/>
                <w:szCs w:val="16"/>
              </w:rPr>
              <w:t>9,91%</w:t>
            </w:r>
          </w:p>
        </w:tc>
      </w:tr>
      <w:tr w:rsidR="00111C5B" w:rsidRPr="00B81A28" w14:paraId="61C5A5DA" w14:textId="77777777" w:rsidTr="004B1D7C">
        <w:tc>
          <w:tcPr>
            <w:tcW w:w="5245" w:type="dxa"/>
          </w:tcPr>
          <w:p w14:paraId="2B2B7EF1" w14:textId="77777777" w:rsidR="00111C5B" w:rsidRPr="00B81A28" w:rsidRDefault="00111C5B" w:rsidP="00111C5B">
            <w:pPr>
              <w:spacing w:before="40" w:after="40" w:line="280" w:lineRule="atLeast"/>
              <w:rPr>
                <w:rFonts w:ascii="Verdana" w:hAnsi="Verdana"/>
                <w:sz w:val="16"/>
                <w:szCs w:val="16"/>
              </w:rPr>
            </w:pPr>
            <w:r w:rsidRPr="00B81A28">
              <w:rPr>
                <w:rFonts w:ascii="Verdana" w:hAnsi="Verdana"/>
                <w:sz w:val="16"/>
                <w:szCs w:val="16"/>
              </w:rPr>
              <w:t xml:space="preserve">Old Mutual </w:t>
            </w:r>
            <w:r>
              <w:rPr>
                <w:rFonts w:ascii="Verdana" w:hAnsi="Verdana"/>
                <w:sz w:val="16"/>
                <w:szCs w:val="16"/>
              </w:rPr>
              <w:t>FTSE</w:t>
            </w:r>
            <w:r w:rsidRPr="00B81A28">
              <w:rPr>
                <w:rFonts w:ascii="Verdana" w:hAnsi="Verdana"/>
                <w:sz w:val="16"/>
                <w:szCs w:val="16"/>
              </w:rPr>
              <w:t xml:space="preserve"> RAFI </w:t>
            </w:r>
            <w:r>
              <w:rPr>
                <w:rFonts w:ascii="Verdana" w:hAnsi="Verdana"/>
                <w:sz w:val="16"/>
                <w:szCs w:val="16"/>
              </w:rPr>
              <w:t xml:space="preserve">All World </w:t>
            </w:r>
            <w:r w:rsidRPr="00B81A28">
              <w:rPr>
                <w:rFonts w:ascii="Verdana" w:hAnsi="Verdana"/>
                <w:sz w:val="16"/>
                <w:szCs w:val="16"/>
              </w:rPr>
              <w:t>Index Fund</w:t>
            </w:r>
          </w:p>
        </w:tc>
        <w:tc>
          <w:tcPr>
            <w:tcW w:w="1606" w:type="dxa"/>
          </w:tcPr>
          <w:p w14:paraId="3EB1AD6E" w14:textId="2A0B5DEB" w:rsidR="00111C5B" w:rsidRPr="00B81A28" w:rsidRDefault="00111C5B" w:rsidP="00111C5B">
            <w:pPr>
              <w:tabs>
                <w:tab w:val="left" w:pos="1050"/>
              </w:tabs>
              <w:spacing w:before="40" w:after="40" w:line="280" w:lineRule="atLeast"/>
              <w:jc w:val="center"/>
              <w:rPr>
                <w:rFonts w:ascii="Verdana" w:hAnsi="Verdana"/>
                <w:sz w:val="16"/>
                <w:szCs w:val="16"/>
              </w:rPr>
            </w:pPr>
            <w:r>
              <w:rPr>
                <w:rFonts w:ascii="Verdana" w:hAnsi="Verdana"/>
                <w:sz w:val="16"/>
                <w:szCs w:val="16"/>
              </w:rPr>
              <w:t>6,45%</w:t>
            </w:r>
          </w:p>
        </w:tc>
        <w:tc>
          <w:tcPr>
            <w:tcW w:w="1607" w:type="dxa"/>
          </w:tcPr>
          <w:p w14:paraId="4157328C" w14:textId="6475C004" w:rsidR="00111C5B" w:rsidRPr="00B81A28" w:rsidRDefault="00111C5B" w:rsidP="00111C5B">
            <w:pPr>
              <w:spacing w:before="40" w:after="40" w:line="280" w:lineRule="atLeast"/>
              <w:jc w:val="center"/>
              <w:rPr>
                <w:rFonts w:ascii="Verdana" w:hAnsi="Verdana"/>
                <w:sz w:val="16"/>
                <w:szCs w:val="16"/>
              </w:rPr>
            </w:pPr>
            <w:r>
              <w:rPr>
                <w:rFonts w:ascii="Verdana" w:hAnsi="Verdana"/>
                <w:sz w:val="16"/>
                <w:szCs w:val="16"/>
              </w:rPr>
              <w:t>14,82%</w:t>
            </w:r>
          </w:p>
        </w:tc>
        <w:tc>
          <w:tcPr>
            <w:tcW w:w="1606" w:type="dxa"/>
          </w:tcPr>
          <w:p w14:paraId="493AF9AE" w14:textId="001AB513" w:rsidR="00111C5B" w:rsidRPr="00B81A28" w:rsidRDefault="00111C5B" w:rsidP="00111C5B">
            <w:pPr>
              <w:spacing w:before="40" w:after="40" w:line="280" w:lineRule="atLeast"/>
              <w:jc w:val="center"/>
              <w:rPr>
                <w:rFonts w:ascii="Verdana" w:hAnsi="Verdana"/>
                <w:sz w:val="16"/>
                <w:szCs w:val="16"/>
              </w:rPr>
            </w:pPr>
            <w:r>
              <w:rPr>
                <w:rFonts w:ascii="Verdana" w:hAnsi="Verdana"/>
                <w:sz w:val="16"/>
                <w:szCs w:val="16"/>
              </w:rPr>
              <w:t>12,81%</w:t>
            </w:r>
          </w:p>
        </w:tc>
        <w:tc>
          <w:tcPr>
            <w:tcW w:w="1607" w:type="dxa"/>
          </w:tcPr>
          <w:p w14:paraId="7689535C" w14:textId="146D6792" w:rsidR="00111C5B" w:rsidRPr="00B81A28" w:rsidRDefault="00111C5B" w:rsidP="00111C5B">
            <w:pPr>
              <w:spacing w:before="40" w:after="40" w:line="280" w:lineRule="atLeast"/>
              <w:jc w:val="center"/>
              <w:rPr>
                <w:rFonts w:ascii="Verdana" w:hAnsi="Verdana"/>
                <w:sz w:val="16"/>
                <w:szCs w:val="16"/>
              </w:rPr>
            </w:pPr>
            <w:r>
              <w:rPr>
                <w:rFonts w:ascii="Verdana" w:hAnsi="Verdana"/>
                <w:sz w:val="16"/>
                <w:szCs w:val="16"/>
              </w:rPr>
              <w:t>9,03%</w:t>
            </w:r>
          </w:p>
        </w:tc>
        <w:tc>
          <w:tcPr>
            <w:tcW w:w="1606" w:type="dxa"/>
          </w:tcPr>
          <w:p w14:paraId="0D4FF7BF" w14:textId="4492CED8" w:rsidR="00111C5B" w:rsidRPr="00B81A28" w:rsidRDefault="00111C5B" w:rsidP="00111C5B">
            <w:pPr>
              <w:spacing w:before="40" w:after="40" w:line="280" w:lineRule="atLeast"/>
              <w:jc w:val="center"/>
              <w:rPr>
                <w:rFonts w:ascii="Verdana" w:hAnsi="Verdana"/>
                <w:sz w:val="16"/>
                <w:szCs w:val="16"/>
              </w:rPr>
            </w:pPr>
            <w:r>
              <w:rPr>
                <w:rFonts w:ascii="Verdana" w:hAnsi="Verdana"/>
                <w:sz w:val="16"/>
                <w:szCs w:val="16"/>
              </w:rPr>
              <w:t>14,48%</w:t>
            </w:r>
          </w:p>
        </w:tc>
        <w:tc>
          <w:tcPr>
            <w:tcW w:w="1607" w:type="dxa"/>
            <w:shd w:val="clear" w:color="auto" w:fill="auto"/>
          </w:tcPr>
          <w:p w14:paraId="4FE00FA9" w14:textId="67FDFE03" w:rsidR="00111C5B" w:rsidRPr="00B81A28" w:rsidRDefault="00111C5B" w:rsidP="00111C5B">
            <w:pPr>
              <w:spacing w:before="40" w:after="40" w:line="280" w:lineRule="atLeast"/>
              <w:jc w:val="center"/>
              <w:rPr>
                <w:rFonts w:ascii="Verdana" w:hAnsi="Verdana"/>
                <w:sz w:val="16"/>
                <w:szCs w:val="16"/>
              </w:rPr>
            </w:pPr>
          </w:p>
        </w:tc>
      </w:tr>
      <w:tr w:rsidR="00327BF9" w:rsidRPr="00B81A28" w14:paraId="4D331D67" w14:textId="77777777" w:rsidTr="004B1D7C">
        <w:tc>
          <w:tcPr>
            <w:tcW w:w="5245" w:type="dxa"/>
          </w:tcPr>
          <w:p w14:paraId="767885C4" w14:textId="77777777" w:rsidR="00327BF9" w:rsidRPr="00B81A28" w:rsidRDefault="00327BF9" w:rsidP="004B1D7C">
            <w:pPr>
              <w:spacing w:before="40" w:after="40" w:line="280" w:lineRule="atLeast"/>
              <w:rPr>
                <w:rFonts w:ascii="Verdana" w:hAnsi="Verdana"/>
                <w:sz w:val="16"/>
                <w:szCs w:val="16"/>
              </w:rPr>
            </w:pPr>
            <w:r w:rsidRPr="00B81A28">
              <w:rPr>
                <w:rFonts w:ascii="Verdana" w:hAnsi="Verdana"/>
                <w:sz w:val="16"/>
                <w:szCs w:val="16"/>
              </w:rPr>
              <w:t>Satrix MSCI World Equity Index Feeder Fund</w:t>
            </w:r>
          </w:p>
        </w:tc>
        <w:tc>
          <w:tcPr>
            <w:tcW w:w="1606" w:type="dxa"/>
          </w:tcPr>
          <w:p w14:paraId="08B0ADC9" w14:textId="2429321E" w:rsidR="00327BF9" w:rsidRPr="00B81A28" w:rsidRDefault="00111C5B" w:rsidP="004B1D7C">
            <w:pPr>
              <w:tabs>
                <w:tab w:val="left" w:pos="1050"/>
              </w:tabs>
              <w:spacing w:before="40" w:after="40" w:line="280" w:lineRule="atLeast"/>
              <w:jc w:val="center"/>
              <w:rPr>
                <w:rFonts w:ascii="Verdana" w:hAnsi="Verdana"/>
                <w:sz w:val="16"/>
                <w:szCs w:val="16"/>
              </w:rPr>
            </w:pPr>
            <w:r>
              <w:rPr>
                <w:rFonts w:ascii="Verdana" w:hAnsi="Verdana"/>
                <w:sz w:val="16"/>
                <w:szCs w:val="16"/>
              </w:rPr>
              <w:t>7,30%</w:t>
            </w:r>
          </w:p>
        </w:tc>
        <w:tc>
          <w:tcPr>
            <w:tcW w:w="1607" w:type="dxa"/>
          </w:tcPr>
          <w:p w14:paraId="7D07BBFA" w14:textId="3D60531B" w:rsidR="00327BF9" w:rsidRPr="00B81A28" w:rsidRDefault="00111C5B" w:rsidP="004B1D7C">
            <w:pPr>
              <w:spacing w:before="40" w:after="40" w:line="280" w:lineRule="atLeast"/>
              <w:jc w:val="center"/>
              <w:rPr>
                <w:rFonts w:ascii="Verdana" w:hAnsi="Verdana"/>
                <w:sz w:val="16"/>
                <w:szCs w:val="16"/>
              </w:rPr>
            </w:pPr>
            <w:r>
              <w:rPr>
                <w:rFonts w:ascii="Verdana" w:hAnsi="Verdana"/>
                <w:sz w:val="16"/>
                <w:szCs w:val="16"/>
              </w:rPr>
              <w:t>17,79%</w:t>
            </w:r>
          </w:p>
        </w:tc>
        <w:tc>
          <w:tcPr>
            <w:tcW w:w="1606" w:type="dxa"/>
          </w:tcPr>
          <w:p w14:paraId="2CC35C5C" w14:textId="039338C3" w:rsidR="00327BF9" w:rsidRPr="00B81A28" w:rsidRDefault="00111C5B" w:rsidP="004B1D7C">
            <w:pPr>
              <w:spacing w:before="40" w:after="40" w:line="280" w:lineRule="atLeast"/>
              <w:jc w:val="center"/>
              <w:rPr>
                <w:rFonts w:ascii="Verdana" w:hAnsi="Verdana"/>
                <w:sz w:val="16"/>
                <w:szCs w:val="16"/>
              </w:rPr>
            </w:pPr>
            <w:r>
              <w:rPr>
                <w:rFonts w:ascii="Verdana" w:hAnsi="Verdana"/>
                <w:sz w:val="16"/>
                <w:szCs w:val="16"/>
              </w:rPr>
              <w:t>14,63%</w:t>
            </w:r>
          </w:p>
        </w:tc>
        <w:tc>
          <w:tcPr>
            <w:tcW w:w="1607" w:type="dxa"/>
          </w:tcPr>
          <w:p w14:paraId="5DBAF6AF" w14:textId="2BAC5D5A" w:rsidR="00327BF9" w:rsidRPr="00B81A28" w:rsidRDefault="00111C5B" w:rsidP="004B1D7C">
            <w:pPr>
              <w:spacing w:before="40" w:after="40" w:line="280" w:lineRule="atLeast"/>
              <w:jc w:val="center"/>
              <w:rPr>
                <w:rFonts w:ascii="Verdana" w:hAnsi="Verdana"/>
                <w:sz w:val="16"/>
                <w:szCs w:val="16"/>
              </w:rPr>
            </w:pPr>
            <w:r>
              <w:rPr>
                <w:rFonts w:ascii="Verdana" w:hAnsi="Verdana"/>
                <w:sz w:val="16"/>
                <w:szCs w:val="16"/>
              </w:rPr>
              <w:t>10,57%</w:t>
            </w:r>
          </w:p>
        </w:tc>
        <w:tc>
          <w:tcPr>
            <w:tcW w:w="1606" w:type="dxa"/>
          </w:tcPr>
          <w:p w14:paraId="6896796E" w14:textId="21A99552" w:rsidR="00327BF9" w:rsidRPr="00B81A28" w:rsidRDefault="00327BF9" w:rsidP="004B1D7C">
            <w:pPr>
              <w:spacing w:before="40" w:after="40" w:line="280" w:lineRule="atLeast"/>
              <w:jc w:val="center"/>
              <w:rPr>
                <w:rFonts w:ascii="Verdana" w:hAnsi="Verdana"/>
                <w:sz w:val="16"/>
                <w:szCs w:val="16"/>
              </w:rPr>
            </w:pPr>
          </w:p>
        </w:tc>
        <w:tc>
          <w:tcPr>
            <w:tcW w:w="1607" w:type="dxa"/>
            <w:shd w:val="clear" w:color="auto" w:fill="auto"/>
          </w:tcPr>
          <w:p w14:paraId="6FBD5357" w14:textId="77777777" w:rsidR="00327BF9" w:rsidRPr="00B81A28" w:rsidRDefault="00327BF9" w:rsidP="004B1D7C">
            <w:pPr>
              <w:spacing w:before="40" w:after="40" w:line="280" w:lineRule="atLeast"/>
              <w:jc w:val="center"/>
              <w:rPr>
                <w:rFonts w:ascii="Verdana" w:hAnsi="Verdana"/>
                <w:sz w:val="16"/>
                <w:szCs w:val="16"/>
              </w:rPr>
            </w:pPr>
            <w:r w:rsidRPr="00B81A28">
              <w:rPr>
                <w:rFonts w:ascii="Verdana" w:hAnsi="Verdana"/>
                <w:sz w:val="16"/>
                <w:szCs w:val="16"/>
              </w:rPr>
              <w:t>-</w:t>
            </w:r>
          </w:p>
        </w:tc>
      </w:tr>
      <w:tr w:rsidR="00327BF9" w:rsidRPr="00B81A28" w14:paraId="7DAC0ADC" w14:textId="77777777" w:rsidTr="004B1D7C">
        <w:tc>
          <w:tcPr>
            <w:tcW w:w="5245" w:type="dxa"/>
          </w:tcPr>
          <w:p w14:paraId="3CFBC85E"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Stanlib S&amp;P Index Feeder Fund</w:t>
            </w:r>
          </w:p>
        </w:tc>
        <w:tc>
          <w:tcPr>
            <w:tcW w:w="1606" w:type="dxa"/>
          </w:tcPr>
          <w:p w14:paraId="224290B9" w14:textId="583B2B50" w:rsidR="00327BF9" w:rsidRPr="00B81A28" w:rsidRDefault="00111C5B" w:rsidP="004B1D7C">
            <w:pPr>
              <w:tabs>
                <w:tab w:val="left" w:pos="1050"/>
              </w:tabs>
              <w:spacing w:before="40" w:after="40" w:line="280" w:lineRule="atLeast"/>
              <w:jc w:val="center"/>
              <w:rPr>
                <w:rFonts w:ascii="Verdana" w:hAnsi="Verdana"/>
                <w:sz w:val="16"/>
                <w:szCs w:val="16"/>
              </w:rPr>
            </w:pPr>
            <w:r>
              <w:rPr>
                <w:rFonts w:ascii="Verdana" w:hAnsi="Verdana"/>
                <w:sz w:val="16"/>
                <w:szCs w:val="16"/>
              </w:rPr>
              <w:t>9,76%</w:t>
            </w:r>
          </w:p>
        </w:tc>
        <w:tc>
          <w:tcPr>
            <w:tcW w:w="1607" w:type="dxa"/>
          </w:tcPr>
          <w:p w14:paraId="6EB6C320" w14:textId="14576080" w:rsidR="00327BF9" w:rsidRPr="00B81A28" w:rsidRDefault="00111C5B" w:rsidP="004B1D7C">
            <w:pPr>
              <w:spacing w:before="40" w:after="40" w:line="280" w:lineRule="atLeast"/>
              <w:jc w:val="center"/>
              <w:rPr>
                <w:rFonts w:ascii="Verdana" w:hAnsi="Verdana"/>
                <w:sz w:val="16"/>
                <w:szCs w:val="16"/>
              </w:rPr>
            </w:pPr>
            <w:r>
              <w:rPr>
                <w:rFonts w:ascii="Verdana" w:hAnsi="Verdana"/>
                <w:sz w:val="16"/>
                <w:szCs w:val="16"/>
              </w:rPr>
              <w:t>18,26%</w:t>
            </w:r>
          </w:p>
        </w:tc>
        <w:tc>
          <w:tcPr>
            <w:tcW w:w="1606" w:type="dxa"/>
          </w:tcPr>
          <w:p w14:paraId="74688C1F"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7" w:type="dxa"/>
          </w:tcPr>
          <w:p w14:paraId="69D477DF"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17079489"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18D9FC2D"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r>
      <w:tr w:rsidR="00327BF9" w:rsidRPr="00B81A28" w14:paraId="006C9DE4" w14:textId="77777777" w:rsidTr="004B1D7C">
        <w:tc>
          <w:tcPr>
            <w:tcW w:w="5245" w:type="dxa"/>
          </w:tcPr>
          <w:p w14:paraId="4C2982D2"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Stanlib S&amp;P Info Tech Feeder Fund</w:t>
            </w:r>
          </w:p>
        </w:tc>
        <w:tc>
          <w:tcPr>
            <w:tcW w:w="1606" w:type="dxa"/>
          </w:tcPr>
          <w:p w14:paraId="6F8C9784" w14:textId="56A7886D" w:rsidR="00327BF9" w:rsidRPr="00B81A28" w:rsidRDefault="00F225B1" w:rsidP="004B1D7C">
            <w:pPr>
              <w:tabs>
                <w:tab w:val="left" w:pos="1050"/>
              </w:tabs>
              <w:spacing w:before="40" w:after="40" w:line="280" w:lineRule="atLeast"/>
              <w:jc w:val="center"/>
              <w:rPr>
                <w:rFonts w:ascii="Verdana" w:hAnsi="Verdana"/>
                <w:sz w:val="16"/>
                <w:szCs w:val="16"/>
              </w:rPr>
            </w:pPr>
            <w:r>
              <w:rPr>
                <w:rFonts w:ascii="Verdana" w:hAnsi="Verdana"/>
                <w:sz w:val="16"/>
                <w:szCs w:val="16"/>
              </w:rPr>
              <w:t>8,97%</w:t>
            </w:r>
          </w:p>
        </w:tc>
        <w:tc>
          <w:tcPr>
            <w:tcW w:w="1607" w:type="dxa"/>
          </w:tcPr>
          <w:p w14:paraId="7F9D8C00" w14:textId="1928CE88" w:rsidR="00327BF9" w:rsidRPr="00B81A28" w:rsidRDefault="00F225B1" w:rsidP="004B1D7C">
            <w:pPr>
              <w:spacing w:before="40" w:after="40" w:line="280" w:lineRule="atLeast"/>
              <w:jc w:val="center"/>
              <w:rPr>
                <w:rFonts w:ascii="Verdana" w:hAnsi="Verdana"/>
                <w:sz w:val="16"/>
                <w:szCs w:val="16"/>
              </w:rPr>
            </w:pPr>
            <w:r>
              <w:rPr>
                <w:rFonts w:ascii="Verdana" w:hAnsi="Verdana"/>
                <w:sz w:val="16"/>
                <w:szCs w:val="16"/>
              </w:rPr>
              <w:t>22,61%</w:t>
            </w:r>
          </w:p>
        </w:tc>
        <w:tc>
          <w:tcPr>
            <w:tcW w:w="1606" w:type="dxa"/>
          </w:tcPr>
          <w:p w14:paraId="5A10CF50"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7" w:type="dxa"/>
          </w:tcPr>
          <w:p w14:paraId="51EE1EE1"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37239061"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6A66AFA1"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r>
      <w:tr w:rsidR="00327BF9" w:rsidRPr="00B81A28" w14:paraId="685F3489" w14:textId="77777777" w:rsidTr="004B1D7C">
        <w:tc>
          <w:tcPr>
            <w:tcW w:w="5245" w:type="dxa"/>
          </w:tcPr>
          <w:p w14:paraId="61F1E49B" w14:textId="77777777" w:rsidR="00327BF9" w:rsidRPr="00B81A28" w:rsidRDefault="00327BF9" w:rsidP="004B1D7C">
            <w:pPr>
              <w:spacing w:before="40" w:after="40" w:line="280" w:lineRule="atLeast"/>
              <w:rPr>
                <w:rFonts w:ascii="Verdana" w:hAnsi="Verdana"/>
                <w:sz w:val="16"/>
                <w:szCs w:val="16"/>
              </w:rPr>
            </w:pPr>
            <w:r>
              <w:rPr>
                <w:rFonts w:ascii="Verdana" w:hAnsi="Verdana"/>
                <w:sz w:val="16"/>
                <w:szCs w:val="16"/>
              </w:rPr>
              <w:t>Stanlib MSCI World Index Feeder Fund</w:t>
            </w:r>
          </w:p>
        </w:tc>
        <w:tc>
          <w:tcPr>
            <w:tcW w:w="1606" w:type="dxa"/>
          </w:tcPr>
          <w:p w14:paraId="17DBF1AB" w14:textId="4C794150" w:rsidR="00327BF9" w:rsidRPr="00B81A28" w:rsidRDefault="00F225B1" w:rsidP="004B1D7C">
            <w:pPr>
              <w:tabs>
                <w:tab w:val="left" w:pos="1050"/>
              </w:tabs>
              <w:spacing w:before="40" w:after="40" w:line="280" w:lineRule="atLeast"/>
              <w:jc w:val="center"/>
              <w:rPr>
                <w:rFonts w:ascii="Verdana" w:hAnsi="Verdana"/>
                <w:sz w:val="16"/>
                <w:szCs w:val="16"/>
              </w:rPr>
            </w:pPr>
            <w:r>
              <w:rPr>
                <w:rFonts w:ascii="Verdana" w:hAnsi="Verdana"/>
                <w:sz w:val="16"/>
                <w:szCs w:val="16"/>
              </w:rPr>
              <w:t>9,31%</w:t>
            </w:r>
          </w:p>
        </w:tc>
        <w:tc>
          <w:tcPr>
            <w:tcW w:w="1607" w:type="dxa"/>
          </w:tcPr>
          <w:p w14:paraId="6BD2E684" w14:textId="62CB6B0F" w:rsidR="00327BF9" w:rsidRPr="00B81A28" w:rsidRDefault="00F225B1" w:rsidP="004B1D7C">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14E2350A"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7" w:type="dxa"/>
          </w:tcPr>
          <w:p w14:paraId="45198771"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7F6DC679"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1641AA7" w14:textId="77777777" w:rsidR="00327BF9" w:rsidRPr="00B81A28" w:rsidRDefault="00327BF9" w:rsidP="004B1D7C">
            <w:pPr>
              <w:spacing w:before="40" w:after="40" w:line="280" w:lineRule="atLeast"/>
              <w:jc w:val="center"/>
              <w:rPr>
                <w:rFonts w:ascii="Verdana" w:hAnsi="Verdana"/>
                <w:sz w:val="16"/>
                <w:szCs w:val="16"/>
              </w:rPr>
            </w:pPr>
            <w:r>
              <w:rPr>
                <w:rFonts w:ascii="Verdana" w:hAnsi="Verdana"/>
                <w:sz w:val="16"/>
                <w:szCs w:val="16"/>
              </w:rPr>
              <w:t>-</w:t>
            </w:r>
          </w:p>
        </w:tc>
      </w:tr>
      <w:tr w:rsidR="00327BF9" w:rsidRPr="00B81A28" w14:paraId="738EDAAD" w14:textId="77777777" w:rsidTr="004B1D7C">
        <w:tc>
          <w:tcPr>
            <w:tcW w:w="14884" w:type="dxa"/>
            <w:gridSpan w:val="7"/>
            <w:vAlign w:val="center"/>
          </w:tcPr>
          <w:p w14:paraId="276F4AA1" w14:textId="77777777" w:rsidR="00327BF9" w:rsidRPr="00B81A28" w:rsidRDefault="00327BF9" w:rsidP="004B1D7C">
            <w:pPr>
              <w:spacing w:before="20" w:after="20" w:line="260" w:lineRule="atLeast"/>
              <w:rPr>
                <w:rFonts w:ascii="Verdana" w:hAnsi="Verdana"/>
                <w:sz w:val="16"/>
                <w:szCs w:val="16"/>
              </w:rPr>
            </w:pPr>
            <w:r w:rsidRPr="00FC742B">
              <w:rPr>
                <w:rFonts w:ascii="Verdana" w:hAnsi="Verdana"/>
                <w:i/>
                <w:sz w:val="15"/>
                <w:szCs w:val="15"/>
              </w:rPr>
              <w:t>Source: etfSA.co.za / Profile Media – Funds Data (</w:t>
            </w:r>
            <w:r>
              <w:rPr>
                <w:rFonts w:ascii="Verdana" w:hAnsi="Verdana"/>
                <w:i/>
                <w:sz w:val="15"/>
                <w:szCs w:val="15"/>
              </w:rPr>
              <w:t>29</w:t>
            </w:r>
            <w:r w:rsidRPr="00FC742B">
              <w:rPr>
                <w:rFonts w:ascii="Verdana" w:hAnsi="Verdana"/>
                <w:i/>
                <w:sz w:val="15"/>
                <w:szCs w:val="15"/>
              </w:rPr>
              <w:t>/</w:t>
            </w:r>
            <w:r>
              <w:rPr>
                <w:rFonts w:ascii="Verdana" w:hAnsi="Verdana"/>
                <w:i/>
                <w:sz w:val="15"/>
                <w:szCs w:val="15"/>
              </w:rPr>
              <w:t>6</w:t>
            </w:r>
            <w:r w:rsidRPr="00FC742B">
              <w:rPr>
                <w:rFonts w:ascii="Verdana" w:hAnsi="Verdana"/>
                <w:i/>
                <w:sz w:val="15"/>
                <w:szCs w:val="15"/>
              </w:rPr>
              <w:t>/2018)</w:t>
            </w:r>
          </w:p>
        </w:tc>
      </w:tr>
    </w:tbl>
    <w:p w14:paraId="4A681708" w14:textId="77777777" w:rsidR="00327BF9" w:rsidRDefault="00327BF9" w:rsidP="00327BF9">
      <w:pPr>
        <w:pStyle w:val="BodyText2"/>
        <w:spacing w:after="0" w:line="240" w:lineRule="auto"/>
        <w:rPr>
          <w:rFonts w:ascii="Verdana" w:hAnsi="Verdana"/>
          <w:sz w:val="15"/>
          <w:szCs w:val="15"/>
        </w:rPr>
      </w:pPr>
    </w:p>
    <w:p w14:paraId="1648753C" w14:textId="77777777" w:rsidR="00327BF9" w:rsidRDefault="00327BF9" w:rsidP="00327BF9">
      <w:pPr>
        <w:pStyle w:val="BodyText2"/>
        <w:spacing w:after="0" w:line="240" w:lineRule="auto"/>
        <w:rPr>
          <w:rFonts w:ascii="Verdana" w:hAnsi="Verdana"/>
          <w:sz w:val="15"/>
          <w:szCs w:val="15"/>
        </w:rPr>
      </w:pPr>
    </w:p>
    <w:p w14:paraId="74C644C7" w14:textId="77777777" w:rsidR="00327BF9" w:rsidRDefault="00327BF9" w:rsidP="00327BF9">
      <w:pPr>
        <w:pStyle w:val="BodyText2"/>
        <w:spacing w:after="0" w:line="240" w:lineRule="auto"/>
        <w:rPr>
          <w:rFonts w:ascii="Verdana" w:hAnsi="Verdana"/>
          <w:sz w:val="15"/>
          <w:szCs w:val="15"/>
        </w:rPr>
      </w:pPr>
    </w:p>
    <w:p w14:paraId="75497928" w14:textId="77777777" w:rsidR="00327BF9" w:rsidRDefault="00327BF9" w:rsidP="00327BF9">
      <w:pPr>
        <w:pStyle w:val="BodyText2"/>
        <w:spacing w:after="0" w:line="240" w:lineRule="auto"/>
        <w:rPr>
          <w:rFonts w:ascii="Verdana" w:hAnsi="Verdana"/>
          <w:sz w:val="15"/>
          <w:szCs w:val="15"/>
        </w:rPr>
      </w:pPr>
    </w:p>
    <w:p w14:paraId="1EB9DEE8" w14:textId="77777777" w:rsidR="00327BF9" w:rsidRDefault="00327BF9" w:rsidP="00327BF9">
      <w:pPr>
        <w:pStyle w:val="BodyText2"/>
        <w:spacing w:after="0" w:line="240" w:lineRule="auto"/>
        <w:rPr>
          <w:rFonts w:ascii="Verdana" w:hAnsi="Verdana"/>
          <w:sz w:val="15"/>
          <w:szCs w:val="15"/>
        </w:rPr>
      </w:pPr>
    </w:p>
    <w:p w14:paraId="5BA928FF" w14:textId="77777777" w:rsidR="00327BF9" w:rsidRDefault="00327BF9" w:rsidP="00327BF9">
      <w:pPr>
        <w:pStyle w:val="BodyText2"/>
        <w:spacing w:after="0" w:line="240" w:lineRule="auto"/>
        <w:rPr>
          <w:rFonts w:ascii="Verdana" w:hAnsi="Verdana"/>
          <w:sz w:val="15"/>
          <w:szCs w:val="15"/>
        </w:rPr>
      </w:pPr>
    </w:p>
    <w:p w14:paraId="039699C1" w14:textId="77777777" w:rsidR="00327BF9" w:rsidRDefault="00327BF9" w:rsidP="00327BF9">
      <w:pPr>
        <w:pStyle w:val="BodyText2"/>
        <w:spacing w:after="0" w:line="240" w:lineRule="auto"/>
        <w:rPr>
          <w:rFonts w:ascii="Verdana" w:hAnsi="Verdana"/>
          <w:sz w:val="15"/>
          <w:szCs w:val="15"/>
        </w:rPr>
      </w:pPr>
    </w:p>
    <w:p w14:paraId="43952FCB" w14:textId="77777777" w:rsidR="00327BF9" w:rsidRDefault="00327BF9" w:rsidP="00327BF9">
      <w:pPr>
        <w:pStyle w:val="BodyText2"/>
        <w:spacing w:after="0" w:line="240" w:lineRule="auto"/>
        <w:rPr>
          <w:rFonts w:ascii="Verdana" w:hAnsi="Verdana"/>
          <w:sz w:val="15"/>
          <w:szCs w:val="15"/>
        </w:rPr>
      </w:pPr>
    </w:p>
    <w:p w14:paraId="4D575ECE" w14:textId="77777777" w:rsidR="00327BF9" w:rsidRDefault="00327BF9" w:rsidP="00327BF9">
      <w:pPr>
        <w:pStyle w:val="BodyText2"/>
        <w:spacing w:after="0" w:line="240" w:lineRule="auto"/>
        <w:rPr>
          <w:rFonts w:ascii="Verdana" w:hAnsi="Verdana"/>
          <w:sz w:val="15"/>
          <w:szCs w:val="15"/>
        </w:rPr>
      </w:pPr>
    </w:p>
    <w:p w14:paraId="2BDCD96E" w14:textId="77777777" w:rsidR="00327BF9" w:rsidRDefault="00327BF9" w:rsidP="00327BF9">
      <w:pPr>
        <w:pStyle w:val="BodyText2"/>
        <w:spacing w:after="0" w:line="240" w:lineRule="auto"/>
        <w:rPr>
          <w:rFonts w:ascii="Verdana" w:hAnsi="Verdana"/>
          <w:sz w:val="15"/>
          <w:szCs w:val="15"/>
        </w:rPr>
      </w:pPr>
    </w:p>
    <w:p w14:paraId="528E2D92" w14:textId="77777777" w:rsidR="00327BF9" w:rsidRDefault="00327BF9" w:rsidP="00327BF9">
      <w:pPr>
        <w:pStyle w:val="BodyText2"/>
        <w:spacing w:after="0" w:line="240" w:lineRule="auto"/>
        <w:rPr>
          <w:rFonts w:ascii="Verdana" w:hAnsi="Verdana"/>
          <w:sz w:val="15"/>
          <w:szCs w:val="15"/>
        </w:rPr>
      </w:pPr>
    </w:p>
    <w:p w14:paraId="3377275C" w14:textId="77777777" w:rsidR="00327BF9" w:rsidRDefault="00327BF9" w:rsidP="00327BF9">
      <w:pPr>
        <w:pStyle w:val="BodyText2"/>
        <w:spacing w:after="0" w:line="240" w:lineRule="auto"/>
        <w:rPr>
          <w:rFonts w:ascii="Verdana" w:hAnsi="Verdana"/>
          <w:sz w:val="15"/>
          <w:szCs w:val="15"/>
        </w:rPr>
      </w:pPr>
    </w:p>
    <w:p w14:paraId="7D2DCEC8" w14:textId="77777777" w:rsidR="00327BF9" w:rsidRDefault="00327BF9" w:rsidP="00327BF9">
      <w:pPr>
        <w:pStyle w:val="BodyText2"/>
        <w:spacing w:after="0" w:line="240" w:lineRule="auto"/>
        <w:rPr>
          <w:rFonts w:ascii="Verdana" w:hAnsi="Verdana"/>
          <w:sz w:val="15"/>
          <w:szCs w:val="15"/>
        </w:rPr>
      </w:pPr>
    </w:p>
    <w:p w14:paraId="6162D11B" w14:textId="77777777" w:rsidR="00327BF9" w:rsidRDefault="00327BF9" w:rsidP="00327BF9">
      <w:pPr>
        <w:pStyle w:val="BodyText2"/>
        <w:spacing w:after="0" w:line="240" w:lineRule="auto"/>
        <w:rPr>
          <w:rFonts w:ascii="Verdana" w:hAnsi="Verdana"/>
          <w:sz w:val="15"/>
          <w:szCs w:val="15"/>
        </w:rPr>
      </w:pPr>
    </w:p>
    <w:p w14:paraId="26FCDBCA" w14:textId="77777777" w:rsidR="00327BF9" w:rsidRPr="00B81A28" w:rsidRDefault="00327BF9" w:rsidP="00327BF9">
      <w:pPr>
        <w:pStyle w:val="BodyText2"/>
        <w:spacing w:after="0" w:line="240" w:lineRule="auto"/>
        <w:rPr>
          <w:rFonts w:ascii="Verdana" w:hAnsi="Verdana"/>
          <w:sz w:val="15"/>
          <w:szCs w:val="15"/>
        </w:rPr>
      </w:pPr>
    </w:p>
    <w:bookmarkEnd w:id="6"/>
    <w:p w14:paraId="4D88AC33" w14:textId="77777777" w:rsidR="00327BF9" w:rsidRPr="0015061A" w:rsidRDefault="00327BF9" w:rsidP="00327BF9">
      <w:pPr>
        <w:pBdr>
          <w:top w:val="single" w:sz="4" w:space="1" w:color="auto"/>
        </w:pBdr>
        <w:spacing w:after="0" w:line="240" w:lineRule="auto"/>
        <w:ind w:right="567"/>
        <w:rPr>
          <w:rFonts w:ascii="Verdana" w:hAnsi="Verdana"/>
          <w:sz w:val="14"/>
          <w:szCs w:val="14"/>
          <w:lang w:eastAsia="en-ZA"/>
        </w:rPr>
      </w:pPr>
      <w:r w:rsidRPr="0015061A">
        <w:rPr>
          <w:rFonts w:ascii="Verdana" w:hAnsi="Verdana"/>
          <w:b/>
          <w:i/>
          <w:color w:val="0F0D35"/>
          <w:sz w:val="14"/>
          <w:szCs w:val="14"/>
        </w:rPr>
        <w:t xml:space="preserve">Disclaimer: </w:t>
      </w:r>
      <w:r w:rsidRPr="0015061A">
        <w:rPr>
          <w:rFonts w:ascii="Verdana" w:hAnsi="Verdana"/>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0F42F5E0" w14:textId="77777777" w:rsidR="00327BF9" w:rsidRPr="0015061A" w:rsidRDefault="00327BF9" w:rsidP="00327BF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16DF4195" w14:textId="77777777" w:rsidR="00327BF9" w:rsidRPr="0015061A" w:rsidRDefault="00327BF9" w:rsidP="00327BF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DE3B53E" w14:textId="77777777" w:rsidR="00327BF9" w:rsidRPr="0015061A" w:rsidRDefault="00327BF9" w:rsidP="00327BF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73ACC344" w14:textId="77777777" w:rsidR="00327BF9" w:rsidRPr="0015061A" w:rsidRDefault="00327BF9" w:rsidP="00327BF9">
      <w:pPr>
        <w:pBdr>
          <w:bottom w:val="single" w:sz="4" w:space="1" w:color="auto"/>
        </w:pBdr>
        <w:shd w:val="clear" w:color="auto" w:fill="FFFFFF"/>
        <w:spacing w:after="0" w:line="240" w:lineRule="auto"/>
        <w:ind w:right="567"/>
        <w:jc w:val="both"/>
        <w:rPr>
          <w:rFonts w:ascii="Verdana" w:hAnsi="Verdana"/>
          <w:sz w:val="14"/>
          <w:szCs w:val="14"/>
        </w:rPr>
      </w:pPr>
      <w:r w:rsidRPr="0015061A">
        <w:rPr>
          <w:rFonts w:ascii="Verdana" w:hAnsi="Verdana"/>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bookmarkEnd w:id="7"/>
    </w:p>
    <w:p w14:paraId="1C38EAFF" w14:textId="77777777" w:rsidR="00A66AA3" w:rsidRDefault="00A66AA3" w:rsidP="00CA4EAA">
      <w:pPr>
        <w:spacing w:after="0" w:line="240" w:lineRule="auto"/>
        <w:jc w:val="center"/>
        <w:rPr>
          <w:rFonts w:ascii="Verdana" w:hAnsi="Verdana"/>
          <w:sz w:val="15"/>
          <w:szCs w:val="15"/>
        </w:rPr>
      </w:pPr>
    </w:p>
    <w:sectPr w:rsidR="00A66AA3" w:rsidSect="004B1D7C">
      <w:footerReference w:type="default" r:id="rId10"/>
      <w:pgSz w:w="16838" w:h="11906" w:orient="landscape" w:code="9"/>
      <w:pgMar w:top="567" w:right="851" w:bottom="567" w:left="45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9260B" w14:textId="77777777" w:rsidR="009E2089" w:rsidRDefault="009E2089">
      <w:pPr>
        <w:spacing w:after="0" w:line="240" w:lineRule="auto"/>
      </w:pPr>
      <w:r>
        <w:separator/>
      </w:r>
    </w:p>
  </w:endnote>
  <w:endnote w:type="continuationSeparator" w:id="0">
    <w:p w14:paraId="4CFD91C1" w14:textId="77777777" w:rsidR="009E2089" w:rsidRDefault="009E2089">
      <w:pPr>
        <w:spacing w:after="0" w:line="240" w:lineRule="auto"/>
      </w:pPr>
      <w:r>
        <w:continuationSeparator/>
      </w:r>
    </w:p>
  </w:endnote>
  <w:endnote w:type="continuationNotice" w:id="1">
    <w:p w14:paraId="01193F54" w14:textId="77777777" w:rsidR="009E2089" w:rsidRDefault="009E2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5B13" w14:textId="5D7A59F2" w:rsidR="009E2089" w:rsidRPr="000E643A" w:rsidRDefault="009E2089" w:rsidP="009D6F66">
    <w:pPr>
      <w:pStyle w:val="Footer"/>
      <w:jc w:val="center"/>
      <w:rPr>
        <w:rFonts w:ascii="Verdana" w:hAnsi="Verdana"/>
        <w:sz w:val="20"/>
        <w:szCs w:val="20"/>
      </w:rPr>
    </w:pPr>
    <w:r w:rsidRPr="000E643A">
      <w:rPr>
        <w:rFonts w:ascii="Verdana" w:hAnsi="Verdana"/>
        <w:sz w:val="20"/>
        <w:szCs w:val="20"/>
      </w:rPr>
      <w:fldChar w:fldCharType="begin"/>
    </w:r>
    <w:r w:rsidRPr="000E643A">
      <w:rPr>
        <w:rFonts w:ascii="Verdana" w:hAnsi="Verdana"/>
        <w:sz w:val="20"/>
        <w:szCs w:val="20"/>
      </w:rPr>
      <w:instrText xml:space="preserve"> PAGE   \* MERGEFORMAT </w:instrText>
    </w:r>
    <w:r w:rsidRPr="000E643A">
      <w:rPr>
        <w:rFonts w:ascii="Verdana" w:hAnsi="Verdana"/>
        <w:sz w:val="20"/>
        <w:szCs w:val="20"/>
      </w:rPr>
      <w:fldChar w:fldCharType="separate"/>
    </w:r>
    <w:r>
      <w:rPr>
        <w:rFonts w:ascii="Verdana" w:hAnsi="Verdana"/>
        <w:noProof/>
        <w:sz w:val="20"/>
        <w:szCs w:val="20"/>
      </w:rPr>
      <w:t>1</w:t>
    </w:r>
    <w:r w:rsidRPr="000E643A">
      <w:rP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82AD" w14:textId="77777777" w:rsidR="009E2089" w:rsidRDefault="009E2089" w:rsidP="004B1D7C">
    <w:pPr>
      <w:pStyle w:val="Footer"/>
      <w:jc w:val="center"/>
    </w:pP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FE12" w14:textId="77777777" w:rsidR="009E2089" w:rsidRDefault="009E2089">
      <w:pPr>
        <w:spacing w:after="0" w:line="240" w:lineRule="auto"/>
      </w:pPr>
      <w:r>
        <w:separator/>
      </w:r>
    </w:p>
  </w:footnote>
  <w:footnote w:type="continuationSeparator" w:id="0">
    <w:p w14:paraId="34A23104" w14:textId="77777777" w:rsidR="009E2089" w:rsidRDefault="009E2089">
      <w:pPr>
        <w:spacing w:after="0" w:line="240" w:lineRule="auto"/>
      </w:pPr>
      <w:r>
        <w:continuationSeparator/>
      </w:r>
    </w:p>
  </w:footnote>
  <w:footnote w:type="continuationNotice" w:id="1">
    <w:p w14:paraId="0CDA82B5" w14:textId="77777777" w:rsidR="009E2089" w:rsidRDefault="009E20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CB9"/>
    <w:multiLevelType w:val="hybridMultilevel"/>
    <w:tmpl w:val="04382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CF7D0E"/>
    <w:multiLevelType w:val="hybridMultilevel"/>
    <w:tmpl w:val="B74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43C3"/>
    <w:multiLevelType w:val="hybridMultilevel"/>
    <w:tmpl w:val="AFBE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D1B63"/>
    <w:multiLevelType w:val="hybridMultilevel"/>
    <w:tmpl w:val="D58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F5657"/>
    <w:multiLevelType w:val="hybridMultilevel"/>
    <w:tmpl w:val="FC4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C2"/>
    <w:rsid w:val="00002E78"/>
    <w:rsid w:val="00005213"/>
    <w:rsid w:val="000053FE"/>
    <w:rsid w:val="0000566B"/>
    <w:rsid w:val="0001213B"/>
    <w:rsid w:val="00016F20"/>
    <w:rsid w:val="00020E51"/>
    <w:rsid w:val="00022FB0"/>
    <w:rsid w:val="00023482"/>
    <w:rsid w:val="000266F1"/>
    <w:rsid w:val="00027875"/>
    <w:rsid w:val="0003202F"/>
    <w:rsid w:val="00032320"/>
    <w:rsid w:val="00032872"/>
    <w:rsid w:val="0003298B"/>
    <w:rsid w:val="00032E68"/>
    <w:rsid w:val="00034689"/>
    <w:rsid w:val="000350DA"/>
    <w:rsid w:val="00037770"/>
    <w:rsid w:val="000408DA"/>
    <w:rsid w:val="00045016"/>
    <w:rsid w:val="00045484"/>
    <w:rsid w:val="00046BB7"/>
    <w:rsid w:val="000507BA"/>
    <w:rsid w:val="00051177"/>
    <w:rsid w:val="000516A6"/>
    <w:rsid w:val="000516BD"/>
    <w:rsid w:val="00052C58"/>
    <w:rsid w:val="000537F7"/>
    <w:rsid w:val="00053B5A"/>
    <w:rsid w:val="000545F1"/>
    <w:rsid w:val="0005590C"/>
    <w:rsid w:val="00064779"/>
    <w:rsid w:val="00064E2B"/>
    <w:rsid w:val="00064E9C"/>
    <w:rsid w:val="00066A15"/>
    <w:rsid w:val="00070D1C"/>
    <w:rsid w:val="00075349"/>
    <w:rsid w:val="000769D0"/>
    <w:rsid w:val="00076DAE"/>
    <w:rsid w:val="000772CD"/>
    <w:rsid w:val="00077397"/>
    <w:rsid w:val="00077EE5"/>
    <w:rsid w:val="00081234"/>
    <w:rsid w:val="00083EEA"/>
    <w:rsid w:val="00085AD4"/>
    <w:rsid w:val="00086D14"/>
    <w:rsid w:val="00093136"/>
    <w:rsid w:val="00094491"/>
    <w:rsid w:val="00096269"/>
    <w:rsid w:val="00096B65"/>
    <w:rsid w:val="000A01B6"/>
    <w:rsid w:val="000A073B"/>
    <w:rsid w:val="000A225A"/>
    <w:rsid w:val="000A3C3A"/>
    <w:rsid w:val="000A610F"/>
    <w:rsid w:val="000B02F3"/>
    <w:rsid w:val="000B2714"/>
    <w:rsid w:val="000B3385"/>
    <w:rsid w:val="000C38DE"/>
    <w:rsid w:val="000C4FD3"/>
    <w:rsid w:val="000D1527"/>
    <w:rsid w:val="000D1550"/>
    <w:rsid w:val="000D2236"/>
    <w:rsid w:val="000D22F3"/>
    <w:rsid w:val="000D34D3"/>
    <w:rsid w:val="000D538E"/>
    <w:rsid w:val="000D543C"/>
    <w:rsid w:val="000D5AAF"/>
    <w:rsid w:val="000D7725"/>
    <w:rsid w:val="000E1EBE"/>
    <w:rsid w:val="000E2BD0"/>
    <w:rsid w:val="000E463F"/>
    <w:rsid w:val="000F0EEC"/>
    <w:rsid w:val="000F16A1"/>
    <w:rsid w:val="000F1A7C"/>
    <w:rsid w:val="000F4481"/>
    <w:rsid w:val="000F5EAD"/>
    <w:rsid w:val="000F6FBA"/>
    <w:rsid w:val="000F7847"/>
    <w:rsid w:val="00102C42"/>
    <w:rsid w:val="00103507"/>
    <w:rsid w:val="001048C7"/>
    <w:rsid w:val="001053FF"/>
    <w:rsid w:val="00106203"/>
    <w:rsid w:val="001070DB"/>
    <w:rsid w:val="0011080B"/>
    <w:rsid w:val="00110A0C"/>
    <w:rsid w:val="001110F6"/>
    <w:rsid w:val="00111C5B"/>
    <w:rsid w:val="0011656F"/>
    <w:rsid w:val="00116714"/>
    <w:rsid w:val="001169EF"/>
    <w:rsid w:val="00116CFD"/>
    <w:rsid w:val="001209A4"/>
    <w:rsid w:val="0012237B"/>
    <w:rsid w:val="001249B2"/>
    <w:rsid w:val="00126AFC"/>
    <w:rsid w:val="00133056"/>
    <w:rsid w:val="001347C5"/>
    <w:rsid w:val="00134BC8"/>
    <w:rsid w:val="00141119"/>
    <w:rsid w:val="001412F8"/>
    <w:rsid w:val="00142D23"/>
    <w:rsid w:val="001431DC"/>
    <w:rsid w:val="00143C95"/>
    <w:rsid w:val="00151360"/>
    <w:rsid w:val="001517BA"/>
    <w:rsid w:val="00152425"/>
    <w:rsid w:val="001529BD"/>
    <w:rsid w:val="001553EE"/>
    <w:rsid w:val="0016131A"/>
    <w:rsid w:val="001647F8"/>
    <w:rsid w:val="00170B38"/>
    <w:rsid w:val="00171D05"/>
    <w:rsid w:val="001732F3"/>
    <w:rsid w:val="00173455"/>
    <w:rsid w:val="001735CB"/>
    <w:rsid w:val="00174B9D"/>
    <w:rsid w:val="0017668C"/>
    <w:rsid w:val="00177B23"/>
    <w:rsid w:val="00183178"/>
    <w:rsid w:val="00184532"/>
    <w:rsid w:val="00184827"/>
    <w:rsid w:val="00187301"/>
    <w:rsid w:val="001904F4"/>
    <w:rsid w:val="00193390"/>
    <w:rsid w:val="0019623B"/>
    <w:rsid w:val="00196518"/>
    <w:rsid w:val="00196A64"/>
    <w:rsid w:val="001A0A67"/>
    <w:rsid w:val="001A352B"/>
    <w:rsid w:val="001A6880"/>
    <w:rsid w:val="001A73A2"/>
    <w:rsid w:val="001A7BE6"/>
    <w:rsid w:val="001B0F2E"/>
    <w:rsid w:val="001B4A41"/>
    <w:rsid w:val="001B5538"/>
    <w:rsid w:val="001B57C2"/>
    <w:rsid w:val="001B7F29"/>
    <w:rsid w:val="001C21C3"/>
    <w:rsid w:val="001C5234"/>
    <w:rsid w:val="001D016C"/>
    <w:rsid w:val="001D3A32"/>
    <w:rsid w:val="001D4149"/>
    <w:rsid w:val="001D494B"/>
    <w:rsid w:val="001D60F7"/>
    <w:rsid w:val="001D78A3"/>
    <w:rsid w:val="001E0201"/>
    <w:rsid w:val="001E038E"/>
    <w:rsid w:val="001E1D4D"/>
    <w:rsid w:val="001E222F"/>
    <w:rsid w:val="001E7383"/>
    <w:rsid w:val="001F0421"/>
    <w:rsid w:val="001F3AF6"/>
    <w:rsid w:val="001F4014"/>
    <w:rsid w:val="001F41D7"/>
    <w:rsid w:val="001F5783"/>
    <w:rsid w:val="001F5B54"/>
    <w:rsid w:val="00200D21"/>
    <w:rsid w:val="00200E25"/>
    <w:rsid w:val="00202043"/>
    <w:rsid w:val="0020214D"/>
    <w:rsid w:val="002021B4"/>
    <w:rsid w:val="00205516"/>
    <w:rsid w:val="00206499"/>
    <w:rsid w:val="002071F1"/>
    <w:rsid w:val="00211755"/>
    <w:rsid w:val="00211777"/>
    <w:rsid w:val="00212D6A"/>
    <w:rsid w:val="00223CDD"/>
    <w:rsid w:val="00224204"/>
    <w:rsid w:val="0022496C"/>
    <w:rsid w:val="00232328"/>
    <w:rsid w:val="00232B11"/>
    <w:rsid w:val="00232E52"/>
    <w:rsid w:val="0023426C"/>
    <w:rsid w:val="0023575D"/>
    <w:rsid w:val="00235F3A"/>
    <w:rsid w:val="00236E40"/>
    <w:rsid w:val="00236EDE"/>
    <w:rsid w:val="00243081"/>
    <w:rsid w:val="00243D59"/>
    <w:rsid w:val="00244B48"/>
    <w:rsid w:val="00245098"/>
    <w:rsid w:val="00246C54"/>
    <w:rsid w:val="00247C23"/>
    <w:rsid w:val="002508FA"/>
    <w:rsid w:val="00251179"/>
    <w:rsid w:val="00257A56"/>
    <w:rsid w:val="00260A82"/>
    <w:rsid w:val="002616C8"/>
    <w:rsid w:val="00261F82"/>
    <w:rsid w:val="002639CF"/>
    <w:rsid w:val="002661A1"/>
    <w:rsid w:val="00267FC4"/>
    <w:rsid w:val="00270CC2"/>
    <w:rsid w:val="00272F22"/>
    <w:rsid w:val="00276D87"/>
    <w:rsid w:val="00281358"/>
    <w:rsid w:val="002814EC"/>
    <w:rsid w:val="00283BE8"/>
    <w:rsid w:val="00287F6E"/>
    <w:rsid w:val="00290585"/>
    <w:rsid w:val="00292091"/>
    <w:rsid w:val="0029255F"/>
    <w:rsid w:val="00293F99"/>
    <w:rsid w:val="00295A6F"/>
    <w:rsid w:val="002979DF"/>
    <w:rsid w:val="002A05AB"/>
    <w:rsid w:val="002A1604"/>
    <w:rsid w:val="002A1A42"/>
    <w:rsid w:val="002A1E35"/>
    <w:rsid w:val="002A4C83"/>
    <w:rsid w:val="002A5BB8"/>
    <w:rsid w:val="002A60F2"/>
    <w:rsid w:val="002A6DDB"/>
    <w:rsid w:val="002B1ACA"/>
    <w:rsid w:val="002B46CC"/>
    <w:rsid w:val="002B4C37"/>
    <w:rsid w:val="002B5EEF"/>
    <w:rsid w:val="002B7817"/>
    <w:rsid w:val="002B7E78"/>
    <w:rsid w:val="002C0B33"/>
    <w:rsid w:val="002C2E4C"/>
    <w:rsid w:val="002C455E"/>
    <w:rsid w:val="002C54B1"/>
    <w:rsid w:val="002C6CD1"/>
    <w:rsid w:val="002C726B"/>
    <w:rsid w:val="002D039B"/>
    <w:rsid w:val="002D256E"/>
    <w:rsid w:val="002D3D09"/>
    <w:rsid w:val="002D5AB3"/>
    <w:rsid w:val="002E37FB"/>
    <w:rsid w:val="002E3E15"/>
    <w:rsid w:val="002E4309"/>
    <w:rsid w:val="002E7004"/>
    <w:rsid w:val="002F0609"/>
    <w:rsid w:val="002F1904"/>
    <w:rsid w:val="002F2464"/>
    <w:rsid w:val="002F266F"/>
    <w:rsid w:val="002F6B02"/>
    <w:rsid w:val="003013DE"/>
    <w:rsid w:val="003013F0"/>
    <w:rsid w:val="00301C70"/>
    <w:rsid w:val="00302ECA"/>
    <w:rsid w:val="00303316"/>
    <w:rsid w:val="00303852"/>
    <w:rsid w:val="00303F22"/>
    <w:rsid w:val="003046FC"/>
    <w:rsid w:val="00310563"/>
    <w:rsid w:val="003141B1"/>
    <w:rsid w:val="00314EC9"/>
    <w:rsid w:val="00315A22"/>
    <w:rsid w:val="0031759E"/>
    <w:rsid w:val="0032178C"/>
    <w:rsid w:val="00321839"/>
    <w:rsid w:val="00322A18"/>
    <w:rsid w:val="00327332"/>
    <w:rsid w:val="003275AF"/>
    <w:rsid w:val="00327BF9"/>
    <w:rsid w:val="00331AE1"/>
    <w:rsid w:val="003334D9"/>
    <w:rsid w:val="00333A81"/>
    <w:rsid w:val="00335E45"/>
    <w:rsid w:val="00341819"/>
    <w:rsid w:val="00344C04"/>
    <w:rsid w:val="003476DD"/>
    <w:rsid w:val="0035519C"/>
    <w:rsid w:val="0036056F"/>
    <w:rsid w:val="0036191F"/>
    <w:rsid w:val="00365C9F"/>
    <w:rsid w:val="00370222"/>
    <w:rsid w:val="003731D7"/>
    <w:rsid w:val="0037422F"/>
    <w:rsid w:val="0038020F"/>
    <w:rsid w:val="00380411"/>
    <w:rsid w:val="00380F0F"/>
    <w:rsid w:val="0038172D"/>
    <w:rsid w:val="003839E4"/>
    <w:rsid w:val="00383D2D"/>
    <w:rsid w:val="00383E89"/>
    <w:rsid w:val="00383F2F"/>
    <w:rsid w:val="00386547"/>
    <w:rsid w:val="003873E8"/>
    <w:rsid w:val="003906A1"/>
    <w:rsid w:val="00390C48"/>
    <w:rsid w:val="00390CDF"/>
    <w:rsid w:val="0039176D"/>
    <w:rsid w:val="00392B5B"/>
    <w:rsid w:val="00393EEB"/>
    <w:rsid w:val="003A095F"/>
    <w:rsid w:val="003A1D02"/>
    <w:rsid w:val="003A75F0"/>
    <w:rsid w:val="003B29B3"/>
    <w:rsid w:val="003B33C2"/>
    <w:rsid w:val="003B401C"/>
    <w:rsid w:val="003B4418"/>
    <w:rsid w:val="003B5EF2"/>
    <w:rsid w:val="003B6289"/>
    <w:rsid w:val="003B7C86"/>
    <w:rsid w:val="003C04A0"/>
    <w:rsid w:val="003C0523"/>
    <w:rsid w:val="003C661C"/>
    <w:rsid w:val="003D1D70"/>
    <w:rsid w:val="003D2311"/>
    <w:rsid w:val="003D5875"/>
    <w:rsid w:val="003D66ED"/>
    <w:rsid w:val="003E24C0"/>
    <w:rsid w:val="003E3D3E"/>
    <w:rsid w:val="003E4028"/>
    <w:rsid w:val="003E6C10"/>
    <w:rsid w:val="003E7271"/>
    <w:rsid w:val="003E73E8"/>
    <w:rsid w:val="003F104F"/>
    <w:rsid w:val="003F2B99"/>
    <w:rsid w:val="003F33D4"/>
    <w:rsid w:val="003F45BB"/>
    <w:rsid w:val="003F6ED8"/>
    <w:rsid w:val="003F7D5D"/>
    <w:rsid w:val="00400144"/>
    <w:rsid w:val="004023D8"/>
    <w:rsid w:val="00405D89"/>
    <w:rsid w:val="00410D81"/>
    <w:rsid w:val="00410FD0"/>
    <w:rsid w:val="00412981"/>
    <w:rsid w:val="004217C4"/>
    <w:rsid w:val="00425E65"/>
    <w:rsid w:val="004261C5"/>
    <w:rsid w:val="004262AE"/>
    <w:rsid w:val="004272AA"/>
    <w:rsid w:val="004356A6"/>
    <w:rsid w:val="00440A5C"/>
    <w:rsid w:val="00440B25"/>
    <w:rsid w:val="00440D2D"/>
    <w:rsid w:val="004429EE"/>
    <w:rsid w:val="00443C28"/>
    <w:rsid w:val="00443C97"/>
    <w:rsid w:val="00444919"/>
    <w:rsid w:val="0044631B"/>
    <w:rsid w:val="00446517"/>
    <w:rsid w:val="004469A1"/>
    <w:rsid w:val="00447140"/>
    <w:rsid w:val="004474AA"/>
    <w:rsid w:val="00447F35"/>
    <w:rsid w:val="004528D3"/>
    <w:rsid w:val="00452E73"/>
    <w:rsid w:val="004532B4"/>
    <w:rsid w:val="004540AB"/>
    <w:rsid w:val="004563FA"/>
    <w:rsid w:val="004573A0"/>
    <w:rsid w:val="00460B3E"/>
    <w:rsid w:val="004611DD"/>
    <w:rsid w:val="00461F57"/>
    <w:rsid w:val="004639ED"/>
    <w:rsid w:val="004652A4"/>
    <w:rsid w:val="004675AA"/>
    <w:rsid w:val="00476728"/>
    <w:rsid w:val="00483DCB"/>
    <w:rsid w:val="00484EC5"/>
    <w:rsid w:val="00487297"/>
    <w:rsid w:val="00490B70"/>
    <w:rsid w:val="00491BF5"/>
    <w:rsid w:val="00494488"/>
    <w:rsid w:val="00494859"/>
    <w:rsid w:val="00496B90"/>
    <w:rsid w:val="004A190D"/>
    <w:rsid w:val="004A2054"/>
    <w:rsid w:val="004A4C68"/>
    <w:rsid w:val="004B1A20"/>
    <w:rsid w:val="004B1D7C"/>
    <w:rsid w:val="004B2F2D"/>
    <w:rsid w:val="004B563F"/>
    <w:rsid w:val="004B5945"/>
    <w:rsid w:val="004B7F2C"/>
    <w:rsid w:val="004C11EB"/>
    <w:rsid w:val="004C1EAA"/>
    <w:rsid w:val="004C3166"/>
    <w:rsid w:val="004C3555"/>
    <w:rsid w:val="004C39A8"/>
    <w:rsid w:val="004C3CE1"/>
    <w:rsid w:val="004C5E99"/>
    <w:rsid w:val="004D108A"/>
    <w:rsid w:val="004D28D3"/>
    <w:rsid w:val="004D43A9"/>
    <w:rsid w:val="004D740C"/>
    <w:rsid w:val="004E4D0D"/>
    <w:rsid w:val="004E5B03"/>
    <w:rsid w:val="004E6342"/>
    <w:rsid w:val="004E7229"/>
    <w:rsid w:val="004E72A2"/>
    <w:rsid w:val="004F00AB"/>
    <w:rsid w:val="004F0A4B"/>
    <w:rsid w:val="004F2DAA"/>
    <w:rsid w:val="004F2EE9"/>
    <w:rsid w:val="004F397D"/>
    <w:rsid w:val="004F6E23"/>
    <w:rsid w:val="004F78B7"/>
    <w:rsid w:val="004F7DBF"/>
    <w:rsid w:val="00500268"/>
    <w:rsid w:val="0050303F"/>
    <w:rsid w:val="00503DFD"/>
    <w:rsid w:val="005112C3"/>
    <w:rsid w:val="00512BC3"/>
    <w:rsid w:val="00513ACC"/>
    <w:rsid w:val="005147B3"/>
    <w:rsid w:val="00520140"/>
    <w:rsid w:val="00521DEF"/>
    <w:rsid w:val="005244BF"/>
    <w:rsid w:val="00524C86"/>
    <w:rsid w:val="00527637"/>
    <w:rsid w:val="00531FDD"/>
    <w:rsid w:val="00535956"/>
    <w:rsid w:val="00535AD6"/>
    <w:rsid w:val="005374D0"/>
    <w:rsid w:val="00537D14"/>
    <w:rsid w:val="00540932"/>
    <w:rsid w:val="00541B94"/>
    <w:rsid w:val="00541CD2"/>
    <w:rsid w:val="00542089"/>
    <w:rsid w:val="005420A9"/>
    <w:rsid w:val="00542996"/>
    <w:rsid w:val="00543E85"/>
    <w:rsid w:val="00544491"/>
    <w:rsid w:val="00545FC5"/>
    <w:rsid w:val="00546815"/>
    <w:rsid w:val="00547B42"/>
    <w:rsid w:val="005502A8"/>
    <w:rsid w:val="00551C0F"/>
    <w:rsid w:val="00552A16"/>
    <w:rsid w:val="00553F0E"/>
    <w:rsid w:val="00554058"/>
    <w:rsid w:val="00554AEF"/>
    <w:rsid w:val="00557888"/>
    <w:rsid w:val="005578EE"/>
    <w:rsid w:val="0056034D"/>
    <w:rsid w:val="00560BF6"/>
    <w:rsid w:val="005632C8"/>
    <w:rsid w:val="00564A95"/>
    <w:rsid w:val="005650F7"/>
    <w:rsid w:val="00571D9E"/>
    <w:rsid w:val="0057580E"/>
    <w:rsid w:val="005765B6"/>
    <w:rsid w:val="00576B44"/>
    <w:rsid w:val="0058197F"/>
    <w:rsid w:val="005844E7"/>
    <w:rsid w:val="0058488A"/>
    <w:rsid w:val="00586E39"/>
    <w:rsid w:val="00591B98"/>
    <w:rsid w:val="00592851"/>
    <w:rsid w:val="00592CC7"/>
    <w:rsid w:val="005932AD"/>
    <w:rsid w:val="00597059"/>
    <w:rsid w:val="005A09D3"/>
    <w:rsid w:val="005A0EE8"/>
    <w:rsid w:val="005A173A"/>
    <w:rsid w:val="005A758C"/>
    <w:rsid w:val="005A7E70"/>
    <w:rsid w:val="005B0727"/>
    <w:rsid w:val="005B07E2"/>
    <w:rsid w:val="005B35EB"/>
    <w:rsid w:val="005B5271"/>
    <w:rsid w:val="005B5CC0"/>
    <w:rsid w:val="005C1940"/>
    <w:rsid w:val="005C26CB"/>
    <w:rsid w:val="005C2F9B"/>
    <w:rsid w:val="005D13EA"/>
    <w:rsid w:val="005D21C8"/>
    <w:rsid w:val="005D2F43"/>
    <w:rsid w:val="005D3262"/>
    <w:rsid w:val="005D4F80"/>
    <w:rsid w:val="005D565C"/>
    <w:rsid w:val="005D5927"/>
    <w:rsid w:val="005D5AA4"/>
    <w:rsid w:val="005E0B21"/>
    <w:rsid w:val="005E0C8E"/>
    <w:rsid w:val="005E1064"/>
    <w:rsid w:val="005E3964"/>
    <w:rsid w:val="005E525F"/>
    <w:rsid w:val="005F0330"/>
    <w:rsid w:val="005F04FF"/>
    <w:rsid w:val="005F077D"/>
    <w:rsid w:val="005F09E3"/>
    <w:rsid w:val="005F0DA5"/>
    <w:rsid w:val="005F0FF3"/>
    <w:rsid w:val="005F1467"/>
    <w:rsid w:val="005F38A5"/>
    <w:rsid w:val="005F48B2"/>
    <w:rsid w:val="0060068C"/>
    <w:rsid w:val="0060106F"/>
    <w:rsid w:val="006014B8"/>
    <w:rsid w:val="006041EE"/>
    <w:rsid w:val="00605B57"/>
    <w:rsid w:val="00610DEA"/>
    <w:rsid w:val="0061117A"/>
    <w:rsid w:val="00611BC1"/>
    <w:rsid w:val="006121BD"/>
    <w:rsid w:val="00612B7A"/>
    <w:rsid w:val="00613320"/>
    <w:rsid w:val="0061409B"/>
    <w:rsid w:val="0061458E"/>
    <w:rsid w:val="00617D5D"/>
    <w:rsid w:val="00623323"/>
    <w:rsid w:val="0062428E"/>
    <w:rsid w:val="006247DE"/>
    <w:rsid w:val="006263C8"/>
    <w:rsid w:val="00631C0D"/>
    <w:rsid w:val="00634822"/>
    <w:rsid w:val="006357DA"/>
    <w:rsid w:val="00635AC2"/>
    <w:rsid w:val="00642187"/>
    <w:rsid w:val="00642DE4"/>
    <w:rsid w:val="0064469C"/>
    <w:rsid w:val="006470B6"/>
    <w:rsid w:val="0064733D"/>
    <w:rsid w:val="006476FC"/>
    <w:rsid w:val="00647AD6"/>
    <w:rsid w:val="006507EC"/>
    <w:rsid w:val="00652616"/>
    <w:rsid w:val="0065388F"/>
    <w:rsid w:val="006548D1"/>
    <w:rsid w:val="00656053"/>
    <w:rsid w:val="006577FE"/>
    <w:rsid w:val="006578F1"/>
    <w:rsid w:val="00657A17"/>
    <w:rsid w:val="006600F7"/>
    <w:rsid w:val="00660160"/>
    <w:rsid w:val="006614D4"/>
    <w:rsid w:val="0066162B"/>
    <w:rsid w:val="00663840"/>
    <w:rsid w:val="0066651B"/>
    <w:rsid w:val="00667AD0"/>
    <w:rsid w:val="00672858"/>
    <w:rsid w:val="00673D78"/>
    <w:rsid w:val="0067463A"/>
    <w:rsid w:val="00682A36"/>
    <w:rsid w:val="00682DBE"/>
    <w:rsid w:val="00683FBE"/>
    <w:rsid w:val="006841F4"/>
    <w:rsid w:val="00685427"/>
    <w:rsid w:val="00685A06"/>
    <w:rsid w:val="0068651F"/>
    <w:rsid w:val="00687EA9"/>
    <w:rsid w:val="00693056"/>
    <w:rsid w:val="00693E61"/>
    <w:rsid w:val="006A35E8"/>
    <w:rsid w:val="006A3687"/>
    <w:rsid w:val="006A6116"/>
    <w:rsid w:val="006B0E6A"/>
    <w:rsid w:val="006B2BC2"/>
    <w:rsid w:val="006B2EC6"/>
    <w:rsid w:val="006B4153"/>
    <w:rsid w:val="006B5AF1"/>
    <w:rsid w:val="006B6D3F"/>
    <w:rsid w:val="006C1167"/>
    <w:rsid w:val="006C235C"/>
    <w:rsid w:val="006C2D38"/>
    <w:rsid w:val="006C4A35"/>
    <w:rsid w:val="006D0075"/>
    <w:rsid w:val="006D0F75"/>
    <w:rsid w:val="006D1405"/>
    <w:rsid w:val="006D43EB"/>
    <w:rsid w:val="006D5153"/>
    <w:rsid w:val="006D5245"/>
    <w:rsid w:val="006D5891"/>
    <w:rsid w:val="006D7553"/>
    <w:rsid w:val="006E1893"/>
    <w:rsid w:val="006E1F7E"/>
    <w:rsid w:val="006E2FD3"/>
    <w:rsid w:val="006E3CFA"/>
    <w:rsid w:val="006E5458"/>
    <w:rsid w:val="006E55C8"/>
    <w:rsid w:val="006E608D"/>
    <w:rsid w:val="006E6D2B"/>
    <w:rsid w:val="006E74FA"/>
    <w:rsid w:val="006E77AC"/>
    <w:rsid w:val="006F024B"/>
    <w:rsid w:val="006F0E7C"/>
    <w:rsid w:val="006F2E11"/>
    <w:rsid w:val="006F6F32"/>
    <w:rsid w:val="006F788E"/>
    <w:rsid w:val="0070032A"/>
    <w:rsid w:val="00701EBD"/>
    <w:rsid w:val="00702161"/>
    <w:rsid w:val="00703924"/>
    <w:rsid w:val="00705459"/>
    <w:rsid w:val="00712E6E"/>
    <w:rsid w:val="00716932"/>
    <w:rsid w:val="00716B11"/>
    <w:rsid w:val="00717190"/>
    <w:rsid w:val="00717BE3"/>
    <w:rsid w:val="007231BE"/>
    <w:rsid w:val="007240C0"/>
    <w:rsid w:val="007243E2"/>
    <w:rsid w:val="00724424"/>
    <w:rsid w:val="007267E8"/>
    <w:rsid w:val="00727428"/>
    <w:rsid w:val="00730349"/>
    <w:rsid w:val="00730807"/>
    <w:rsid w:val="0073313A"/>
    <w:rsid w:val="007332BA"/>
    <w:rsid w:val="00736882"/>
    <w:rsid w:val="007373D9"/>
    <w:rsid w:val="00737E7C"/>
    <w:rsid w:val="00740DB9"/>
    <w:rsid w:val="00741320"/>
    <w:rsid w:val="00741FC3"/>
    <w:rsid w:val="007425DB"/>
    <w:rsid w:val="00742A1F"/>
    <w:rsid w:val="00742CC1"/>
    <w:rsid w:val="007433F5"/>
    <w:rsid w:val="00743FF9"/>
    <w:rsid w:val="00745125"/>
    <w:rsid w:val="00745BD9"/>
    <w:rsid w:val="00746A05"/>
    <w:rsid w:val="00747E71"/>
    <w:rsid w:val="0075388B"/>
    <w:rsid w:val="00756368"/>
    <w:rsid w:val="00756498"/>
    <w:rsid w:val="00763E15"/>
    <w:rsid w:val="00767CB5"/>
    <w:rsid w:val="007727F5"/>
    <w:rsid w:val="0077490B"/>
    <w:rsid w:val="00776CF0"/>
    <w:rsid w:val="00781D9C"/>
    <w:rsid w:val="007824B0"/>
    <w:rsid w:val="00785F49"/>
    <w:rsid w:val="00787467"/>
    <w:rsid w:val="00796D8F"/>
    <w:rsid w:val="007A13E0"/>
    <w:rsid w:val="007A24D3"/>
    <w:rsid w:val="007A37FF"/>
    <w:rsid w:val="007A3D28"/>
    <w:rsid w:val="007A453E"/>
    <w:rsid w:val="007A7A45"/>
    <w:rsid w:val="007B1572"/>
    <w:rsid w:val="007B1622"/>
    <w:rsid w:val="007B1CD4"/>
    <w:rsid w:val="007B2507"/>
    <w:rsid w:val="007B3B94"/>
    <w:rsid w:val="007B51D4"/>
    <w:rsid w:val="007B7142"/>
    <w:rsid w:val="007B7733"/>
    <w:rsid w:val="007C1607"/>
    <w:rsid w:val="007C3CE8"/>
    <w:rsid w:val="007C47E7"/>
    <w:rsid w:val="007C5375"/>
    <w:rsid w:val="007C62BE"/>
    <w:rsid w:val="007C6C35"/>
    <w:rsid w:val="007D032A"/>
    <w:rsid w:val="007D120C"/>
    <w:rsid w:val="007D2BEE"/>
    <w:rsid w:val="007D2D6B"/>
    <w:rsid w:val="007D3BB2"/>
    <w:rsid w:val="007D46EB"/>
    <w:rsid w:val="007D4EC3"/>
    <w:rsid w:val="007D6B41"/>
    <w:rsid w:val="007E12BE"/>
    <w:rsid w:val="007E3531"/>
    <w:rsid w:val="007E459C"/>
    <w:rsid w:val="007E4F2A"/>
    <w:rsid w:val="007E6895"/>
    <w:rsid w:val="007E7CBA"/>
    <w:rsid w:val="007F1C22"/>
    <w:rsid w:val="007F2782"/>
    <w:rsid w:val="007F3010"/>
    <w:rsid w:val="007F312E"/>
    <w:rsid w:val="007F432B"/>
    <w:rsid w:val="007F47EF"/>
    <w:rsid w:val="007F4AB9"/>
    <w:rsid w:val="007F6D3A"/>
    <w:rsid w:val="00801E3E"/>
    <w:rsid w:val="00803A9B"/>
    <w:rsid w:val="00806C16"/>
    <w:rsid w:val="00810020"/>
    <w:rsid w:val="00812548"/>
    <w:rsid w:val="00813C3E"/>
    <w:rsid w:val="0081400C"/>
    <w:rsid w:val="0081440A"/>
    <w:rsid w:val="00820885"/>
    <w:rsid w:val="00825A33"/>
    <w:rsid w:val="0082694E"/>
    <w:rsid w:val="00834D8B"/>
    <w:rsid w:val="00835858"/>
    <w:rsid w:val="0084039A"/>
    <w:rsid w:val="00841B0F"/>
    <w:rsid w:val="008420B0"/>
    <w:rsid w:val="0085010E"/>
    <w:rsid w:val="008510E5"/>
    <w:rsid w:val="00851330"/>
    <w:rsid w:val="00851619"/>
    <w:rsid w:val="00856757"/>
    <w:rsid w:val="00863C90"/>
    <w:rsid w:val="008656D1"/>
    <w:rsid w:val="008669E8"/>
    <w:rsid w:val="00871566"/>
    <w:rsid w:val="008753CD"/>
    <w:rsid w:val="008757D7"/>
    <w:rsid w:val="008761C0"/>
    <w:rsid w:val="008847AD"/>
    <w:rsid w:val="00884941"/>
    <w:rsid w:val="00884C07"/>
    <w:rsid w:val="00885688"/>
    <w:rsid w:val="008903B1"/>
    <w:rsid w:val="0089210D"/>
    <w:rsid w:val="00893552"/>
    <w:rsid w:val="00893785"/>
    <w:rsid w:val="00895CBD"/>
    <w:rsid w:val="00897917"/>
    <w:rsid w:val="00897F9D"/>
    <w:rsid w:val="008A0674"/>
    <w:rsid w:val="008A0931"/>
    <w:rsid w:val="008A2870"/>
    <w:rsid w:val="008A62B1"/>
    <w:rsid w:val="008B0986"/>
    <w:rsid w:val="008B2433"/>
    <w:rsid w:val="008C288A"/>
    <w:rsid w:val="008C33F3"/>
    <w:rsid w:val="008C359E"/>
    <w:rsid w:val="008C6305"/>
    <w:rsid w:val="008D0691"/>
    <w:rsid w:val="008D34E1"/>
    <w:rsid w:val="008D3BA0"/>
    <w:rsid w:val="008D56FA"/>
    <w:rsid w:val="008D679E"/>
    <w:rsid w:val="008D7762"/>
    <w:rsid w:val="008D77DA"/>
    <w:rsid w:val="008E3391"/>
    <w:rsid w:val="008E41E0"/>
    <w:rsid w:val="008E6011"/>
    <w:rsid w:val="008F0228"/>
    <w:rsid w:val="008F06FF"/>
    <w:rsid w:val="008F0BEC"/>
    <w:rsid w:val="008F1EC5"/>
    <w:rsid w:val="008F223F"/>
    <w:rsid w:val="008F40D8"/>
    <w:rsid w:val="008F4769"/>
    <w:rsid w:val="008F47F4"/>
    <w:rsid w:val="008F4C64"/>
    <w:rsid w:val="00902640"/>
    <w:rsid w:val="009028DE"/>
    <w:rsid w:val="00902906"/>
    <w:rsid w:val="009055A2"/>
    <w:rsid w:val="00907254"/>
    <w:rsid w:val="00911FC2"/>
    <w:rsid w:val="00913351"/>
    <w:rsid w:val="009157B1"/>
    <w:rsid w:val="009162CA"/>
    <w:rsid w:val="0092173D"/>
    <w:rsid w:val="0092286E"/>
    <w:rsid w:val="009254A0"/>
    <w:rsid w:val="00926B8B"/>
    <w:rsid w:val="00930048"/>
    <w:rsid w:val="00935C11"/>
    <w:rsid w:val="00935D6C"/>
    <w:rsid w:val="009363D5"/>
    <w:rsid w:val="00937ECC"/>
    <w:rsid w:val="009400FE"/>
    <w:rsid w:val="00941AFA"/>
    <w:rsid w:val="0094248C"/>
    <w:rsid w:val="00944D03"/>
    <w:rsid w:val="00945695"/>
    <w:rsid w:val="0094711E"/>
    <w:rsid w:val="009526E4"/>
    <w:rsid w:val="009565CC"/>
    <w:rsid w:val="009579FE"/>
    <w:rsid w:val="0096225F"/>
    <w:rsid w:val="00971865"/>
    <w:rsid w:val="0097294D"/>
    <w:rsid w:val="00974525"/>
    <w:rsid w:val="009772D2"/>
    <w:rsid w:val="00983269"/>
    <w:rsid w:val="00986EA1"/>
    <w:rsid w:val="00987A9E"/>
    <w:rsid w:val="00992C7A"/>
    <w:rsid w:val="009A2BE0"/>
    <w:rsid w:val="009B3ED9"/>
    <w:rsid w:val="009B5566"/>
    <w:rsid w:val="009B5A7B"/>
    <w:rsid w:val="009B6C02"/>
    <w:rsid w:val="009C0DA0"/>
    <w:rsid w:val="009C25E5"/>
    <w:rsid w:val="009C27A0"/>
    <w:rsid w:val="009C3E85"/>
    <w:rsid w:val="009C450D"/>
    <w:rsid w:val="009C598E"/>
    <w:rsid w:val="009C685F"/>
    <w:rsid w:val="009C74D2"/>
    <w:rsid w:val="009D0966"/>
    <w:rsid w:val="009D0C63"/>
    <w:rsid w:val="009D108A"/>
    <w:rsid w:val="009D48BF"/>
    <w:rsid w:val="009D574B"/>
    <w:rsid w:val="009D59CD"/>
    <w:rsid w:val="009D6F66"/>
    <w:rsid w:val="009D7E54"/>
    <w:rsid w:val="009E035C"/>
    <w:rsid w:val="009E12FA"/>
    <w:rsid w:val="009E2089"/>
    <w:rsid w:val="009E6B51"/>
    <w:rsid w:val="009E734C"/>
    <w:rsid w:val="009F1D55"/>
    <w:rsid w:val="009F1F74"/>
    <w:rsid w:val="009F3443"/>
    <w:rsid w:val="009F37F1"/>
    <w:rsid w:val="009F5B63"/>
    <w:rsid w:val="00A002C2"/>
    <w:rsid w:val="00A00A17"/>
    <w:rsid w:val="00A044D5"/>
    <w:rsid w:val="00A06CCB"/>
    <w:rsid w:val="00A07BDA"/>
    <w:rsid w:val="00A10548"/>
    <w:rsid w:val="00A12BC6"/>
    <w:rsid w:val="00A151D7"/>
    <w:rsid w:val="00A20F51"/>
    <w:rsid w:val="00A21431"/>
    <w:rsid w:val="00A23E02"/>
    <w:rsid w:val="00A24261"/>
    <w:rsid w:val="00A2563E"/>
    <w:rsid w:val="00A261A5"/>
    <w:rsid w:val="00A271CA"/>
    <w:rsid w:val="00A30B2E"/>
    <w:rsid w:val="00A351BB"/>
    <w:rsid w:val="00A35EAA"/>
    <w:rsid w:val="00A36473"/>
    <w:rsid w:val="00A376C3"/>
    <w:rsid w:val="00A41C79"/>
    <w:rsid w:val="00A43595"/>
    <w:rsid w:val="00A464D7"/>
    <w:rsid w:val="00A47148"/>
    <w:rsid w:val="00A472C0"/>
    <w:rsid w:val="00A552E7"/>
    <w:rsid w:val="00A553AB"/>
    <w:rsid w:val="00A56F5A"/>
    <w:rsid w:val="00A56F6D"/>
    <w:rsid w:val="00A60EFB"/>
    <w:rsid w:val="00A63FAB"/>
    <w:rsid w:val="00A66AA3"/>
    <w:rsid w:val="00A67470"/>
    <w:rsid w:val="00A71B17"/>
    <w:rsid w:val="00A71FA4"/>
    <w:rsid w:val="00A7232B"/>
    <w:rsid w:val="00A77C2C"/>
    <w:rsid w:val="00A80067"/>
    <w:rsid w:val="00A828BA"/>
    <w:rsid w:val="00A82F1A"/>
    <w:rsid w:val="00A90A83"/>
    <w:rsid w:val="00A92B56"/>
    <w:rsid w:val="00A93FCD"/>
    <w:rsid w:val="00A94AA7"/>
    <w:rsid w:val="00A9581B"/>
    <w:rsid w:val="00A96647"/>
    <w:rsid w:val="00AA11BE"/>
    <w:rsid w:val="00AA3705"/>
    <w:rsid w:val="00AA38F5"/>
    <w:rsid w:val="00AA3DA6"/>
    <w:rsid w:val="00AA6486"/>
    <w:rsid w:val="00AA6B91"/>
    <w:rsid w:val="00AB10A1"/>
    <w:rsid w:val="00AB1AF8"/>
    <w:rsid w:val="00AB4918"/>
    <w:rsid w:val="00AB56E7"/>
    <w:rsid w:val="00AB778D"/>
    <w:rsid w:val="00AC01C2"/>
    <w:rsid w:val="00AC388A"/>
    <w:rsid w:val="00AC5CCC"/>
    <w:rsid w:val="00AC608E"/>
    <w:rsid w:val="00AD5183"/>
    <w:rsid w:val="00AD7314"/>
    <w:rsid w:val="00AE0805"/>
    <w:rsid w:val="00AE2640"/>
    <w:rsid w:val="00AE2EA6"/>
    <w:rsid w:val="00AE5D88"/>
    <w:rsid w:val="00AE622B"/>
    <w:rsid w:val="00AE7070"/>
    <w:rsid w:val="00AF1FD2"/>
    <w:rsid w:val="00AF39D8"/>
    <w:rsid w:val="00AF539F"/>
    <w:rsid w:val="00AF68FC"/>
    <w:rsid w:val="00AF7DDA"/>
    <w:rsid w:val="00B04C21"/>
    <w:rsid w:val="00B06F77"/>
    <w:rsid w:val="00B07B9D"/>
    <w:rsid w:val="00B10852"/>
    <w:rsid w:val="00B1329B"/>
    <w:rsid w:val="00B1359D"/>
    <w:rsid w:val="00B1394B"/>
    <w:rsid w:val="00B13DC1"/>
    <w:rsid w:val="00B13ED9"/>
    <w:rsid w:val="00B15F5F"/>
    <w:rsid w:val="00B22F4F"/>
    <w:rsid w:val="00B2566A"/>
    <w:rsid w:val="00B26555"/>
    <w:rsid w:val="00B266B2"/>
    <w:rsid w:val="00B30966"/>
    <w:rsid w:val="00B3181C"/>
    <w:rsid w:val="00B31D2C"/>
    <w:rsid w:val="00B31E84"/>
    <w:rsid w:val="00B32D6E"/>
    <w:rsid w:val="00B3339E"/>
    <w:rsid w:val="00B354A5"/>
    <w:rsid w:val="00B36927"/>
    <w:rsid w:val="00B4107F"/>
    <w:rsid w:val="00B416CF"/>
    <w:rsid w:val="00B41F0E"/>
    <w:rsid w:val="00B420C2"/>
    <w:rsid w:val="00B43A78"/>
    <w:rsid w:val="00B44900"/>
    <w:rsid w:val="00B4536F"/>
    <w:rsid w:val="00B467EB"/>
    <w:rsid w:val="00B535B9"/>
    <w:rsid w:val="00B55837"/>
    <w:rsid w:val="00B562BF"/>
    <w:rsid w:val="00B60B59"/>
    <w:rsid w:val="00B60D45"/>
    <w:rsid w:val="00B6778A"/>
    <w:rsid w:val="00B70ED0"/>
    <w:rsid w:val="00B745FF"/>
    <w:rsid w:val="00B758C3"/>
    <w:rsid w:val="00B80FD5"/>
    <w:rsid w:val="00B81B27"/>
    <w:rsid w:val="00B8456C"/>
    <w:rsid w:val="00B85699"/>
    <w:rsid w:val="00B859C0"/>
    <w:rsid w:val="00B87E2D"/>
    <w:rsid w:val="00B90148"/>
    <w:rsid w:val="00B952B8"/>
    <w:rsid w:val="00B966CA"/>
    <w:rsid w:val="00BA239E"/>
    <w:rsid w:val="00BA3D75"/>
    <w:rsid w:val="00BA43F8"/>
    <w:rsid w:val="00BA71C6"/>
    <w:rsid w:val="00BB1D56"/>
    <w:rsid w:val="00BB2658"/>
    <w:rsid w:val="00BB3845"/>
    <w:rsid w:val="00BB394E"/>
    <w:rsid w:val="00BB5566"/>
    <w:rsid w:val="00BC1A60"/>
    <w:rsid w:val="00BC31DB"/>
    <w:rsid w:val="00BC46A5"/>
    <w:rsid w:val="00BC536D"/>
    <w:rsid w:val="00BC6852"/>
    <w:rsid w:val="00BD152B"/>
    <w:rsid w:val="00BD2184"/>
    <w:rsid w:val="00BD5BCA"/>
    <w:rsid w:val="00BD5CE7"/>
    <w:rsid w:val="00BE046C"/>
    <w:rsid w:val="00BE1F32"/>
    <w:rsid w:val="00BE33E5"/>
    <w:rsid w:val="00BE3E60"/>
    <w:rsid w:val="00BE4E4A"/>
    <w:rsid w:val="00BE6ACD"/>
    <w:rsid w:val="00BE6CCB"/>
    <w:rsid w:val="00BF206C"/>
    <w:rsid w:val="00BF427D"/>
    <w:rsid w:val="00BF493A"/>
    <w:rsid w:val="00C001A6"/>
    <w:rsid w:val="00C04341"/>
    <w:rsid w:val="00C058A8"/>
    <w:rsid w:val="00C0647E"/>
    <w:rsid w:val="00C06E5E"/>
    <w:rsid w:val="00C0791E"/>
    <w:rsid w:val="00C12093"/>
    <w:rsid w:val="00C1335F"/>
    <w:rsid w:val="00C14B83"/>
    <w:rsid w:val="00C16BF5"/>
    <w:rsid w:val="00C215C0"/>
    <w:rsid w:val="00C216EE"/>
    <w:rsid w:val="00C24817"/>
    <w:rsid w:val="00C25CF1"/>
    <w:rsid w:val="00C25E4B"/>
    <w:rsid w:val="00C27619"/>
    <w:rsid w:val="00C27C6E"/>
    <w:rsid w:val="00C30AC1"/>
    <w:rsid w:val="00C30DE8"/>
    <w:rsid w:val="00C37D4D"/>
    <w:rsid w:val="00C40387"/>
    <w:rsid w:val="00C40634"/>
    <w:rsid w:val="00C435D9"/>
    <w:rsid w:val="00C438C8"/>
    <w:rsid w:val="00C46EA2"/>
    <w:rsid w:val="00C47A13"/>
    <w:rsid w:val="00C50F58"/>
    <w:rsid w:val="00C53CAC"/>
    <w:rsid w:val="00C55472"/>
    <w:rsid w:val="00C5613E"/>
    <w:rsid w:val="00C57F0F"/>
    <w:rsid w:val="00C6356A"/>
    <w:rsid w:val="00C73F7A"/>
    <w:rsid w:val="00C7584C"/>
    <w:rsid w:val="00C76F3A"/>
    <w:rsid w:val="00C80653"/>
    <w:rsid w:val="00C80F79"/>
    <w:rsid w:val="00C87A24"/>
    <w:rsid w:val="00C90570"/>
    <w:rsid w:val="00C90FAC"/>
    <w:rsid w:val="00C91A60"/>
    <w:rsid w:val="00C91B45"/>
    <w:rsid w:val="00C92251"/>
    <w:rsid w:val="00C94E0F"/>
    <w:rsid w:val="00C96442"/>
    <w:rsid w:val="00C964DB"/>
    <w:rsid w:val="00C971DA"/>
    <w:rsid w:val="00C97724"/>
    <w:rsid w:val="00CA00B6"/>
    <w:rsid w:val="00CA0680"/>
    <w:rsid w:val="00CA3D63"/>
    <w:rsid w:val="00CA4EAA"/>
    <w:rsid w:val="00CA79D2"/>
    <w:rsid w:val="00CA7B01"/>
    <w:rsid w:val="00CA7BD8"/>
    <w:rsid w:val="00CB0232"/>
    <w:rsid w:val="00CB23F8"/>
    <w:rsid w:val="00CB262D"/>
    <w:rsid w:val="00CB2637"/>
    <w:rsid w:val="00CB411A"/>
    <w:rsid w:val="00CB58A1"/>
    <w:rsid w:val="00CB7682"/>
    <w:rsid w:val="00CB7BE9"/>
    <w:rsid w:val="00CC00D4"/>
    <w:rsid w:val="00CC249E"/>
    <w:rsid w:val="00CC2E6A"/>
    <w:rsid w:val="00CC487C"/>
    <w:rsid w:val="00CC4DC5"/>
    <w:rsid w:val="00CC5736"/>
    <w:rsid w:val="00CC5E95"/>
    <w:rsid w:val="00CC6569"/>
    <w:rsid w:val="00CD2E46"/>
    <w:rsid w:val="00CD4441"/>
    <w:rsid w:val="00CD4833"/>
    <w:rsid w:val="00CD7B55"/>
    <w:rsid w:val="00CE1CE1"/>
    <w:rsid w:val="00CE63F1"/>
    <w:rsid w:val="00CE6895"/>
    <w:rsid w:val="00CE6FC4"/>
    <w:rsid w:val="00CF2C75"/>
    <w:rsid w:val="00CF396B"/>
    <w:rsid w:val="00CF4973"/>
    <w:rsid w:val="00CF533D"/>
    <w:rsid w:val="00CF6F99"/>
    <w:rsid w:val="00CF7498"/>
    <w:rsid w:val="00CF7B14"/>
    <w:rsid w:val="00CF7E1B"/>
    <w:rsid w:val="00D0228A"/>
    <w:rsid w:val="00D05090"/>
    <w:rsid w:val="00D07432"/>
    <w:rsid w:val="00D1001D"/>
    <w:rsid w:val="00D108C2"/>
    <w:rsid w:val="00D13518"/>
    <w:rsid w:val="00D1549D"/>
    <w:rsid w:val="00D1578D"/>
    <w:rsid w:val="00D16230"/>
    <w:rsid w:val="00D166F8"/>
    <w:rsid w:val="00D20201"/>
    <w:rsid w:val="00D2097F"/>
    <w:rsid w:val="00D216D3"/>
    <w:rsid w:val="00D21EF8"/>
    <w:rsid w:val="00D22048"/>
    <w:rsid w:val="00D24B34"/>
    <w:rsid w:val="00D269BB"/>
    <w:rsid w:val="00D27CD2"/>
    <w:rsid w:val="00D30344"/>
    <w:rsid w:val="00D3034D"/>
    <w:rsid w:val="00D30E6A"/>
    <w:rsid w:val="00D31125"/>
    <w:rsid w:val="00D34F49"/>
    <w:rsid w:val="00D36F20"/>
    <w:rsid w:val="00D40BB4"/>
    <w:rsid w:val="00D42938"/>
    <w:rsid w:val="00D431B6"/>
    <w:rsid w:val="00D43DEC"/>
    <w:rsid w:val="00D44E0B"/>
    <w:rsid w:val="00D4628C"/>
    <w:rsid w:val="00D479FF"/>
    <w:rsid w:val="00D504F9"/>
    <w:rsid w:val="00D55258"/>
    <w:rsid w:val="00D66309"/>
    <w:rsid w:val="00D66F1D"/>
    <w:rsid w:val="00D71AB0"/>
    <w:rsid w:val="00D73429"/>
    <w:rsid w:val="00D73C79"/>
    <w:rsid w:val="00D755C7"/>
    <w:rsid w:val="00D83988"/>
    <w:rsid w:val="00D850F7"/>
    <w:rsid w:val="00D92248"/>
    <w:rsid w:val="00D94123"/>
    <w:rsid w:val="00D9492E"/>
    <w:rsid w:val="00DA13C9"/>
    <w:rsid w:val="00DA2F8C"/>
    <w:rsid w:val="00DA32DB"/>
    <w:rsid w:val="00DA36C1"/>
    <w:rsid w:val="00DA49AD"/>
    <w:rsid w:val="00DA5F4D"/>
    <w:rsid w:val="00DA7316"/>
    <w:rsid w:val="00DA74EF"/>
    <w:rsid w:val="00DB3804"/>
    <w:rsid w:val="00DB3D58"/>
    <w:rsid w:val="00DB515B"/>
    <w:rsid w:val="00DC0119"/>
    <w:rsid w:val="00DC0CF3"/>
    <w:rsid w:val="00DC109E"/>
    <w:rsid w:val="00DC11D7"/>
    <w:rsid w:val="00DC1268"/>
    <w:rsid w:val="00DC195D"/>
    <w:rsid w:val="00DC4FDD"/>
    <w:rsid w:val="00DC7D46"/>
    <w:rsid w:val="00DD0AF9"/>
    <w:rsid w:val="00DD0D5E"/>
    <w:rsid w:val="00DD396A"/>
    <w:rsid w:val="00DD57FF"/>
    <w:rsid w:val="00DD7C53"/>
    <w:rsid w:val="00DE0550"/>
    <w:rsid w:val="00DE0D14"/>
    <w:rsid w:val="00DE1781"/>
    <w:rsid w:val="00DE3981"/>
    <w:rsid w:val="00DE46F2"/>
    <w:rsid w:val="00DE76FF"/>
    <w:rsid w:val="00DF4AF4"/>
    <w:rsid w:val="00DF642B"/>
    <w:rsid w:val="00E00F95"/>
    <w:rsid w:val="00E03AEB"/>
    <w:rsid w:val="00E04EDF"/>
    <w:rsid w:val="00E0523F"/>
    <w:rsid w:val="00E05985"/>
    <w:rsid w:val="00E119E5"/>
    <w:rsid w:val="00E1253D"/>
    <w:rsid w:val="00E1707F"/>
    <w:rsid w:val="00E1726A"/>
    <w:rsid w:val="00E20707"/>
    <w:rsid w:val="00E20AE3"/>
    <w:rsid w:val="00E20FF7"/>
    <w:rsid w:val="00E25AAE"/>
    <w:rsid w:val="00E26A34"/>
    <w:rsid w:val="00E312BF"/>
    <w:rsid w:val="00E31A9F"/>
    <w:rsid w:val="00E349A1"/>
    <w:rsid w:val="00E3541E"/>
    <w:rsid w:val="00E40231"/>
    <w:rsid w:val="00E41FC3"/>
    <w:rsid w:val="00E44686"/>
    <w:rsid w:val="00E448BE"/>
    <w:rsid w:val="00E47F2C"/>
    <w:rsid w:val="00E503CB"/>
    <w:rsid w:val="00E5066F"/>
    <w:rsid w:val="00E5088F"/>
    <w:rsid w:val="00E5296F"/>
    <w:rsid w:val="00E52A5A"/>
    <w:rsid w:val="00E52C89"/>
    <w:rsid w:val="00E52EA9"/>
    <w:rsid w:val="00E54E2C"/>
    <w:rsid w:val="00E56509"/>
    <w:rsid w:val="00E61162"/>
    <w:rsid w:val="00E639C7"/>
    <w:rsid w:val="00E641E4"/>
    <w:rsid w:val="00E65B8F"/>
    <w:rsid w:val="00E65E75"/>
    <w:rsid w:val="00E65E7D"/>
    <w:rsid w:val="00E72137"/>
    <w:rsid w:val="00E7242C"/>
    <w:rsid w:val="00E72470"/>
    <w:rsid w:val="00E7249B"/>
    <w:rsid w:val="00E7305B"/>
    <w:rsid w:val="00E73EDC"/>
    <w:rsid w:val="00E8212C"/>
    <w:rsid w:val="00E839F4"/>
    <w:rsid w:val="00E8464A"/>
    <w:rsid w:val="00E8563B"/>
    <w:rsid w:val="00E878D3"/>
    <w:rsid w:val="00E92D8E"/>
    <w:rsid w:val="00E932C4"/>
    <w:rsid w:val="00EA047D"/>
    <w:rsid w:val="00EA2912"/>
    <w:rsid w:val="00EA2E4C"/>
    <w:rsid w:val="00EA307B"/>
    <w:rsid w:val="00EA3294"/>
    <w:rsid w:val="00EA6CA3"/>
    <w:rsid w:val="00EB0804"/>
    <w:rsid w:val="00EB207B"/>
    <w:rsid w:val="00EB42CC"/>
    <w:rsid w:val="00EB5FA3"/>
    <w:rsid w:val="00EB6F3D"/>
    <w:rsid w:val="00EC1C4D"/>
    <w:rsid w:val="00EC25A9"/>
    <w:rsid w:val="00EC3C54"/>
    <w:rsid w:val="00EC51A8"/>
    <w:rsid w:val="00EC548F"/>
    <w:rsid w:val="00EC7CF6"/>
    <w:rsid w:val="00ED2B60"/>
    <w:rsid w:val="00ED5035"/>
    <w:rsid w:val="00EE221E"/>
    <w:rsid w:val="00EE449D"/>
    <w:rsid w:val="00EF0016"/>
    <w:rsid w:val="00EF2586"/>
    <w:rsid w:val="00EF5214"/>
    <w:rsid w:val="00EF67FA"/>
    <w:rsid w:val="00F00CA4"/>
    <w:rsid w:val="00F03364"/>
    <w:rsid w:val="00F104BB"/>
    <w:rsid w:val="00F11C6F"/>
    <w:rsid w:val="00F1229C"/>
    <w:rsid w:val="00F17829"/>
    <w:rsid w:val="00F201E6"/>
    <w:rsid w:val="00F20C84"/>
    <w:rsid w:val="00F2163E"/>
    <w:rsid w:val="00F225B1"/>
    <w:rsid w:val="00F22D23"/>
    <w:rsid w:val="00F24999"/>
    <w:rsid w:val="00F2769D"/>
    <w:rsid w:val="00F276E1"/>
    <w:rsid w:val="00F27AEF"/>
    <w:rsid w:val="00F27BBE"/>
    <w:rsid w:val="00F327B7"/>
    <w:rsid w:val="00F363B3"/>
    <w:rsid w:val="00F41C15"/>
    <w:rsid w:val="00F43263"/>
    <w:rsid w:val="00F44CCD"/>
    <w:rsid w:val="00F458FD"/>
    <w:rsid w:val="00F45C8F"/>
    <w:rsid w:val="00F46CC4"/>
    <w:rsid w:val="00F5180D"/>
    <w:rsid w:val="00F527BF"/>
    <w:rsid w:val="00F52804"/>
    <w:rsid w:val="00F53985"/>
    <w:rsid w:val="00F5456B"/>
    <w:rsid w:val="00F5473A"/>
    <w:rsid w:val="00F55B3F"/>
    <w:rsid w:val="00F63820"/>
    <w:rsid w:val="00F651F8"/>
    <w:rsid w:val="00F655B8"/>
    <w:rsid w:val="00F6626D"/>
    <w:rsid w:val="00F745AF"/>
    <w:rsid w:val="00F75077"/>
    <w:rsid w:val="00F8380C"/>
    <w:rsid w:val="00F83F8B"/>
    <w:rsid w:val="00F851B8"/>
    <w:rsid w:val="00F86E3D"/>
    <w:rsid w:val="00F87362"/>
    <w:rsid w:val="00F918EE"/>
    <w:rsid w:val="00F92357"/>
    <w:rsid w:val="00F93199"/>
    <w:rsid w:val="00F9336C"/>
    <w:rsid w:val="00F93855"/>
    <w:rsid w:val="00F97C97"/>
    <w:rsid w:val="00FA1A89"/>
    <w:rsid w:val="00FA1BA6"/>
    <w:rsid w:val="00FA395B"/>
    <w:rsid w:val="00FA6A83"/>
    <w:rsid w:val="00FA7D7E"/>
    <w:rsid w:val="00FB3F09"/>
    <w:rsid w:val="00FC223E"/>
    <w:rsid w:val="00FC2D6E"/>
    <w:rsid w:val="00FC4528"/>
    <w:rsid w:val="00FC4E9C"/>
    <w:rsid w:val="00FC721A"/>
    <w:rsid w:val="00FD0EAE"/>
    <w:rsid w:val="00FD3777"/>
    <w:rsid w:val="00FD45E3"/>
    <w:rsid w:val="00FD50CE"/>
    <w:rsid w:val="00FD556E"/>
    <w:rsid w:val="00FD6D4A"/>
    <w:rsid w:val="00FE3A2C"/>
    <w:rsid w:val="00FE3C5A"/>
    <w:rsid w:val="00FE616B"/>
    <w:rsid w:val="00FE6E90"/>
    <w:rsid w:val="00FF0B53"/>
    <w:rsid w:val="00FF0D36"/>
    <w:rsid w:val="00FF0D6E"/>
    <w:rsid w:val="00FF1F10"/>
    <w:rsid w:val="00FF55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5506"/>
  <w15:chartTrackingRefBased/>
  <w15:docId w15:val="{5E1F472D-31D0-4ACB-A9D5-06B96910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108C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8C2"/>
    <w:rPr>
      <w:rFonts w:ascii="Arial" w:eastAsia="Times New Roman" w:hAnsi="Arial" w:cs="Arial"/>
      <w:b/>
      <w:bCs/>
      <w:kern w:val="32"/>
      <w:sz w:val="32"/>
      <w:szCs w:val="32"/>
    </w:rPr>
  </w:style>
  <w:style w:type="paragraph" w:styleId="Header">
    <w:name w:val="header"/>
    <w:basedOn w:val="Normal"/>
    <w:link w:val="HeaderChar"/>
    <w:uiPriority w:val="99"/>
    <w:unhideWhenUsed/>
    <w:rsid w:val="00D1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C2"/>
    <w:rPr>
      <w:rFonts w:ascii="Calibri" w:eastAsia="Calibri" w:hAnsi="Calibri" w:cs="Times New Roman"/>
    </w:rPr>
  </w:style>
  <w:style w:type="paragraph" w:styleId="Footer">
    <w:name w:val="footer"/>
    <w:basedOn w:val="Normal"/>
    <w:link w:val="FooterChar"/>
    <w:uiPriority w:val="99"/>
    <w:unhideWhenUsed/>
    <w:rsid w:val="00D1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2"/>
    <w:rPr>
      <w:rFonts w:ascii="Calibri" w:eastAsia="Calibri" w:hAnsi="Calibri" w:cs="Times New Roman"/>
    </w:rPr>
  </w:style>
  <w:style w:type="table" w:styleId="TableGrid">
    <w:name w:val="Table Grid"/>
    <w:basedOn w:val="TableNormal"/>
    <w:uiPriority w:val="39"/>
    <w:rsid w:val="00D108C2"/>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D108C2"/>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D108C2"/>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D1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2"/>
    <w:rPr>
      <w:rFonts w:ascii="Tahoma" w:eastAsia="Calibri" w:hAnsi="Tahoma" w:cs="Tahoma"/>
      <w:sz w:val="16"/>
      <w:szCs w:val="16"/>
    </w:rPr>
  </w:style>
  <w:style w:type="paragraph" w:styleId="ListParagraph">
    <w:name w:val="List Paragraph"/>
    <w:basedOn w:val="Normal"/>
    <w:uiPriority w:val="34"/>
    <w:qFormat/>
    <w:rsid w:val="00D108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B6F5-0193-4711-B955-F7C19CD3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3139</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50</cp:revision>
  <cp:lastPrinted>2018-07-03T12:20:00Z</cp:lastPrinted>
  <dcterms:created xsi:type="dcterms:W3CDTF">2018-07-02T05:20:00Z</dcterms:created>
  <dcterms:modified xsi:type="dcterms:W3CDTF">2018-07-03T12:45:00Z</dcterms:modified>
</cp:coreProperties>
</file>