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B417D" w14:textId="77777777" w:rsidR="00DD7849" w:rsidRPr="00DD7849" w:rsidRDefault="00DD7849" w:rsidP="00DD7849">
      <w:pPr>
        <w:spacing w:after="0"/>
        <w:rPr>
          <w:rFonts w:ascii="Verdana" w:hAnsi="Verdana"/>
          <w:b/>
          <w:bCs/>
          <w:sz w:val="20"/>
          <w:szCs w:val="20"/>
        </w:rPr>
      </w:pPr>
      <w:r w:rsidRPr="00DD7849">
        <w:rPr>
          <w:rFonts w:ascii="Verdana" w:hAnsi="Verdana"/>
          <w:b/>
          <w:bCs/>
          <w:sz w:val="20"/>
          <w:szCs w:val="20"/>
        </w:rPr>
        <w:t xml:space="preserve">Fed is at cruising altitude, but still awaiting clearance to </w:t>
      </w:r>
      <w:proofErr w:type="gramStart"/>
      <w:r w:rsidRPr="00DD7849">
        <w:rPr>
          <w:rFonts w:ascii="Verdana" w:hAnsi="Verdana"/>
          <w:b/>
          <w:bCs/>
          <w:sz w:val="20"/>
          <w:szCs w:val="20"/>
        </w:rPr>
        <w:t>land</w:t>
      </w:r>
      <w:proofErr w:type="gramEnd"/>
    </w:p>
    <w:p w14:paraId="043C37DF" w14:textId="77777777" w:rsidR="00DD7849" w:rsidRPr="00DD7849" w:rsidRDefault="00DD7849" w:rsidP="00DD7849">
      <w:pPr>
        <w:spacing w:after="0"/>
        <w:rPr>
          <w:rFonts w:ascii="Verdana" w:hAnsi="Verdana"/>
          <w:sz w:val="20"/>
          <w:szCs w:val="20"/>
        </w:rPr>
      </w:pPr>
    </w:p>
    <w:p w14:paraId="02893AA2" w14:textId="49F72382" w:rsidR="00DD7849" w:rsidRPr="00DD7849" w:rsidRDefault="00DD7849" w:rsidP="00DD7849">
      <w:pPr>
        <w:spacing w:after="0"/>
        <w:rPr>
          <w:rFonts w:ascii="Verdana" w:hAnsi="Verdana"/>
          <w:i/>
          <w:iCs/>
          <w:sz w:val="20"/>
          <w:szCs w:val="20"/>
        </w:rPr>
      </w:pPr>
      <w:r w:rsidRPr="00DD7849">
        <w:rPr>
          <w:rFonts w:ascii="Verdana" w:hAnsi="Verdana"/>
          <w:i/>
          <w:iCs/>
          <w:sz w:val="20"/>
          <w:szCs w:val="20"/>
        </w:rPr>
        <w:t>George Brown, Economist at Schroders</w:t>
      </w:r>
    </w:p>
    <w:p w14:paraId="41BC5E86" w14:textId="77777777" w:rsidR="00DD7849" w:rsidRPr="00DD7849" w:rsidRDefault="00DD7849" w:rsidP="00DD7849">
      <w:pPr>
        <w:shd w:val="clear" w:color="auto" w:fill="FFFFFF"/>
        <w:spacing w:before="150" w:after="300" w:line="276" w:lineRule="auto"/>
        <w:rPr>
          <w:rFonts w:ascii="Verdana" w:hAnsi="Verdana"/>
          <w:sz w:val="20"/>
          <w:szCs w:val="20"/>
        </w:rPr>
      </w:pPr>
      <w:r w:rsidRPr="00DD7849">
        <w:rPr>
          <w:rFonts w:ascii="Verdana" w:hAnsi="Verdana" w:cs="Arial"/>
          <w:b/>
          <w:bCs/>
          <w:color w:val="000000"/>
          <w:sz w:val="20"/>
          <w:szCs w:val="20"/>
          <w:lang w:val="en-GB" w:eastAsia="en-GB"/>
          <w14:ligatures w14:val="none"/>
        </w:rPr>
        <w:t>Investors have fastened their seatbelts in anticipation of an imminent descent in US rates. But sticky wage growth is likely to keep a cautious FOMC in a holding pattern until later in the year.</w:t>
      </w:r>
    </w:p>
    <w:p w14:paraId="2130EC31" w14:textId="77777777" w:rsidR="00DD7849" w:rsidRPr="00DD7849" w:rsidRDefault="00DD7849" w:rsidP="00DD7849">
      <w:pPr>
        <w:shd w:val="clear" w:color="auto" w:fill="FFFFFF"/>
        <w:spacing w:before="150" w:after="0" w:line="276" w:lineRule="auto"/>
        <w:rPr>
          <w:rFonts w:ascii="Verdana" w:hAnsi="Verdana"/>
          <w:sz w:val="20"/>
          <w:szCs w:val="20"/>
        </w:rPr>
      </w:pPr>
      <w:r w:rsidRPr="00DD7849">
        <w:rPr>
          <w:rFonts w:ascii="Verdana" w:hAnsi="Verdana" w:cs="Arial"/>
          <w:color w:val="000000"/>
          <w:sz w:val="20"/>
          <w:szCs w:val="20"/>
          <w:lang w:val="en-GB" w:eastAsia="en-GB"/>
          <w14:ligatures w14:val="none"/>
        </w:rPr>
        <w:t>This time last year, Federal Reserve (Fed) Chair Jerome Powell held a video call from someone he thought was Ukrainian President Volodymyr Zelensky. It was instead a pair of Russian pranksters, who subsequently released a clip in which Mr Powell appeared to claim that the central bank didn’t know of a “painless way for inflation to come down.” While the Fed questioned the veracity of the clip, most economists agreed that either a recession or anaemic growth was needed to achieve price stability.</w:t>
      </w:r>
    </w:p>
    <w:p w14:paraId="6CE1E146" w14:textId="77777777" w:rsidR="00DD7849" w:rsidRPr="00DD7849" w:rsidRDefault="00DD7849" w:rsidP="00DD7849">
      <w:pPr>
        <w:spacing w:before="100" w:beforeAutospacing="1" w:after="100" w:afterAutospacing="1" w:line="240" w:lineRule="auto"/>
        <w:rPr>
          <w:rFonts w:ascii="Verdana" w:hAnsi="Verdana"/>
          <w:sz w:val="20"/>
          <w:szCs w:val="20"/>
        </w:rPr>
      </w:pPr>
      <w:r w:rsidRPr="00DD7849">
        <w:rPr>
          <w:rFonts w:ascii="Verdana" w:hAnsi="Verdana" w:cs="Arial"/>
          <w:sz w:val="20"/>
          <w:szCs w:val="20"/>
          <w:lang w:val="en-GB" w:eastAsia="en-GB"/>
          <w14:ligatures w14:val="none"/>
        </w:rPr>
        <w:t>However, the ensuing 12 months has proved humbling for the profession. The economy proved remarkably resilient in the face of restrictive rates, with GDP growing by an estimated 2.5% and non-farm payrolls averaging 225k per month. But core CPI eased from 5.7% to 3.9% over the same period and inflation fell even more sharply after stripping out the sticky shelter category, which dominates 40% of the index. On this narrower core CPI measure, prices are now just 2.2% higher than a year ago.</w:t>
      </w:r>
    </w:p>
    <w:p w14:paraId="308C3397" w14:textId="77777777" w:rsidR="00DD7849" w:rsidRPr="00DD7849" w:rsidRDefault="00DD7849" w:rsidP="00DD7849">
      <w:pPr>
        <w:spacing w:before="100" w:beforeAutospacing="1" w:after="100" w:afterAutospacing="1" w:line="240" w:lineRule="auto"/>
        <w:rPr>
          <w:rFonts w:ascii="Verdana" w:hAnsi="Verdana"/>
          <w:sz w:val="20"/>
          <w:szCs w:val="20"/>
        </w:rPr>
      </w:pPr>
      <w:r w:rsidRPr="00DD7849">
        <w:rPr>
          <w:rFonts w:ascii="Verdana" w:hAnsi="Verdana" w:cs="Arial"/>
          <w:sz w:val="20"/>
          <w:szCs w:val="20"/>
          <w:lang w:val="en-GB" w:eastAsia="en-GB"/>
          <w14:ligatures w14:val="none"/>
        </w:rPr>
        <w:t>Shelter inflation appears to be on a glide path back to trend as lower rents eventually feed through. And core goods prices are likely to remain stable or even decline, even accounting for the recent disruption in the Red Sea. What remains less certain, however, is whether core services less shelter (or ‘</w:t>
      </w:r>
      <w:proofErr w:type="spellStart"/>
      <w:r w:rsidRPr="00DD7849">
        <w:rPr>
          <w:rFonts w:ascii="Verdana" w:hAnsi="Verdana" w:cs="Arial"/>
          <w:sz w:val="20"/>
          <w:szCs w:val="20"/>
          <w:lang w:val="en-GB" w:eastAsia="en-GB"/>
          <w14:ligatures w14:val="none"/>
        </w:rPr>
        <w:t>supercore</w:t>
      </w:r>
      <w:proofErr w:type="spellEnd"/>
      <w:r w:rsidRPr="00DD7849">
        <w:rPr>
          <w:rFonts w:ascii="Verdana" w:hAnsi="Verdana" w:cs="Arial"/>
          <w:sz w:val="20"/>
          <w:szCs w:val="20"/>
          <w:lang w:val="en-GB" w:eastAsia="en-GB"/>
          <w14:ligatures w14:val="none"/>
        </w:rPr>
        <w:t xml:space="preserve">’) will moderate. Given that this is the closest reflection of domestic price pressures, it will ultimately determine </w:t>
      </w:r>
      <w:proofErr w:type="gramStart"/>
      <w:r w:rsidRPr="00DD7849">
        <w:rPr>
          <w:rFonts w:ascii="Verdana" w:hAnsi="Verdana" w:cs="Arial"/>
          <w:sz w:val="20"/>
          <w:szCs w:val="20"/>
          <w:lang w:val="en-GB" w:eastAsia="en-GB"/>
          <w14:ligatures w14:val="none"/>
        </w:rPr>
        <w:t>if and when</w:t>
      </w:r>
      <w:proofErr w:type="gramEnd"/>
      <w:r w:rsidRPr="00DD7849">
        <w:rPr>
          <w:rFonts w:ascii="Verdana" w:hAnsi="Verdana" w:cs="Arial"/>
          <w:sz w:val="20"/>
          <w:szCs w:val="20"/>
          <w:lang w:val="en-GB" w:eastAsia="en-GB"/>
          <w14:ligatures w14:val="none"/>
        </w:rPr>
        <w:t xml:space="preserve"> the Fed cuts rates this year.</w:t>
      </w:r>
    </w:p>
    <w:p w14:paraId="0DA3F6C2" w14:textId="77777777" w:rsidR="00DD7849" w:rsidRPr="00DD7849" w:rsidRDefault="00DD7849" w:rsidP="00DD7849">
      <w:pPr>
        <w:spacing w:before="100" w:beforeAutospacing="1" w:after="100" w:afterAutospacing="1" w:line="240" w:lineRule="auto"/>
        <w:rPr>
          <w:rFonts w:ascii="Verdana" w:hAnsi="Verdana"/>
          <w:sz w:val="20"/>
          <w:szCs w:val="20"/>
        </w:rPr>
      </w:pPr>
      <w:r w:rsidRPr="00DD7849">
        <w:rPr>
          <w:rFonts w:ascii="Verdana" w:hAnsi="Verdana" w:cs="Arial"/>
          <w:b/>
          <w:bCs/>
          <w:sz w:val="20"/>
          <w:szCs w:val="20"/>
          <w:lang w:val="en-GB" w:eastAsia="en-GB"/>
          <w14:ligatures w14:val="none"/>
        </w:rPr>
        <w:t xml:space="preserve">Chart 1: Shelter and core goods losing altitude, but core services remain </w:t>
      </w:r>
      <w:proofErr w:type="gramStart"/>
      <w:r w:rsidRPr="00DD7849">
        <w:rPr>
          <w:rFonts w:ascii="Verdana" w:hAnsi="Verdana" w:cs="Arial"/>
          <w:b/>
          <w:bCs/>
          <w:sz w:val="20"/>
          <w:szCs w:val="20"/>
          <w:lang w:val="en-GB" w:eastAsia="en-GB"/>
          <w14:ligatures w14:val="none"/>
        </w:rPr>
        <w:t>elevated</w:t>
      </w:r>
      <w:proofErr w:type="gramEnd"/>
    </w:p>
    <w:p w14:paraId="663E2E37" w14:textId="783A38A7" w:rsidR="00DD7849" w:rsidRPr="00DD7849" w:rsidRDefault="00DD7849" w:rsidP="00DD7849">
      <w:pPr>
        <w:spacing w:before="100" w:beforeAutospacing="1" w:after="100" w:afterAutospacing="1" w:line="240" w:lineRule="auto"/>
        <w:rPr>
          <w:rFonts w:ascii="Verdana" w:hAnsi="Verdana"/>
          <w:sz w:val="20"/>
          <w:szCs w:val="20"/>
        </w:rPr>
      </w:pPr>
      <w:r w:rsidRPr="00DD7849">
        <w:rPr>
          <w:rFonts w:ascii="Verdana" w:hAnsi="Verdana" w:cs="Arial"/>
          <w:noProof/>
          <w:sz w:val="20"/>
          <w:szCs w:val="20"/>
          <w:lang w:val="en-US"/>
          <w14:ligatures w14:val="none"/>
        </w:rPr>
        <w:drawing>
          <wp:inline distT="0" distB="0" distL="0" distR="0" wp14:anchorId="4FE3F942" wp14:editId="64C1C1F1">
            <wp:extent cx="5191125" cy="30194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191125" cy="3019425"/>
                    </a:xfrm>
                    <a:prstGeom prst="rect">
                      <a:avLst/>
                    </a:prstGeom>
                    <a:noFill/>
                    <a:ln>
                      <a:noFill/>
                    </a:ln>
                  </pic:spPr>
                </pic:pic>
              </a:graphicData>
            </a:graphic>
          </wp:inline>
        </w:drawing>
      </w:r>
    </w:p>
    <w:p w14:paraId="7A7FE797" w14:textId="77777777" w:rsidR="00DD7849" w:rsidRPr="00DD7849" w:rsidRDefault="00DD7849" w:rsidP="00DD7849">
      <w:pPr>
        <w:spacing w:before="100" w:beforeAutospacing="1" w:after="100" w:afterAutospacing="1" w:line="240" w:lineRule="auto"/>
        <w:rPr>
          <w:rFonts w:ascii="Verdana" w:hAnsi="Verdana"/>
          <w:sz w:val="20"/>
          <w:szCs w:val="20"/>
        </w:rPr>
      </w:pPr>
      <w:r w:rsidRPr="00DD7849">
        <w:rPr>
          <w:rFonts w:ascii="Verdana" w:hAnsi="Verdana" w:cs="Arial"/>
          <w:sz w:val="20"/>
          <w:szCs w:val="20"/>
          <w:lang w:val="en-GB" w:eastAsia="en-GB"/>
          <w14:ligatures w14:val="none"/>
        </w:rPr>
        <w:t>How '</w:t>
      </w:r>
      <w:proofErr w:type="spellStart"/>
      <w:r w:rsidRPr="00DD7849">
        <w:rPr>
          <w:rFonts w:ascii="Verdana" w:hAnsi="Verdana" w:cs="Arial"/>
          <w:sz w:val="20"/>
          <w:szCs w:val="20"/>
          <w:lang w:val="en-GB" w:eastAsia="en-GB"/>
          <w14:ligatures w14:val="none"/>
        </w:rPr>
        <w:t>supercore</w:t>
      </w:r>
      <w:proofErr w:type="spellEnd"/>
      <w:r w:rsidRPr="00DD7849">
        <w:rPr>
          <w:rFonts w:ascii="Verdana" w:hAnsi="Verdana" w:cs="Arial"/>
          <w:sz w:val="20"/>
          <w:szCs w:val="20"/>
          <w:lang w:val="en-GB" w:eastAsia="en-GB"/>
          <w14:ligatures w14:val="none"/>
        </w:rPr>
        <w:t xml:space="preserve">' inflation shapes up this year will largely hinge on developments in the labour market, given that staffing is the biggest cost for most service-providers. </w:t>
      </w:r>
      <w:r w:rsidRPr="00DD7849">
        <w:rPr>
          <w:rFonts w:ascii="Verdana" w:hAnsi="Verdana" w:cs="Arial"/>
          <w:sz w:val="20"/>
          <w:szCs w:val="20"/>
          <w:lang w:val="en-GB" w:eastAsia="en-GB"/>
          <w14:ligatures w14:val="none"/>
        </w:rPr>
        <w:lastRenderedPageBreak/>
        <w:t>Encouragingly, much progress has been made in rebalancing the labour market after the pandemic. Hiring intentions are being reined in gradually and immigrants are replacing workers who have taken early retirement. Also, the number of people leaving their jobs has fallen, suggesting that there is less churn and competition for workers.</w:t>
      </w:r>
    </w:p>
    <w:p w14:paraId="17E4967A" w14:textId="77777777" w:rsidR="00DD7849" w:rsidRPr="00DD7849" w:rsidRDefault="00DD7849" w:rsidP="00DD7849">
      <w:pPr>
        <w:spacing w:before="100" w:beforeAutospacing="1" w:after="100" w:afterAutospacing="1" w:line="240" w:lineRule="auto"/>
        <w:rPr>
          <w:rFonts w:ascii="Verdana" w:hAnsi="Verdana"/>
          <w:sz w:val="20"/>
          <w:szCs w:val="20"/>
        </w:rPr>
      </w:pPr>
      <w:r w:rsidRPr="00DD7849">
        <w:rPr>
          <w:rFonts w:ascii="Verdana" w:hAnsi="Verdana" w:cs="Arial"/>
          <w:sz w:val="20"/>
          <w:szCs w:val="20"/>
          <w:lang w:val="en-GB" w:eastAsia="en-GB"/>
          <w14:ligatures w14:val="none"/>
        </w:rPr>
        <w:t>While this would ordinarily precipitate a moderation in wage growth, this is by no means guaranteed. Particularly as it will be an election year, </w:t>
      </w:r>
      <w:hyperlink r:id="rId6" w:tgtFrame="_blank" w:history="1">
        <w:r w:rsidRPr="00DD7849">
          <w:rPr>
            <w:rStyle w:val="Hyperlink"/>
            <w:rFonts w:ascii="Verdana" w:hAnsi="Verdana" w:cs="Arial"/>
            <w:color w:val="0074B7"/>
            <w:sz w:val="20"/>
            <w:szCs w:val="20"/>
            <w:lang w:val="en-GB" w:eastAsia="en-GB"/>
            <w14:ligatures w14:val="none"/>
          </w:rPr>
          <w:t>which will almost certainly see a rematch between Joe Biden and Donald Trump</w:t>
        </w:r>
      </w:hyperlink>
      <w:r w:rsidRPr="00DD7849">
        <w:rPr>
          <w:rFonts w:ascii="Verdana" w:hAnsi="Verdana" w:cs="Arial"/>
          <w:sz w:val="20"/>
          <w:szCs w:val="20"/>
          <w:lang w:val="en-GB" w:eastAsia="en-GB"/>
          <w14:ligatures w14:val="none"/>
        </w:rPr>
        <w:t>. The potential for two very different outcomes could keep labour demand elevated, given that companies typically forgo investment during periods of uncertainty. Instead, firms may instead opt to use the flexibility afforded by the labour market to meet fluctuations in demand.</w:t>
      </w:r>
    </w:p>
    <w:p w14:paraId="376D7B4C" w14:textId="77777777" w:rsidR="00DD7849" w:rsidRPr="00DD7849" w:rsidRDefault="00DD7849" w:rsidP="00DD7849">
      <w:pPr>
        <w:spacing w:before="100" w:beforeAutospacing="1" w:after="100" w:afterAutospacing="1" w:line="240" w:lineRule="auto"/>
        <w:rPr>
          <w:rFonts w:ascii="Verdana" w:hAnsi="Verdana"/>
          <w:sz w:val="20"/>
          <w:szCs w:val="20"/>
        </w:rPr>
      </w:pPr>
      <w:r w:rsidRPr="00DD7849">
        <w:rPr>
          <w:rFonts w:ascii="Verdana" w:hAnsi="Verdana" w:cs="Arial"/>
          <w:sz w:val="20"/>
          <w:szCs w:val="20"/>
          <w:lang w:val="en-GB" w:eastAsia="en-GB"/>
          <w14:ligatures w14:val="none"/>
        </w:rPr>
        <w:t xml:space="preserve">Because of this, wage growth could remain firm, and productivity might prove weak. The combination of which would ultimately result in upward pressure to unit labour costs and, by extension, </w:t>
      </w:r>
      <w:proofErr w:type="spellStart"/>
      <w:r w:rsidRPr="00DD7849">
        <w:rPr>
          <w:rFonts w:ascii="Verdana" w:hAnsi="Verdana" w:cs="Arial"/>
          <w:sz w:val="20"/>
          <w:szCs w:val="20"/>
          <w:lang w:val="en-GB" w:eastAsia="en-GB"/>
          <w14:ligatures w14:val="none"/>
        </w:rPr>
        <w:t>supercore</w:t>
      </w:r>
      <w:proofErr w:type="spellEnd"/>
      <w:r w:rsidRPr="00DD7849">
        <w:rPr>
          <w:rFonts w:ascii="Verdana" w:hAnsi="Verdana" w:cs="Arial"/>
          <w:sz w:val="20"/>
          <w:szCs w:val="20"/>
          <w:lang w:val="en-GB" w:eastAsia="en-GB"/>
          <w14:ligatures w14:val="none"/>
        </w:rPr>
        <w:t xml:space="preserve"> inflation. And so, whilst investors are pricing in a near 80% probability that rates will be cut in March, this appears premature as risks to inflation still appear to be skewed to the upside and given the cautious tone adopted by the committee.</w:t>
      </w:r>
    </w:p>
    <w:p w14:paraId="7E1FD631" w14:textId="77777777" w:rsidR="00DD7849" w:rsidRPr="00DD7849" w:rsidRDefault="00DD7849" w:rsidP="00DD7849">
      <w:pPr>
        <w:spacing w:before="100" w:beforeAutospacing="1" w:after="100" w:afterAutospacing="1" w:line="240" w:lineRule="auto"/>
        <w:rPr>
          <w:rFonts w:ascii="Verdana" w:hAnsi="Verdana"/>
          <w:sz w:val="20"/>
          <w:szCs w:val="20"/>
        </w:rPr>
      </w:pPr>
      <w:r w:rsidRPr="00DD7849">
        <w:rPr>
          <w:rFonts w:ascii="Verdana" w:hAnsi="Verdana" w:cs="Arial"/>
          <w:b/>
          <w:bCs/>
          <w:sz w:val="20"/>
          <w:szCs w:val="20"/>
          <w:lang w:val="en-GB" w:eastAsia="en-GB"/>
          <w14:ligatures w14:val="none"/>
        </w:rPr>
        <w:t xml:space="preserve">Chart 2: Core services inflation should cool as the labour market further </w:t>
      </w:r>
      <w:proofErr w:type="gramStart"/>
      <w:r w:rsidRPr="00DD7849">
        <w:rPr>
          <w:rFonts w:ascii="Verdana" w:hAnsi="Verdana" w:cs="Arial"/>
          <w:b/>
          <w:bCs/>
          <w:sz w:val="20"/>
          <w:szCs w:val="20"/>
          <w:lang w:val="en-GB" w:eastAsia="en-GB"/>
          <w14:ligatures w14:val="none"/>
        </w:rPr>
        <w:t>rebalances</w:t>
      </w:r>
      <w:proofErr w:type="gramEnd"/>
    </w:p>
    <w:p w14:paraId="26690FDC" w14:textId="5DF68274" w:rsidR="00DD7849" w:rsidRPr="00DD7849" w:rsidRDefault="00DD7849" w:rsidP="00DD7849">
      <w:pPr>
        <w:spacing w:before="100" w:beforeAutospacing="1" w:after="100" w:afterAutospacing="1" w:line="240" w:lineRule="auto"/>
        <w:rPr>
          <w:rFonts w:ascii="Verdana" w:hAnsi="Verdana"/>
          <w:sz w:val="20"/>
          <w:szCs w:val="20"/>
        </w:rPr>
      </w:pPr>
      <w:r w:rsidRPr="00DD7849">
        <w:rPr>
          <w:rFonts w:ascii="Verdana" w:hAnsi="Verdana" w:cs="Arial"/>
          <w:noProof/>
          <w:sz w:val="20"/>
          <w:szCs w:val="20"/>
          <w:lang w:val="en-US"/>
          <w14:ligatures w14:val="none"/>
        </w:rPr>
        <w:drawing>
          <wp:inline distT="0" distB="0" distL="0" distR="0" wp14:anchorId="77DE32AA" wp14:editId="4C3D125E">
            <wp:extent cx="4914900" cy="2790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914900" cy="2790825"/>
                    </a:xfrm>
                    <a:prstGeom prst="rect">
                      <a:avLst/>
                    </a:prstGeom>
                    <a:noFill/>
                    <a:ln>
                      <a:noFill/>
                    </a:ln>
                  </pic:spPr>
                </pic:pic>
              </a:graphicData>
            </a:graphic>
          </wp:inline>
        </w:drawing>
      </w:r>
    </w:p>
    <w:p w14:paraId="279240B7" w14:textId="77777777" w:rsidR="00DD7849" w:rsidRPr="00DD7849" w:rsidRDefault="00DD7849" w:rsidP="00DD7849">
      <w:pPr>
        <w:spacing w:before="100" w:beforeAutospacing="1" w:after="100" w:afterAutospacing="1" w:line="240" w:lineRule="auto"/>
        <w:rPr>
          <w:rFonts w:ascii="Verdana" w:hAnsi="Verdana"/>
          <w:sz w:val="20"/>
          <w:szCs w:val="20"/>
        </w:rPr>
      </w:pPr>
      <w:r w:rsidRPr="00DD7849">
        <w:rPr>
          <w:rFonts w:ascii="Verdana" w:hAnsi="Verdana" w:cs="Arial"/>
          <w:sz w:val="20"/>
          <w:szCs w:val="20"/>
          <w:lang w:val="en-GB" w:eastAsia="en-GB"/>
          <w14:ligatures w14:val="none"/>
        </w:rPr>
        <w:t>However, it might not be much later before rates are cut. Growth is set to weaken, and the jobs market is poised to normalise this year. Against this backdrop, the current policy stance is becoming overly restrictive, particularly in real terms as inflation moderates. And with the lags between policy action and the economy appearing to have lengthened, the committee cannot afford to wait for full confirmation that inflation has been beaten.</w:t>
      </w:r>
    </w:p>
    <w:p w14:paraId="30C9857F" w14:textId="77777777" w:rsidR="00DD7849" w:rsidRPr="00DD7849" w:rsidRDefault="00DD7849" w:rsidP="00DD7849">
      <w:pPr>
        <w:spacing w:before="100" w:beforeAutospacing="1" w:after="100" w:afterAutospacing="1" w:line="240" w:lineRule="auto"/>
        <w:rPr>
          <w:rFonts w:ascii="Verdana" w:hAnsi="Verdana"/>
          <w:sz w:val="20"/>
          <w:szCs w:val="20"/>
        </w:rPr>
      </w:pPr>
      <w:r w:rsidRPr="00DD7849">
        <w:rPr>
          <w:rFonts w:ascii="Verdana" w:hAnsi="Verdana" w:cs="Arial"/>
          <w:sz w:val="20"/>
          <w:szCs w:val="20"/>
          <w:lang w:val="en-GB" w:eastAsia="en-GB"/>
          <w14:ligatures w14:val="none"/>
        </w:rPr>
        <w:t>For these reasons, we expect the first rate cut to come in June followed by easing at every other meeting until the end of 2024. But by the turn of the year, the data should convincingly show that restrictive rates are no longer necessary, such that we expect the Fed to then cut at every meeting to bring rates back to neutral. Our estimate is that this is around 3.50%, based on an assumption that real neutral rate of interest is in the region of 1.25% to 1.50%.</w:t>
      </w:r>
    </w:p>
    <w:p w14:paraId="3E132AE2" w14:textId="77777777" w:rsidR="00DD7849" w:rsidRPr="00DD7849" w:rsidRDefault="00DD7849" w:rsidP="00DD7849">
      <w:pPr>
        <w:spacing w:before="100" w:beforeAutospacing="1" w:after="100" w:afterAutospacing="1" w:line="240" w:lineRule="auto"/>
        <w:rPr>
          <w:rFonts w:ascii="Verdana" w:hAnsi="Verdana"/>
          <w:sz w:val="20"/>
          <w:szCs w:val="20"/>
        </w:rPr>
      </w:pPr>
      <w:r w:rsidRPr="00DD7849">
        <w:rPr>
          <w:rFonts w:ascii="Verdana" w:hAnsi="Verdana" w:cs="Arial"/>
          <w:b/>
          <w:bCs/>
          <w:sz w:val="20"/>
          <w:szCs w:val="20"/>
          <w:lang w:val="en-GB" w:eastAsia="en-GB"/>
          <w14:ligatures w14:val="none"/>
        </w:rPr>
        <w:t>Chart 3:</w:t>
      </w:r>
      <w:r w:rsidRPr="00DD7849">
        <w:rPr>
          <w:rFonts w:ascii="Verdana" w:hAnsi="Verdana" w:cs="Arial"/>
          <w:sz w:val="20"/>
          <w:szCs w:val="20"/>
          <w:lang w:val="en-GB" w:eastAsia="en-GB"/>
          <w14:ligatures w14:val="none"/>
        </w:rPr>
        <w:t> </w:t>
      </w:r>
      <w:r w:rsidRPr="00DD7849">
        <w:rPr>
          <w:rFonts w:ascii="Verdana" w:hAnsi="Verdana" w:cs="Arial"/>
          <w:b/>
          <w:bCs/>
          <w:sz w:val="20"/>
          <w:szCs w:val="20"/>
          <w:lang w:val="en-GB" w:eastAsia="en-GB"/>
          <w14:ligatures w14:val="none"/>
        </w:rPr>
        <w:t xml:space="preserve">Falling inflation will open the door to rate cuts by the </w:t>
      </w:r>
      <w:proofErr w:type="gramStart"/>
      <w:r w:rsidRPr="00DD7849">
        <w:rPr>
          <w:rFonts w:ascii="Verdana" w:hAnsi="Verdana" w:cs="Arial"/>
          <w:b/>
          <w:bCs/>
          <w:sz w:val="20"/>
          <w:szCs w:val="20"/>
          <w:lang w:val="en-GB" w:eastAsia="en-GB"/>
          <w14:ligatures w14:val="none"/>
        </w:rPr>
        <w:t>Fed</w:t>
      </w:r>
      <w:proofErr w:type="gramEnd"/>
    </w:p>
    <w:p w14:paraId="4BB6FC86" w14:textId="510E7CFC" w:rsidR="00DD7849" w:rsidRPr="00DD7849" w:rsidRDefault="00DD7849" w:rsidP="00DD7849">
      <w:pPr>
        <w:spacing w:after="0"/>
        <w:rPr>
          <w:rFonts w:ascii="Verdana" w:hAnsi="Verdana"/>
          <w:sz w:val="20"/>
          <w:szCs w:val="20"/>
        </w:rPr>
      </w:pPr>
      <w:r w:rsidRPr="00DD7849">
        <w:rPr>
          <w:rFonts w:ascii="Verdana" w:hAnsi="Verdana" w:cs="Arial"/>
          <w:noProof/>
          <w:sz w:val="20"/>
          <w:szCs w:val="20"/>
          <w:lang w:val="en-US"/>
          <w14:ligatures w14:val="none"/>
        </w:rPr>
        <w:lastRenderedPageBreak/>
        <w:drawing>
          <wp:inline distT="0" distB="0" distL="0" distR="0" wp14:anchorId="224A8DDC" wp14:editId="05816BBA">
            <wp:extent cx="5343525" cy="2676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343525" cy="2676525"/>
                    </a:xfrm>
                    <a:prstGeom prst="rect">
                      <a:avLst/>
                    </a:prstGeom>
                    <a:noFill/>
                    <a:ln>
                      <a:noFill/>
                    </a:ln>
                  </pic:spPr>
                </pic:pic>
              </a:graphicData>
            </a:graphic>
          </wp:inline>
        </w:drawing>
      </w:r>
    </w:p>
    <w:p w14:paraId="0A9628C7" w14:textId="77777777" w:rsidR="00DD7849" w:rsidRPr="00DD7849" w:rsidRDefault="00DD7849" w:rsidP="00DD7849">
      <w:pPr>
        <w:spacing w:after="0"/>
        <w:rPr>
          <w:rFonts w:ascii="Verdana" w:hAnsi="Verdana"/>
          <w:sz w:val="20"/>
          <w:szCs w:val="20"/>
        </w:rPr>
      </w:pPr>
    </w:p>
    <w:sectPr w:rsidR="00DD7849" w:rsidRPr="00DD78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849"/>
    <w:rsid w:val="002B37F0"/>
    <w:rsid w:val="00A06D0A"/>
    <w:rsid w:val="00CD15A0"/>
    <w:rsid w:val="00D66086"/>
    <w:rsid w:val="00DD7849"/>
    <w:rsid w:val="00FF16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44EB3"/>
  <w15:chartTrackingRefBased/>
  <w15:docId w15:val="{1949EBAC-90EC-4100-9AE6-60820C9AF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D78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741447">
      <w:bodyDiv w:val="1"/>
      <w:marLeft w:val="0"/>
      <w:marRight w:val="0"/>
      <w:marTop w:val="0"/>
      <w:marBottom w:val="0"/>
      <w:divBdr>
        <w:top w:val="none" w:sz="0" w:space="0" w:color="auto"/>
        <w:left w:val="none" w:sz="0" w:space="0" w:color="auto"/>
        <w:bottom w:val="none" w:sz="0" w:space="0" w:color="auto"/>
        <w:right w:val="none" w:sz="0" w:space="0" w:color="auto"/>
      </w:divBdr>
    </w:div>
    <w:div w:id="1236279828">
      <w:bodyDiv w:val="1"/>
      <w:marLeft w:val="0"/>
      <w:marRight w:val="0"/>
      <w:marTop w:val="0"/>
      <w:marBottom w:val="0"/>
      <w:divBdr>
        <w:top w:val="none" w:sz="0" w:space="0" w:color="auto"/>
        <w:left w:val="none" w:sz="0" w:space="0" w:color="auto"/>
        <w:bottom w:val="none" w:sz="0" w:space="0" w:color="auto"/>
        <w:right w:val="none" w:sz="0" w:space="0" w:color="auto"/>
      </w:divBdr>
    </w:div>
    <w:div w:id="209370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A4DDA.F8BC4BF0"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hroders.com/en-za/za/intermediary/insights/us-election-countdown-what-investors-need-to-know/" TargetMode="External"/><Relationship Id="rId11" Type="http://schemas.openxmlformats.org/officeDocument/2006/relationships/fontTable" Target="fontTable.xml"/><Relationship Id="rId5" Type="http://schemas.openxmlformats.org/officeDocument/2006/relationships/image" Target="cid:image001.jpg@01DA4DDA.F8BC4BF0" TargetMode="External"/><Relationship Id="rId10" Type="http://schemas.openxmlformats.org/officeDocument/2006/relationships/image" Target="cid:image003.jpg@01DA4DDA.F8BC4BF0" TargetMode="External"/><Relationship Id="rId4" Type="http://schemas.openxmlformats.org/officeDocument/2006/relationships/image" Target="media/image1.jpeg"/><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673</Words>
  <Characters>3841</Characters>
  <Application>Microsoft Office Word</Application>
  <DocSecurity>0</DocSecurity>
  <Lines>32</Lines>
  <Paragraphs>9</Paragraphs>
  <ScaleCrop>false</ScaleCrop>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2024-01-23T08:17:00Z</dcterms:created>
  <dcterms:modified xsi:type="dcterms:W3CDTF">2024-01-23T08:20:00Z</dcterms:modified>
</cp:coreProperties>
</file>