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0568" w14:textId="77777777" w:rsidR="00F5696C" w:rsidRPr="00F5696C" w:rsidRDefault="00F5696C" w:rsidP="00F5696C">
      <w:pPr>
        <w:pStyle w:val="xmsonormal"/>
        <w:rPr>
          <w:rFonts w:ascii="Verdana" w:hAnsi="Verdana"/>
        </w:rPr>
      </w:pPr>
      <w:r w:rsidRPr="00F5696C">
        <w:rPr>
          <w:rFonts w:ascii="Verdana" w:hAnsi="Verdana"/>
          <w:b/>
          <w:bCs/>
        </w:rPr>
        <w:t xml:space="preserve">Are </w:t>
      </w:r>
      <w:bookmarkStart w:id="0" w:name="x__Hlk161321561"/>
      <w:r w:rsidRPr="00F5696C">
        <w:rPr>
          <w:rFonts w:ascii="Verdana" w:hAnsi="Verdana"/>
          <w:b/>
          <w:bCs/>
        </w:rPr>
        <w:t>The Magnificent Seven Valuations Justifiable</w:t>
      </w:r>
      <w:bookmarkEnd w:id="0"/>
      <w:r w:rsidRPr="00F5696C">
        <w:rPr>
          <w:rFonts w:ascii="Verdana" w:hAnsi="Verdana"/>
          <w:b/>
          <w:bCs/>
        </w:rPr>
        <w:t>?</w:t>
      </w:r>
    </w:p>
    <w:p w14:paraId="4F024E09" w14:textId="77777777" w:rsidR="00F5696C" w:rsidRPr="00F5696C" w:rsidRDefault="00F5696C" w:rsidP="00F5696C">
      <w:pPr>
        <w:pStyle w:val="xmsonormal"/>
        <w:rPr>
          <w:rFonts w:ascii="Verdana" w:hAnsi="Verdana"/>
        </w:rPr>
      </w:pPr>
    </w:p>
    <w:p w14:paraId="6E9D4C62" w14:textId="549E1116" w:rsidR="00F5696C" w:rsidRPr="00F5696C" w:rsidRDefault="00F5696C" w:rsidP="00F5696C">
      <w:pPr>
        <w:pStyle w:val="xmsonormal"/>
        <w:rPr>
          <w:rFonts w:ascii="Verdana" w:hAnsi="Verdana"/>
          <w:i/>
          <w:iCs/>
        </w:rPr>
      </w:pPr>
      <w:r w:rsidRPr="00F5696C">
        <w:rPr>
          <w:rFonts w:ascii="Verdana" w:hAnsi="Verdana"/>
          <w:i/>
          <w:iCs/>
        </w:rPr>
        <w:t xml:space="preserve">Andrew </w:t>
      </w:r>
      <w:proofErr w:type="spellStart"/>
      <w:r w:rsidRPr="00F5696C">
        <w:rPr>
          <w:rFonts w:ascii="Verdana" w:hAnsi="Verdana"/>
          <w:i/>
          <w:iCs/>
        </w:rPr>
        <w:t>Dittberner</w:t>
      </w:r>
      <w:proofErr w:type="spellEnd"/>
      <w:r w:rsidRPr="00F5696C">
        <w:rPr>
          <w:rFonts w:ascii="Verdana" w:hAnsi="Verdana"/>
          <w:i/>
          <w:iCs/>
        </w:rPr>
        <w:t>, Chief Investment Officer at Private Clients by Old Mutual Wealth</w:t>
      </w:r>
    </w:p>
    <w:p w14:paraId="23883122" w14:textId="77777777" w:rsidR="00F5696C" w:rsidRPr="00F5696C" w:rsidRDefault="00F5696C" w:rsidP="00F5696C">
      <w:pPr>
        <w:pStyle w:val="xmsonormal"/>
        <w:rPr>
          <w:rFonts w:ascii="Verdana" w:hAnsi="Verdana"/>
        </w:rPr>
      </w:pPr>
      <w:r w:rsidRPr="00F5696C">
        <w:rPr>
          <w:rFonts w:ascii="Verdana" w:hAnsi="Verdana"/>
          <w:b/>
          <w:bCs/>
        </w:rPr>
        <w:t> </w:t>
      </w:r>
    </w:p>
    <w:p w14:paraId="3AD19DA0" w14:textId="77777777" w:rsidR="00F5696C" w:rsidRPr="00F5696C" w:rsidRDefault="00F5696C" w:rsidP="00F5696C">
      <w:pPr>
        <w:pStyle w:val="xmsonormal"/>
        <w:jc w:val="both"/>
        <w:rPr>
          <w:rFonts w:ascii="Verdana" w:hAnsi="Verdana"/>
        </w:rPr>
      </w:pPr>
      <w:r w:rsidRPr="00F5696C">
        <w:rPr>
          <w:rFonts w:ascii="Verdana" w:hAnsi="Verdana"/>
        </w:rPr>
        <w:t>The Magnificent Seven’s (M7) valuations have generated considerable attention, with the companies’ share prices skyrocketing since the end of 2022. Critics argue that these companies’ valuations are unjustified, with some drawing comparisons to the Dotcom era’s exuberance.   Taking a step back and looking at the fundamentals of these businesses, as well as what the market expectations are for growth in the years ahead, allows one to arrive at a more balanced view.</w:t>
      </w:r>
    </w:p>
    <w:p w14:paraId="1698C66A" w14:textId="77777777" w:rsidR="00F5696C" w:rsidRPr="00F5696C" w:rsidRDefault="00F5696C" w:rsidP="00F5696C">
      <w:pPr>
        <w:pStyle w:val="xmsonormal"/>
        <w:jc w:val="both"/>
        <w:rPr>
          <w:rFonts w:ascii="Verdana" w:hAnsi="Verdana"/>
        </w:rPr>
      </w:pPr>
      <w:r w:rsidRPr="00F5696C">
        <w:rPr>
          <w:rFonts w:ascii="Verdana" w:hAnsi="Verdana"/>
        </w:rPr>
        <w:t> </w:t>
      </w:r>
    </w:p>
    <w:p w14:paraId="7E008853" w14:textId="77777777" w:rsidR="00F5696C" w:rsidRPr="00F5696C" w:rsidRDefault="00F5696C" w:rsidP="00F5696C">
      <w:pPr>
        <w:pStyle w:val="xmsonormal"/>
        <w:jc w:val="both"/>
        <w:rPr>
          <w:rFonts w:ascii="Verdana" w:hAnsi="Verdana"/>
        </w:rPr>
      </w:pPr>
      <w:r w:rsidRPr="00F5696C">
        <w:rPr>
          <w:rFonts w:ascii="Verdana" w:hAnsi="Verdana"/>
        </w:rPr>
        <w:t xml:space="preserve">The advent of generative AI language models, like ChatGPT have provided the catalyst for the surge in the M7 companies’ share prices. At </w:t>
      </w:r>
      <w:proofErr w:type="spellStart"/>
      <w:r w:rsidRPr="00F5696C">
        <w:rPr>
          <w:rFonts w:ascii="Verdana" w:hAnsi="Verdana"/>
        </w:rPr>
        <w:t>Nividia’s</w:t>
      </w:r>
      <w:proofErr w:type="spellEnd"/>
      <w:r w:rsidRPr="00F5696C">
        <w:rPr>
          <w:rFonts w:ascii="Verdana" w:hAnsi="Verdana"/>
        </w:rPr>
        <w:t xml:space="preserve"> recent results, CEO Jensen Huang remarked that “AI is at the tipping point”, suggesting that the widespread use of AI technology is just beginning. If this is true, then perhaps there is significant runway ahead for </w:t>
      </w:r>
      <w:proofErr w:type="gramStart"/>
      <w:r w:rsidRPr="00F5696C">
        <w:rPr>
          <w:rFonts w:ascii="Verdana" w:hAnsi="Verdana"/>
        </w:rPr>
        <w:t>a number of</w:t>
      </w:r>
      <w:proofErr w:type="gramEnd"/>
      <w:r w:rsidRPr="00F5696C">
        <w:rPr>
          <w:rFonts w:ascii="Verdana" w:hAnsi="Verdana"/>
        </w:rPr>
        <w:t xml:space="preserve"> the M7 companies. A more cynical view would be that he is talking his own book.</w:t>
      </w:r>
    </w:p>
    <w:p w14:paraId="757AE4B7" w14:textId="77777777" w:rsidR="00F5696C" w:rsidRPr="00F5696C" w:rsidRDefault="00F5696C" w:rsidP="00F5696C">
      <w:pPr>
        <w:pStyle w:val="xmsonormal"/>
        <w:jc w:val="both"/>
        <w:rPr>
          <w:rFonts w:ascii="Verdana" w:hAnsi="Verdana"/>
        </w:rPr>
      </w:pPr>
      <w:r w:rsidRPr="00F5696C">
        <w:rPr>
          <w:rFonts w:ascii="Verdana" w:hAnsi="Verdana"/>
        </w:rPr>
        <w:t> </w:t>
      </w:r>
    </w:p>
    <w:p w14:paraId="06A53765" w14:textId="77777777" w:rsidR="00F5696C" w:rsidRPr="00F5696C" w:rsidRDefault="00F5696C" w:rsidP="00F5696C">
      <w:pPr>
        <w:pStyle w:val="xmsonormal"/>
        <w:jc w:val="both"/>
        <w:rPr>
          <w:rFonts w:ascii="Verdana" w:hAnsi="Verdana"/>
        </w:rPr>
      </w:pPr>
      <w:r w:rsidRPr="00F5696C">
        <w:rPr>
          <w:rFonts w:ascii="Verdana" w:hAnsi="Verdana"/>
        </w:rPr>
        <w:t>Over the past 11 years</w:t>
      </w:r>
      <w:bookmarkStart w:id="1" w:name="x__ftnref1"/>
      <w:r w:rsidRPr="00F5696C">
        <w:rPr>
          <w:rFonts w:ascii="Verdana" w:hAnsi="Verdana"/>
        </w:rPr>
        <w:fldChar w:fldCharType="begin"/>
      </w:r>
      <w:r w:rsidRPr="00F5696C">
        <w:rPr>
          <w:rFonts w:ascii="Verdana" w:hAnsi="Verdana"/>
        </w:rPr>
        <w:instrText>HYPERLINK "" \l "x__ftn1"</w:instrText>
      </w:r>
      <w:r w:rsidRPr="00F5696C">
        <w:rPr>
          <w:rFonts w:ascii="Verdana" w:hAnsi="Verdana"/>
        </w:rPr>
      </w:r>
      <w:r w:rsidRPr="00F5696C">
        <w:rPr>
          <w:rFonts w:ascii="Verdana" w:hAnsi="Verdana"/>
        </w:rPr>
        <w:fldChar w:fldCharType="separate"/>
      </w:r>
      <w:r w:rsidRPr="00F5696C">
        <w:rPr>
          <w:rStyle w:val="xmsofootnotereference"/>
          <w:rFonts w:ascii="Verdana" w:hAnsi="Verdana"/>
          <w:color w:val="0000FF"/>
          <w:u w:val="single"/>
        </w:rPr>
        <w:t>[1]</w:t>
      </w:r>
      <w:r w:rsidRPr="00F5696C">
        <w:rPr>
          <w:rFonts w:ascii="Verdana" w:hAnsi="Verdana"/>
        </w:rPr>
        <w:fldChar w:fldCharType="end"/>
      </w:r>
      <w:bookmarkEnd w:id="1"/>
      <w:r w:rsidRPr="00F5696C">
        <w:rPr>
          <w:rFonts w:ascii="Verdana" w:hAnsi="Verdana"/>
        </w:rPr>
        <w:t>,  the collective market capitalisation of the M7 companies has grown from just over US$1 trillion to well over $13trillion. This represents a remarkable compounded annual return of 24.3% – doubling the S&amp;P 500’s capital return of 12% over the same period. Unsurprisingly, this growth has seen the M7’s contribution to the S&amp;P 500’s market capitalisation soar from 10% to over 30%.</w:t>
      </w:r>
    </w:p>
    <w:p w14:paraId="0B4ADB5C" w14:textId="77777777" w:rsidR="00F5696C" w:rsidRPr="00F5696C" w:rsidRDefault="00F5696C" w:rsidP="00F5696C">
      <w:pPr>
        <w:pStyle w:val="xmsonormal"/>
        <w:jc w:val="both"/>
        <w:rPr>
          <w:rFonts w:ascii="Verdana" w:hAnsi="Verdana"/>
        </w:rPr>
      </w:pPr>
      <w:r w:rsidRPr="00F5696C">
        <w:rPr>
          <w:rFonts w:ascii="Verdana" w:hAnsi="Verdana"/>
        </w:rPr>
        <w:t> </w:t>
      </w:r>
    </w:p>
    <w:p w14:paraId="51CE1EB4" w14:textId="77777777" w:rsidR="00F5696C" w:rsidRDefault="00F5696C" w:rsidP="00F5696C">
      <w:pPr>
        <w:pStyle w:val="xmsonormal"/>
        <w:jc w:val="both"/>
        <w:rPr>
          <w:rFonts w:ascii="Verdana" w:hAnsi="Verdana"/>
        </w:rPr>
      </w:pPr>
      <w:r w:rsidRPr="00F5696C">
        <w:rPr>
          <w:rFonts w:ascii="Verdana" w:hAnsi="Verdana"/>
        </w:rPr>
        <w:t>Graph 1: Market Capitalisation Q4 2012 – Q1 2024</w:t>
      </w:r>
    </w:p>
    <w:p w14:paraId="21258303" w14:textId="77777777" w:rsidR="00F5696C" w:rsidRPr="00F5696C" w:rsidRDefault="00F5696C" w:rsidP="00F5696C">
      <w:pPr>
        <w:pStyle w:val="xmsonormal"/>
        <w:jc w:val="both"/>
        <w:rPr>
          <w:rFonts w:ascii="Verdana" w:hAnsi="Verdana"/>
        </w:rPr>
      </w:pPr>
    </w:p>
    <w:p w14:paraId="6B7CC7C3" w14:textId="69B3B112" w:rsidR="00F5696C" w:rsidRDefault="00F5696C" w:rsidP="00F5696C">
      <w:pPr>
        <w:pStyle w:val="xmsonormal"/>
        <w:jc w:val="both"/>
        <w:rPr>
          <w:rFonts w:ascii="Verdana" w:hAnsi="Verdana"/>
        </w:rPr>
      </w:pPr>
      <w:r w:rsidRPr="00F5696C">
        <w:rPr>
          <w:rFonts w:ascii="Verdana" w:hAnsi="Verdana"/>
          <w:noProof/>
        </w:rPr>
        <w:drawing>
          <wp:inline distT="0" distB="0" distL="0" distR="0" wp14:anchorId="4376A312" wp14:editId="5F054EFA">
            <wp:extent cx="5400675" cy="3152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400675" cy="3152775"/>
                    </a:xfrm>
                    <a:prstGeom prst="rect">
                      <a:avLst/>
                    </a:prstGeom>
                    <a:noFill/>
                    <a:ln>
                      <a:noFill/>
                    </a:ln>
                  </pic:spPr>
                </pic:pic>
              </a:graphicData>
            </a:graphic>
          </wp:inline>
        </w:drawing>
      </w:r>
    </w:p>
    <w:p w14:paraId="5A3658A3" w14:textId="77777777" w:rsidR="00F5696C" w:rsidRPr="00F5696C" w:rsidRDefault="00F5696C" w:rsidP="00F5696C">
      <w:pPr>
        <w:pStyle w:val="xmsonormal"/>
        <w:jc w:val="both"/>
        <w:rPr>
          <w:rFonts w:ascii="Verdana" w:hAnsi="Verdana"/>
        </w:rPr>
      </w:pPr>
    </w:p>
    <w:p w14:paraId="2D088505" w14:textId="77777777" w:rsidR="00F5696C" w:rsidRPr="00F5696C" w:rsidRDefault="00F5696C" w:rsidP="00F5696C">
      <w:pPr>
        <w:pStyle w:val="xmsonormal"/>
        <w:jc w:val="both"/>
        <w:rPr>
          <w:rFonts w:ascii="Verdana" w:hAnsi="Verdana"/>
        </w:rPr>
      </w:pPr>
      <w:r w:rsidRPr="00F5696C">
        <w:rPr>
          <w:rFonts w:ascii="Verdana" w:hAnsi="Verdana"/>
        </w:rPr>
        <w:t xml:space="preserve">Source: Refinitiv </w:t>
      </w:r>
      <w:proofErr w:type="spellStart"/>
      <w:r w:rsidRPr="00F5696C">
        <w:rPr>
          <w:rFonts w:ascii="Verdana" w:hAnsi="Verdana"/>
        </w:rPr>
        <w:t>Datastream</w:t>
      </w:r>
      <w:proofErr w:type="spellEnd"/>
      <w:r w:rsidRPr="00F5696C">
        <w:rPr>
          <w:rFonts w:ascii="Verdana" w:hAnsi="Verdana"/>
        </w:rPr>
        <w:t>, Private Clients by Old Mutual Wealth (2024)</w:t>
      </w:r>
    </w:p>
    <w:p w14:paraId="3AE3C9FD" w14:textId="77777777" w:rsidR="00F5696C" w:rsidRPr="00F5696C" w:rsidRDefault="00F5696C" w:rsidP="00F5696C">
      <w:pPr>
        <w:pStyle w:val="xmsonormal"/>
        <w:jc w:val="both"/>
        <w:rPr>
          <w:rFonts w:ascii="Verdana" w:hAnsi="Verdana"/>
        </w:rPr>
      </w:pPr>
      <w:r w:rsidRPr="00F5696C">
        <w:rPr>
          <w:rFonts w:ascii="Verdana" w:hAnsi="Verdana"/>
          <w:b/>
          <w:bCs/>
        </w:rPr>
        <w:t> </w:t>
      </w:r>
    </w:p>
    <w:p w14:paraId="4FC8B917" w14:textId="77777777" w:rsidR="00F5696C" w:rsidRPr="00F5696C" w:rsidRDefault="00F5696C" w:rsidP="00F5696C">
      <w:pPr>
        <w:pStyle w:val="xmsonormal"/>
        <w:jc w:val="both"/>
        <w:rPr>
          <w:rFonts w:ascii="Verdana" w:hAnsi="Verdana"/>
        </w:rPr>
      </w:pPr>
      <w:r w:rsidRPr="00F5696C">
        <w:rPr>
          <w:rFonts w:ascii="Verdana" w:hAnsi="Verdana"/>
          <w:b/>
          <w:bCs/>
        </w:rPr>
        <w:lastRenderedPageBreak/>
        <w:t> </w:t>
      </w:r>
    </w:p>
    <w:p w14:paraId="62717A73" w14:textId="77777777" w:rsidR="00F5696C" w:rsidRPr="00F5696C" w:rsidRDefault="00F5696C" w:rsidP="00F5696C">
      <w:pPr>
        <w:pStyle w:val="xmsonormal"/>
        <w:jc w:val="both"/>
        <w:rPr>
          <w:rFonts w:ascii="Verdana" w:hAnsi="Verdana"/>
        </w:rPr>
      </w:pPr>
      <w:r w:rsidRPr="00F5696C">
        <w:rPr>
          <w:rFonts w:ascii="Verdana" w:hAnsi="Verdana"/>
          <w:b/>
          <w:bCs/>
        </w:rPr>
        <w:t> </w:t>
      </w:r>
    </w:p>
    <w:p w14:paraId="3673787A" w14:textId="77777777" w:rsidR="00F5696C" w:rsidRPr="00F5696C" w:rsidRDefault="00F5696C" w:rsidP="00F5696C">
      <w:pPr>
        <w:pStyle w:val="xmsonormal"/>
        <w:jc w:val="both"/>
        <w:rPr>
          <w:rFonts w:ascii="Verdana" w:hAnsi="Verdana"/>
        </w:rPr>
      </w:pPr>
      <w:r w:rsidRPr="00F5696C">
        <w:rPr>
          <w:rFonts w:ascii="Verdana" w:hAnsi="Verdana"/>
          <w:b/>
          <w:bCs/>
        </w:rPr>
        <w:t> </w:t>
      </w:r>
    </w:p>
    <w:p w14:paraId="06E1ACFA" w14:textId="77777777" w:rsidR="00F5696C" w:rsidRPr="00F5696C" w:rsidRDefault="00F5696C" w:rsidP="00F5696C">
      <w:pPr>
        <w:pStyle w:val="xmsonormal"/>
        <w:jc w:val="both"/>
        <w:rPr>
          <w:rFonts w:ascii="Verdana" w:hAnsi="Verdana"/>
        </w:rPr>
      </w:pPr>
      <w:r w:rsidRPr="00F5696C">
        <w:rPr>
          <w:rFonts w:ascii="Verdana" w:hAnsi="Verdana"/>
          <w:b/>
          <w:bCs/>
        </w:rPr>
        <w:t>A closer look at the fundamentals</w:t>
      </w:r>
    </w:p>
    <w:p w14:paraId="1AB59F55" w14:textId="77777777" w:rsidR="00F5696C" w:rsidRPr="00F5696C" w:rsidRDefault="00F5696C" w:rsidP="00F5696C">
      <w:pPr>
        <w:pStyle w:val="xmsonormal"/>
        <w:jc w:val="both"/>
        <w:rPr>
          <w:rFonts w:ascii="Verdana" w:hAnsi="Verdana"/>
        </w:rPr>
      </w:pPr>
      <w:r w:rsidRPr="00F5696C">
        <w:rPr>
          <w:rFonts w:ascii="Verdana" w:hAnsi="Verdana"/>
        </w:rPr>
        <w:t>While this market capitalisation growth is impressive, the key question is whether the companies’ fundamentals have kept pace. As shown in graph 2, the M7 companies’ earnings have grown from US$9.8 billion in 2012 to $53.1 billion today. While impressive, this earnings growth has notably lagged the expansion in market capitalisation. Basic analysis suggests that collectively, when using earnings multiple, these businesses are considerably more richly priced today than they were in 2012. We acknowledge that this growth number will be heavily weighted to those companies generating the lion’s share of earnings. However, the narrative remains unchanged.</w:t>
      </w:r>
    </w:p>
    <w:p w14:paraId="44AE2F4F" w14:textId="77777777" w:rsidR="00F5696C" w:rsidRPr="00F5696C" w:rsidRDefault="00F5696C" w:rsidP="00F5696C">
      <w:pPr>
        <w:pStyle w:val="xmsonormal"/>
        <w:jc w:val="both"/>
        <w:rPr>
          <w:rFonts w:ascii="Verdana" w:hAnsi="Verdana"/>
        </w:rPr>
      </w:pPr>
      <w:r w:rsidRPr="00F5696C">
        <w:rPr>
          <w:rFonts w:ascii="Verdana" w:hAnsi="Verdana"/>
        </w:rPr>
        <w:t> </w:t>
      </w:r>
    </w:p>
    <w:p w14:paraId="6959C2B6" w14:textId="77777777" w:rsidR="00F5696C" w:rsidRDefault="00F5696C" w:rsidP="00F5696C">
      <w:pPr>
        <w:pStyle w:val="xmsonormal"/>
        <w:jc w:val="both"/>
        <w:rPr>
          <w:rFonts w:ascii="Verdana" w:hAnsi="Verdana"/>
        </w:rPr>
      </w:pPr>
      <w:r w:rsidRPr="00F5696C">
        <w:rPr>
          <w:rFonts w:ascii="Verdana" w:hAnsi="Verdana"/>
        </w:rPr>
        <w:t>Graph 2: Earnings Q4 0212 – Q4 2023</w:t>
      </w:r>
    </w:p>
    <w:p w14:paraId="1C95C473" w14:textId="77777777" w:rsidR="00F5696C" w:rsidRPr="00F5696C" w:rsidRDefault="00F5696C" w:rsidP="00F5696C">
      <w:pPr>
        <w:pStyle w:val="xmsonormal"/>
        <w:jc w:val="both"/>
        <w:rPr>
          <w:rFonts w:ascii="Verdana" w:hAnsi="Verdana"/>
        </w:rPr>
      </w:pPr>
    </w:p>
    <w:p w14:paraId="338FB83A" w14:textId="7C6A6B43" w:rsidR="00F5696C" w:rsidRDefault="00F5696C" w:rsidP="00F5696C">
      <w:pPr>
        <w:pStyle w:val="xmsonormal"/>
        <w:jc w:val="both"/>
        <w:rPr>
          <w:rFonts w:ascii="Verdana" w:hAnsi="Verdana"/>
        </w:rPr>
      </w:pPr>
      <w:r w:rsidRPr="00F5696C">
        <w:rPr>
          <w:rFonts w:ascii="Verdana" w:hAnsi="Verdana"/>
          <w:noProof/>
        </w:rPr>
        <w:drawing>
          <wp:inline distT="0" distB="0" distL="0" distR="0" wp14:anchorId="395AC062" wp14:editId="2F0F638A">
            <wp:extent cx="5400675" cy="3152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00675" cy="3152775"/>
                    </a:xfrm>
                    <a:prstGeom prst="rect">
                      <a:avLst/>
                    </a:prstGeom>
                    <a:noFill/>
                    <a:ln>
                      <a:noFill/>
                    </a:ln>
                  </pic:spPr>
                </pic:pic>
              </a:graphicData>
            </a:graphic>
          </wp:inline>
        </w:drawing>
      </w:r>
    </w:p>
    <w:p w14:paraId="2736B537" w14:textId="77777777" w:rsidR="00F5696C" w:rsidRPr="00F5696C" w:rsidRDefault="00F5696C" w:rsidP="00F5696C">
      <w:pPr>
        <w:pStyle w:val="xmsonormal"/>
        <w:jc w:val="both"/>
        <w:rPr>
          <w:rFonts w:ascii="Verdana" w:hAnsi="Verdana"/>
        </w:rPr>
      </w:pPr>
    </w:p>
    <w:p w14:paraId="2B9B696E" w14:textId="77777777" w:rsidR="00F5696C" w:rsidRPr="00F5696C" w:rsidRDefault="00F5696C" w:rsidP="00F5696C">
      <w:pPr>
        <w:pStyle w:val="xmsonormal"/>
        <w:jc w:val="both"/>
        <w:rPr>
          <w:rFonts w:ascii="Verdana" w:hAnsi="Verdana"/>
        </w:rPr>
      </w:pPr>
      <w:r w:rsidRPr="00F5696C">
        <w:rPr>
          <w:rFonts w:ascii="Verdana" w:hAnsi="Verdana"/>
        </w:rPr>
        <w:t xml:space="preserve">Source: Refinitiv </w:t>
      </w:r>
      <w:proofErr w:type="spellStart"/>
      <w:r w:rsidRPr="00F5696C">
        <w:rPr>
          <w:rFonts w:ascii="Verdana" w:hAnsi="Verdana"/>
        </w:rPr>
        <w:t>Datastream</w:t>
      </w:r>
      <w:proofErr w:type="spellEnd"/>
      <w:r w:rsidRPr="00F5696C">
        <w:rPr>
          <w:rFonts w:ascii="Verdana" w:hAnsi="Verdana"/>
        </w:rPr>
        <w:t>, Private Clients by Old Mutual Wealth (2024)</w:t>
      </w:r>
    </w:p>
    <w:p w14:paraId="04286B12" w14:textId="77777777" w:rsidR="00F5696C" w:rsidRPr="00F5696C" w:rsidRDefault="00F5696C" w:rsidP="00F5696C">
      <w:pPr>
        <w:pStyle w:val="xmsonormal"/>
        <w:jc w:val="both"/>
        <w:rPr>
          <w:rFonts w:ascii="Verdana" w:hAnsi="Verdana"/>
        </w:rPr>
      </w:pPr>
      <w:r w:rsidRPr="00F5696C">
        <w:rPr>
          <w:rFonts w:ascii="Verdana" w:hAnsi="Verdana"/>
        </w:rPr>
        <w:t> </w:t>
      </w:r>
    </w:p>
    <w:p w14:paraId="1DA0374E" w14:textId="77777777" w:rsidR="00F5696C" w:rsidRPr="00F5696C" w:rsidRDefault="00F5696C" w:rsidP="00F5696C">
      <w:pPr>
        <w:pStyle w:val="xmsonormal"/>
        <w:jc w:val="both"/>
        <w:rPr>
          <w:rFonts w:ascii="Verdana" w:hAnsi="Verdana"/>
        </w:rPr>
      </w:pPr>
      <w:r w:rsidRPr="00F5696C">
        <w:rPr>
          <w:rFonts w:ascii="Verdana" w:hAnsi="Verdana"/>
        </w:rPr>
        <w:t xml:space="preserve">For a more concise view, we calculated the 10-year earnings per share (EPS) growth for each business independently, as shown in table 1. Some companies have undergone significant share buyback programmes, which will further boost earnings on a per share basis, which we believe to be more relevant for shareholders given that they own shares in the business, rather than the business outright. </w:t>
      </w:r>
    </w:p>
    <w:p w14:paraId="267673CB" w14:textId="77777777" w:rsidR="00F5696C" w:rsidRPr="00F5696C" w:rsidRDefault="00F5696C" w:rsidP="00F5696C">
      <w:pPr>
        <w:pStyle w:val="xmsonormal"/>
        <w:jc w:val="both"/>
        <w:rPr>
          <w:rFonts w:ascii="Verdana" w:hAnsi="Verdana"/>
        </w:rPr>
      </w:pPr>
      <w:r w:rsidRPr="00F5696C">
        <w:rPr>
          <w:rFonts w:ascii="Verdana" w:hAnsi="Verdana"/>
        </w:rPr>
        <w:t> </w:t>
      </w:r>
    </w:p>
    <w:p w14:paraId="2944FF06" w14:textId="77777777" w:rsidR="00F5696C" w:rsidRPr="00F5696C" w:rsidRDefault="00F5696C" w:rsidP="00F5696C">
      <w:pPr>
        <w:pStyle w:val="xmsonormal"/>
        <w:jc w:val="both"/>
        <w:rPr>
          <w:rFonts w:ascii="Verdana" w:hAnsi="Verdana"/>
        </w:rPr>
      </w:pPr>
      <w:r w:rsidRPr="00F5696C">
        <w:rPr>
          <w:rFonts w:ascii="Verdana" w:hAnsi="Verdana"/>
        </w:rPr>
        <w:t>Table 1: 10 Year Annualised Earnings Growth 2013 – 2023</w:t>
      </w:r>
    </w:p>
    <w:tbl>
      <w:tblPr>
        <w:tblW w:w="0" w:type="auto"/>
        <w:tblCellMar>
          <w:left w:w="0" w:type="dxa"/>
          <w:right w:w="0" w:type="dxa"/>
        </w:tblCellMar>
        <w:tblLook w:val="04A0" w:firstRow="1" w:lastRow="0" w:firstColumn="1" w:lastColumn="0" w:noHBand="0" w:noVBand="1"/>
      </w:tblPr>
      <w:tblGrid>
        <w:gridCol w:w="4247"/>
        <w:gridCol w:w="4247"/>
      </w:tblGrid>
      <w:tr w:rsidR="00F5696C" w:rsidRPr="00F5696C" w14:paraId="2908F5D5" w14:textId="77777777" w:rsidTr="00F5696C">
        <w:tc>
          <w:tcPr>
            <w:tcW w:w="4247"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14:paraId="56F85F92" w14:textId="77777777" w:rsidR="00F5696C" w:rsidRPr="00F5696C" w:rsidRDefault="00F5696C">
            <w:pPr>
              <w:pStyle w:val="xmsonormal"/>
              <w:spacing w:before="0" w:after="0"/>
              <w:jc w:val="both"/>
              <w:rPr>
                <w:rFonts w:ascii="Verdana" w:hAnsi="Verdana"/>
              </w:rPr>
            </w:pPr>
            <w:r w:rsidRPr="00F5696C">
              <w:rPr>
                <w:rFonts w:ascii="Verdana" w:hAnsi="Verdana"/>
                <w:b/>
                <w:bCs/>
                <w:color w:val="000000"/>
              </w:rPr>
              <w:t>Company</w:t>
            </w:r>
          </w:p>
        </w:tc>
        <w:tc>
          <w:tcPr>
            <w:tcW w:w="4247"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14:paraId="11774E71" w14:textId="77777777" w:rsidR="00F5696C" w:rsidRPr="00F5696C" w:rsidRDefault="00F5696C">
            <w:pPr>
              <w:pStyle w:val="xmsonormal"/>
              <w:spacing w:before="0" w:after="0"/>
              <w:jc w:val="center"/>
              <w:rPr>
                <w:rFonts w:ascii="Verdana" w:hAnsi="Verdana"/>
              </w:rPr>
            </w:pPr>
            <w:r w:rsidRPr="00F5696C">
              <w:rPr>
                <w:rFonts w:ascii="Verdana" w:hAnsi="Verdana"/>
                <w:b/>
                <w:bCs/>
                <w:color w:val="000000"/>
              </w:rPr>
              <w:t>10 Year Annualised Earnings per Share Growth</w:t>
            </w:r>
          </w:p>
        </w:tc>
      </w:tr>
      <w:tr w:rsidR="00F5696C" w:rsidRPr="00F5696C" w14:paraId="5A0D46F0" w14:textId="77777777" w:rsidTr="00F5696C">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BA95F" w14:textId="77777777" w:rsidR="00F5696C" w:rsidRPr="00F5696C" w:rsidRDefault="00F5696C">
            <w:pPr>
              <w:pStyle w:val="xmsonormal"/>
              <w:spacing w:before="0" w:after="0"/>
              <w:jc w:val="both"/>
              <w:rPr>
                <w:rFonts w:ascii="Verdana" w:hAnsi="Verdana"/>
              </w:rPr>
            </w:pPr>
            <w:r w:rsidRPr="00F5696C">
              <w:rPr>
                <w:rFonts w:ascii="Verdana" w:hAnsi="Verdana"/>
              </w:rPr>
              <w:t>Microsoft</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3B2D75CF" w14:textId="77777777" w:rsidR="00F5696C" w:rsidRPr="00F5696C" w:rsidRDefault="00F5696C">
            <w:pPr>
              <w:pStyle w:val="xmsonormal"/>
              <w:spacing w:before="0" w:after="0"/>
              <w:jc w:val="center"/>
              <w:rPr>
                <w:rFonts w:ascii="Verdana" w:hAnsi="Verdana"/>
              </w:rPr>
            </w:pPr>
            <w:r w:rsidRPr="00F5696C">
              <w:rPr>
                <w:rFonts w:ascii="Verdana" w:hAnsi="Verdana"/>
              </w:rPr>
              <w:t>14.1%</w:t>
            </w:r>
          </w:p>
        </w:tc>
      </w:tr>
      <w:tr w:rsidR="00F5696C" w:rsidRPr="00F5696C" w14:paraId="5AD8F7DE" w14:textId="77777777" w:rsidTr="00F5696C">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73CA1" w14:textId="77777777" w:rsidR="00F5696C" w:rsidRPr="00F5696C" w:rsidRDefault="00F5696C">
            <w:pPr>
              <w:pStyle w:val="xmsonormal"/>
              <w:spacing w:before="0" w:after="0"/>
              <w:jc w:val="both"/>
              <w:rPr>
                <w:rFonts w:ascii="Verdana" w:hAnsi="Verdana"/>
              </w:rPr>
            </w:pPr>
            <w:r w:rsidRPr="00F5696C">
              <w:rPr>
                <w:rFonts w:ascii="Verdana" w:hAnsi="Verdana"/>
              </w:rPr>
              <w:t>Apple</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758DC55A" w14:textId="77777777" w:rsidR="00F5696C" w:rsidRPr="00F5696C" w:rsidRDefault="00F5696C">
            <w:pPr>
              <w:pStyle w:val="xmsonormal"/>
              <w:spacing w:before="0" w:after="0"/>
              <w:jc w:val="center"/>
              <w:rPr>
                <w:rFonts w:ascii="Verdana" w:hAnsi="Verdana"/>
              </w:rPr>
            </w:pPr>
            <w:r w:rsidRPr="00F5696C">
              <w:rPr>
                <w:rFonts w:ascii="Verdana" w:hAnsi="Verdana"/>
              </w:rPr>
              <w:t>15.4%</w:t>
            </w:r>
          </w:p>
        </w:tc>
      </w:tr>
      <w:tr w:rsidR="00F5696C" w:rsidRPr="00F5696C" w14:paraId="107A7F5F" w14:textId="77777777" w:rsidTr="00F5696C">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9E853" w14:textId="77777777" w:rsidR="00F5696C" w:rsidRPr="00F5696C" w:rsidRDefault="00F5696C">
            <w:pPr>
              <w:pStyle w:val="xmsonormal"/>
              <w:spacing w:before="0" w:after="0"/>
              <w:jc w:val="both"/>
              <w:rPr>
                <w:rFonts w:ascii="Verdana" w:hAnsi="Verdana"/>
              </w:rPr>
            </w:pPr>
            <w:r w:rsidRPr="00F5696C">
              <w:rPr>
                <w:rFonts w:ascii="Verdana" w:hAnsi="Verdana"/>
              </w:rPr>
              <w:lastRenderedPageBreak/>
              <w:t>Nvidia</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2142887A" w14:textId="77777777" w:rsidR="00F5696C" w:rsidRPr="00F5696C" w:rsidRDefault="00F5696C">
            <w:pPr>
              <w:pStyle w:val="xmsonormal"/>
              <w:spacing w:before="0" w:after="0"/>
              <w:jc w:val="center"/>
              <w:rPr>
                <w:rFonts w:ascii="Verdana" w:hAnsi="Verdana"/>
              </w:rPr>
            </w:pPr>
            <w:r w:rsidRPr="00F5696C">
              <w:rPr>
                <w:rFonts w:ascii="Verdana" w:hAnsi="Verdana"/>
              </w:rPr>
              <w:t>50.1%</w:t>
            </w:r>
          </w:p>
        </w:tc>
      </w:tr>
      <w:tr w:rsidR="00F5696C" w:rsidRPr="00F5696C" w14:paraId="555FD934" w14:textId="77777777" w:rsidTr="00F5696C">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52B30" w14:textId="77777777" w:rsidR="00F5696C" w:rsidRPr="00F5696C" w:rsidRDefault="00F5696C">
            <w:pPr>
              <w:pStyle w:val="xmsonormal"/>
              <w:spacing w:before="0" w:after="0"/>
              <w:jc w:val="both"/>
              <w:rPr>
                <w:rFonts w:ascii="Verdana" w:hAnsi="Verdana"/>
              </w:rPr>
            </w:pPr>
            <w:r w:rsidRPr="00F5696C">
              <w:rPr>
                <w:rFonts w:ascii="Verdana" w:hAnsi="Verdana"/>
              </w:rPr>
              <w:t>Alphabet</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1806BBD0" w14:textId="77777777" w:rsidR="00F5696C" w:rsidRPr="00F5696C" w:rsidRDefault="00F5696C">
            <w:pPr>
              <w:pStyle w:val="xmsonormal"/>
              <w:spacing w:before="0" w:after="0"/>
              <w:jc w:val="center"/>
              <w:rPr>
                <w:rFonts w:ascii="Verdana" w:hAnsi="Verdana"/>
              </w:rPr>
            </w:pPr>
            <w:r w:rsidRPr="00F5696C">
              <w:rPr>
                <w:rFonts w:ascii="Verdana" w:hAnsi="Verdana"/>
              </w:rPr>
              <w:t>21.4%</w:t>
            </w:r>
          </w:p>
        </w:tc>
      </w:tr>
      <w:tr w:rsidR="00F5696C" w:rsidRPr="00F5696C" w14:paraId="0FACC003" w14:textId="77777777" w:rsidTr="00F5696C">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C7409" w14:textId="77777777" w:rsidR="00F5696C" w:rsidRPr="00F5696C" w:rsidRDefault="00F5696C">
            <w:pPr>
              <w:pStyle w:val="xmsonormal"/>
              <w:spacing w:before="0" w:after="0"/>
              <w:jc w:val="both"/>
              <w:rPr>
                <w:rFonts w:ascii="Verdana" w:hAnsi="Verdana"/>
              </w:rPr>
            </w:pPr>
            <w:r w:rsidRPr="00F5696C">
              <w:rPr>
                <w:rFonts w:ascii="Verdana" w:hAnsi="Verdana"/>
              </w:rPr>
              <w:t>Amazon</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339C566F" w14:textId="77777777" w:rsidR="00F5696C" w:rsidRPr="00F5696C" w:rsidRDefault="00F5696C">
            <w:pPr>
              <w:pStyle w:val="xmsonormal"/>
              <w:spacing w:before="0" w:after="0"/>
              <w:jc w:val="center"/>
              <w:rPr>
                <w:rFonts w:ascii="Verdana" w:hAnsi="Verdana"/>
              </w:rPr>
            </w:pPr>
            <w:r w:rsidRPr="00F5696C">
              <w:rPr>
                <w:rFonts w:ascii="Verdana" w:hAnsi="Verdana"/>
              </w:rPr>
              <w:t>44.4%</w:t>
            </w:r>
          </w:p>
        </w:tc>
      </w:tr>
      <w:tr w:rsidR="00F5696C" w:rsidRPr="00F5696C" w14:paraId="7FDC1E4F" w14:textId="77777777" w:rsidTr="00F5696C">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EE4D7" w14:textId="77777777" w:rsidR="00F5696C" w:rsidRPr="00F5696C" w:rsidRDefault="00F5696C">
            <w:pPr>
              <w:pStyle w:val="xmsonormal"/>
              <w:spacing w:before="0" w:after="0"/>
              <w:jc w:val="both"/>
              <w:rPr>
                <w:rFonts w:ascii="Verdana" w:hAnsi="Verdana"/>
              </w:rPr>
            </w:pPr>
            <w:r w:rsidRPr="00F5696C">
              <w:rPr>
                <w:rFonts w:ascii="Verdana" w:hAnsi="Verdana"/>
              </w:rPr>
              <w:t>Meta Platforms</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7AADFD52" w14:textId="77777777" w:rsidR="00F5696C" w:rsidRPr="00F5696C" w:rsidRDefault="00F5696C">
            <w:pPr>
              <w:pStyle w:val="xmsonormal"/>
              <w:spacing w:before="0" w:after="0"/>
              <w:jc w:val="center"/>
              <w:rPr>
                <w:rFonts w:ascii="Verdana" w:hAnsi="Verdana"/>
              </w:rPr>
            </w:pPr>
            <w:r w:rsidRPr="00F5696C">
              <w:rPr>
                <w:rFonts w:ascii="Verdana" w:hAnsi="Verdana"/>
              </w:rPr>
              <w:t>38.4%</w:t>
            </w:r>
          </w:p>
        </w:tc>
      </w:tr>
      <w:tr w:rsidR="00F5696C" w:rsidRPr="00F5696C" w14:paraId="68F8D26D" w14:textId="77777777" w:rsidTr="00F5696C">
        <w:tc>
          <w:tcPr>
            <w:tcW w:w="84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3AFB7" w14:textId="77777777" w:rsidR="00F5696C" w:rsidRPr="00F5696C" w:rsidRDefault="00F5696C">
            <w:pPr>
              <w:pStyle w:val="xmsonormal"/>
              <w:spacing w:before="0" w:after="0"/>
              <w:rPr>
                <w:rFonts w:ascii="Verdana" w:hAnsi="Verdana"/>
              </w:rPr>
            </w:pPr>
            <w:r w:rsidRPr="00F5696C">
              <w:rPr>
                <w:rFonts w:ascii="Verdana" w:hAnsi="Verdana"/>
                <w:i/>
                <w:iCs/>
              </w:rPr>
              <w:t>NB: Tesla is not included as the company did not generate a profit 10 years ago.</w:t>
            </w:r>
          </w:p>
        </w:tc>
      </w:tr>
    </w:tbl>
    <w:p w14:paraId="27BD459E" w14:textId="77777777" w:rsidR="00F5696C" w:rsidRDefault="00F5696C" w:rsidP="00F5696C">
      <w:pPr>
        <w:pStyle w:val="xmsonormal"/>
        <w:jc w:val="both"/>
        <w:rPr>
          <w:rFonts w:ascii="Verdana" w:hAnsi="Verdana"/>
        </w:rPr>
      </w:pPr>
    </w:p>
    <w:p w14:paraId="2CAD7C5C" w14:textId="095F4A97" w:rsidR="00F5696C" w:rsidRPr="00F5696C" w:rsidRDefault="00F5696C" w:rsidP="00F5696C">
      <w:pPr>
        <w:pStyle w:val="xmsonormal"/>
        <w:jc w:val="both"/>
        <w:rPr>
          <w:rFonts w:ascii="Verdana" w:hAnsi="Verdana"/>
        </w:rPr>
      </w:pPr>
      <w:r w:rsidRPr="00F5696C">
        <w:rPr>
          <w:rFonts w:ascii="Verdana" w:hAnsi="Verdana"/>
        </w:rPr>
        <w:t xml:space="preserve">Source: Refinitiv </w:t>
      </w:r>
      <w:proofErr w:type="spellStart"/>
      <w:r w:rsidRPr="00F5696C">
        <w:rPr>
          <w:rFonts w:ascii="Verdana" w:hAnsi="Verdana"/>
        </w:rPr>
        <w:t>Datastream</w:t>
      </w:r>
      <w:proofErr w:type="spellEnd"/>
      <w:r w:rsidRPr="00F5696C">
        <w:rPr>
          <w:rFonts w:ascii="Verdana" w:hAnsi="Verdana"/>
        </w:rPr>
        <w:t>, Private Clients by Old Mutual Wealth (2024)</w:t>
      </w:r>
    </w:p>
    <w:p w14:paraId="1688AA52" w14:textId="77777777" w:rsidR="00F5696C" w:rsidRPr="00F5696C" w:rsidRDefault="00F5696C" w:rsidP="00F5696C">
      <w:pPr>
        <w:pStyle w:val="xmsonormal"/>
        <w:jc w:val="both"/>
        <w:rPr>
          <w:rFonts w:ascii="Verdana" w:hAnsi="Verdana"/>
        </w:rPr>
      </w:pPr>
      <w:r w:rsidRPr="00F5696C">
        <w:rPr>
          <w:rFonts w:ascii="Verdana" w:hAnsi="Verdana"/>
        </w:rPr>
        <w:t> </w:t>
      </w:r>
    </w:p>
    <w:p w14:paraId="13FAB78D" w14:textId="77777777" w:rsidR="00F5696C" w:rsidRPr="00F5696C" w:rsidRDefault="00F5696C" w:rsidP="00F5696C">
      <w:pPr>
        <w:pStyle w:val="xmsonormal"/>
        <w:jc w:val="both"/>
        <w:rPr>
          <w:rFonts w:ascii="Verdana" w:hAnsi="Verdana"/>
        </w:rPr>
      </w:pPr>
      <w:r w:rsidRPr="00F5696C">
        <w:rPr>
          <w:rFonts w:ascii="Verdana" w:hAnsi="Verdana"/>
        </w:rPr>
        <w:t>Amazon’s 44.4% EPS growth needs to be viewed with caution as the business is more focused on generating cash and redeploying it back into the business, as opposed to appeasing shareholders with bottom-line earnings growth. Therefore, earnings are not the best measure of value for Amazon. Nevertheless, the EPS numbers vary widely, with the well-established businesses showing more modest growth compared to their younger counterparts still ascending the J-curve towards higher earnings levels.</w:t>
      </w:r>
    </w:p>
    <w:p w14:paraId="146052B3" w14:textId="77777777" w:rsidR="00F5696C" w:rsidRPr="00F5696C" w:rsidRDefault="00F5696C" w:rsidP="00F5696C">
      <w:pPr>
        <w:pStyle w:val="xmsonormal"/>
        <w:jc w:val="both"/>
        <w:rPr>
          <w:rFonts w:ascii="Verdana" w:hAnsi="Verdana"/>
        </w:rPr>
      </w:pPr>
      <w:r w:rsidRPr="00F5696C">
        <w:rPr>
          <w:rFonts w:ascii="Verdana" w:hAnsi="Verdana"/>
        </w:rPr>
        <w:t> </w:t>
      </w:r>
    </w:p>
    <w:p w14:paraId="4E515287" w14:textId="77777777" w:rsidR="00F5696C" w:rsidRPr="00F5696C" w:rsidRDefault="00F5696C" w:rsidP="00F5696C">
      <w:pPr>
        <w:pStyle w:val="xmsonormal"/>
        <w:jc w:val="both"/>
        <w:rPr>
          <w:rFonts w:ascii="Verdana" w:hAnsi="Verdana"/>
        </w:rPr>
      </w:pPr>
      <w:r w:rsidRPr="00F5696C">
        <w:rPr>
          <w:rFonts w:ascii="Verdana" w:hAnsi="Verdana"/>
        </w:rPr>
        <w:t>Combining this data, graph 3 shows how the M7 companies have traded collectively relative to the S&amp;P 500 from a trailing earnings multiple perspective (price earnings ratio). A ratio above one indicates that the M7 companies are valued higher than the S&amp;P 500, commonly referred to as trading at a premium. A rising ratio therefore indicates that the M7 companies are getting more expensive on a relative basis, while a declining ratio indicates the opposite.</w:t>
      </w:r>
    </w:p>
    <w:p w14:paraId="20D7D30C" w14:textId="77777777" w:rsidR="00F5696C" w:rsidRPr="00F5696C" w:rsidRDefault="00F5696C" w:rsidP="00F5696C">
      <w:pPr>
        <w:pStyle w:val="xmsonormal"/>
        <w:jc w:val="both"/>
        <w:rPr>
          <w:rFonts w:ascii="Verdana" w:hAnsi="Verdana"/>
        </w:rPr>
      </w:pPr>
      <w:r w:rsidRPr="00F5696C">
        <w:rPr>
          <w:rFonts w:ascii="Verdana" w:hAnsi="Verdana"/>
        </w:rPr>
        <w:t> </w:t>
      </w:r>
    </w:p>
    <w:p w14:paraId="12C82A36" w14:textId="67F57C5E" w:rsidR="00F5696C" w:rsidRDefault="00F5696C" w:rsidP="00F5696C">
      <w:pPr>
        <w:pStyle w:val="xmsonormal"/>
        <w:jc w:val="both"/>
        <w:rPr>
          <w:rFonts w:ascii="Verdana" w:hAnsi="Verdana"/>
        </w:rPr>
      </w:pPr>
      <w:r w:rsidRPr="00F5696C">
        <w:rPr>
          <w:rFonts w:ascii="Verdana" w:hAnsi="Verdana"/>
        </w:rPr>
        <w:t xml:space="preserve">Graph 3: Relative Price Earnings Ratio 2012 </w:t>
      </w:r>
      <w:r>
        <w:rPr>
          <w:rFonts w:ascii="Verdana" w:hAnsi="Verdana"/>
        </w:rPr>
        <w:t>–</w:t>
      </w:r>
      <w:r w:rsidRPr="00F5696C">
        <w:rPr>
          <w:rFonts w:ascii="Verdana" w:hAnsi="Verdana"/>
        </w:rPr>
        <w:t xml:space="preserve"> 2024</w:t>
      </w:r>
    </w:p>
    <w:p w14:paraId="4D08584F" w14:textId="77777777" w:rsidR="00F5696C" w:rsidRPr="00F5696C" w:rsidRDefault="00F5696C" w:rsidP="00F5696C">
      <w:pPr>
        <w:pStyle w:val="xmsonormal"/>
        <w:jc w:val="both"/>
        <w:rPr>
          <w:rFonts w:ascii="Verdana" w:hAnsi="Verdana"/>
        </w:rPr>
      </w:pPr>
    </w:p>
    <w:p w14:paraId="24080B99" w14:textId="30F70506" w:rsidR="00F5696C" w:rsidRDefault="00F5696C" w:rsidP="00F5696C">
      <w:pPr>
        <w:pStyle w:val="xmsonormal"/>
        <w:jc w:val="both"/>
        <w:rPr>
          <w:rFonts w:ascii="Verdana" w:hAnsi="Verdana"/>
        </w:rPr>
      </w:pPr>
      <w:r w:rsidRPr="00F5696C">
        <w:rPr>
          <w:rFonts w:ascii="Verdana" w:hAnsi="Verdana"/>
          <w:noProof/>
        </w:rPr>
        <w:drawing>
          <wp:inline distT="0" distB="0" distL="0" distR="0" wp14:anchorId="69933715" wp14:editId="769443B9">
            <wp:extent cx="5400675" cy="3152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00675" cy="3152775"/>
                    </a:xfrm>
                    <a:prstGeom prst="rect">
                      <a:avLst/>
                    </a:prstGeom>
                    <a:noFill/>
                    <a:ln>
                      <a:noFill/>
                    </a:ln>
                  </pic:spPr>
                </pic:pic>
              </a:graphicData>
            </a:graphic>
          </wp:inline>
        </w:drawing>
      </w:r>
    </w:p>
    <w:p w14:paraId="5424860E" w14:textId="77777777" w:rsidR="00F5696C" w:rsidRPr="00F5696C" w:rsidRDefault="00F5696C" w:rsidP="00F5696C">
      <w:pPr>
        <w:pStyle w:val="xmsonormal"/>
        <w:jc w:val="both"/>
        <w:rPr>
          <w:rFonts w:ascii="Verdana" w:hAnsi="Verdana"/>
        </w:rPr>
      </w:pPr>
    </w:p>
    <w:p w14:paraId="63B1A5FA" w14:textId="77777777" w:rsidR="00F5696C" w:rsidRPr="00F5696C" w:rsidRDefault="00F5696C" w:rsidP="00F5696C">
      <w:pPr>
        <w:pStyle w:val="xmsonormal"/>
        <w:jc w:val="both"/>
        <w:rPr>
          <w:rFonts w:ascii="Verdana" w:hAnsi="Verdana"/>
        </w:rPr>
      </w:pPr>
      <w:r w:rsidRPr="00F5696C">
        <w:rPr>
          <w:rFonts w:ascii="Verdana" w:hAnsi="Verdana"/>
        </w:rPr>
        <w:t xml:space="preserve">Source: Refinitiv </w:t>
      </w:r>
      <w:proofErr w:type="spellStart"/>
      <w:r w:rsidRPr="00F5696C">
        <w:rPr>
          <w:rFonts w:ascii="Verdana" w:hAnsi="Verdana"/>
        </w:rPr>
        <w:t>Datastream</w:t>
      </w:r>
      <w:proofErr w:type="spellEnd"/>
      <w:r w:rsidRPr="00F5696C">
        <w:rPr>
          <w:rFonts w:ascii="Verdana" w:hAnsi="Verdana"/>
        </w:rPr>
        <w:t>, Private Clients by Old Mutual Wealth (2024)</w:t>
      </w:r>
    </w:p>
    <w:p w14:paraId="313946E8" w14:textId="77777777" w:rsidR="00F5696C" w:rsidRPr="00F5696C" w:rsidRDefault="00F5696C" w:rsidP="00F5696C">
      <w:pPr>
        <w:pStyle w:val="xmsonormal"/>
        <w:jc w:val="both"/>
        <w:rPr>
          <w:rFonts w:ascii="Verdana" w:hAnsi="Verdana"/>
        </w:rPr>
      </w:pPr>
      <w:r w:rsidRPr="00F5696C">
        <w:rPr>
          <w:rFonts w:ascii="Verdana" w:hAnsi="Verdana"/>
        </w:rPr>
        <w:t> </w:t>
      </w:r>
    </w:p>
    <w:p w14:paraId="7D61F903" w14:textId="77777777" w:rsidR="00F5696C" w:rsidRPr="00F5696C" w:rsidRDefault="00F5696C" w:rsidP="00F5696C">
      <w:pPr>
        <w:pStyle w:val="xmsonormal"/>
        <w:jc w:val="both"/>
        <w:rPr>
          <w:rFonts w:ascii="Verdana" w:hAnsi="Verdana"/>
        </w:rPr>
      </w:pPr>
      <w:proofErr w:type="gramStart"/>
      <w:r w:rsidRPr="00F5696C">
        <w:rPr>
          <w:rFonts w:ascii="Verdana" w:hAnsi="Verdana"/>
        </w:rPr>
        <w:t>It is clear that the</w:t>
      </w:r>
      <w:proofErr w:type="gramEnd"/>
      <w:r w:rsidRPr="00F5696C">
        <w:rPr>
          <w:rFonts w:ascii="Verdana" w:hAnsi="Verdana"/>
        </w:rPr>
        <w:t xml:space="preserve"> market has placed a premium rating on M7 companies. Therefore, arguing that they are more expensive than the market is a moot point. These companies </w:t>
      </w:r>
      <w:r w:rsidRPr="00F5696C">
        <w:rPr>
          <w:rFonts w:ascii="Verdana" w:hAnsi="Verdana"/>
        </w:rPr>
        <w:lastRenderedPageBreak/>
        <w:t>rightfully command a premium valuation for several reasons, some of which have already been highlighted. At their current valuations, they trade at a one standard deviation above the 10-year average relative PE ratio.</w:t>
      </w:r>
    </w:p>
    <w:p w14:paraId="329AD3EA" w14:textId="77777777" w:rsidR="00F5696C" w:rsidRPr="00F5696C" w:rsidRDefault="00F5696C" w:rsidP="00F5696C">
      <w:pPr>
        <w:pStyle w:val="xmsonormal"/>
        <w:jc w:val="both"/>
        <w:rPr>
          <w:rFonts w:ascii="Verdana" w:hAnsi="Verdana"/>
        </w:rPr>
      </w:pPr>
      <w:r w:rsidRPr="00F5696C">
        <w:rPr>
          <w:rFonts w:ascii="Verdana" w:hAnsi="Verdana"/>
        </w:rPr>
        <w:t> </w:t>
      </w:r>
    </w:p>
    <w:p w14:paraId="78C07A2B" w14:textId="77777777" w:rsidR="00F5696C" w:rsidRPr="00F5696C" w:rsidRDefault="00F5696C" w:rsidP="00F5696C">
      <w:pPr>
        <w:pStyle w:val="xmsonormal"/>
        <w:jc w:val="both"/>
        <w:rPr>
          <w:rFonts w:ascii="Verdana" w:hAnsi="Verdana"/>
        </w:rPr>
      </w:pPr>
      <w:r w:rsidRPr="00F5696C">
        <w:rPr>
          <w:rFonts w:ascii="Verdana" w:hAnsi="Verdana"/>
          <w:b/>
          <w:bCs/>
        </w:rPr>
        <w:t>Are the valuations justified?</w:t>
      </w:r>
    </w:p>
    <w:p w14:paraId="0B1BAC60" w14:textId="77777777" w:rsidR="00F5696C" w:rsidRPr="00F5696C" w:rsidRDefault="00F5696C" w:rsidP="00F5696C">
      <w:pPr>
        <w:pStyle w:val="xmsonormal"/>
        <w:jc w:val="both"/>
        <w:rPr>
          <w:rFonts w:ascii="Verdana" w:hAnsi="Verdana"/>
        </w:rPr>
      </w:pPr>
      <w:r w:rsidRPr="00F5696C">
        <w:rPr>
          <w:rFonts w:ascii="Verdana" w:hAnsi="Verdana"/>
        </w:rPr>
        <w:t>The final question now lies in whether these valuations are justified. Naively looking at the historic earnings from a valuation perspective has many flaws, particularly for fast growing businesses. Instead, one must assess what the market is pricing in for the future, and then determine whether the companies can meet those expectations.</w:t>
      </w:r>
    </w:p>
    <w:p w14:paraId="3FB08FF4" w14:textId="77777777" w:rsidR="00F5696C" w:rsidRPr="00F5696C" w:rsidRDefault="00F5696C" w:rsidP="00F5696C">
      <w:pPr>
        <w:pStyle w:val="xmsonormal"/>
        <w:jc w:val="both"/>
        <w:rPr>
          <w:rFonts w:ascii="Verdana" w:hAnsi="Verdana"/>
        </w:rPr>
      </w:pPr>
      <w:r w:rsidRPr="00F5696C">
        <w:rPr>
          <w:rFonts w:ascii="Verdana" w:hAnsi="Verdana"/>
        </w:rPr>
        <w:t> </w:t>
      </w:r>
    </w:p>
    <w:p w14:paraId="738F5C81" w14:textId="77777777" w:rsidR="00F5696C" w:rsidRPr="00F5696C" w:rsidRDefault="00F5696C" w:rsidP="00F5696C">
      <w:pPr>
        <w:pStyle w:val="xmsonormal"/>
        <w:jc w:val="both"/>
        <w:rPr>
          <w:rFonts w:ascii="Verdana" w:hAnsi="Verdana"/>
        </w:rPr>
      </w:pPr>
      <w:r w:rsidRPr="00F5696C">
        <w:rPr>
          <w:rFonts w:ascii="Verdana" w:hAnsi="Verdana"/>
        </w:rPr>
        <w:t xml:space="preserve">For this analysis, we used a 10-year high growth period before reverting to a more stable long-term growth rate. To calculate a suitable discount rate for each company, we used current 10-year US treasury yields as a proxy for the risk-free rate (although we appreciate that US treasuries are not completely risk free). We then posed two questions: Firstly, how much potential upside or downside exists from the current share price if the company replicates its past 10 years’ earnings growth? Secondly, what earnings growth is the market expecting the company </w:t>
      </w:r>
      <w:proofErr w:type="gramStart"/>
      <w:r w:rsidRPr="00F5696C">
        <w:rPr>
          <w:rFonts w:ascii="Verdana" w:hAnsi="Verdana"/>
        </w:rPr>
        <w:t>to  generate</w:t>
      </w:r>
      <w:proofErr w:type="gramEnd"/>
      <w:r w:rsidRPr="00F5696C">
        <w:rPr>
          <w:rFonts w:ascii="Verdana" w:hAnsi="Verdana"/>
        </w:rPr>
        <w:t xml:space="preserve"> over the next 10 years in order to justify its current valuation? The results are summarised in table 2. </w:t>
      </w:r>
    </w:p>
    <w:p w14:paraId="5DDCAB09" w14:textId="77777777" w:rsidR="00F5696C" w:rsidRPr="00F5696C" w:rsidRDefault="00F5696C" w:rsidP="00F5696C">
      <w:pPr>
        <w:pStyle w:val="xmsonormal"/>
        <w:jc w:val="both"/>
        <w:rPr>
          <w:rFonts w:ascii="Verdana" w:hAnsi="Verdana"/>
        </w:rPr>
      </w:pPr>
      <w:r w:rsidRPr="00F5696C">
        <w:rPr>
          <w:rFonts w:ascii="Verdana" w:hAnsi="Verdana"/>
        </w:rPr>
        <w:t> </w:t>
      </w:r>
    </w:p>
    <w:p w14:paraId="759A60F1" w14:textId="77777777" w:rsidR="00F5696C" w:rsidRDefault="00F5696C" w:rsidP="00F5696C">
      <w:pPr>
        <w:pStyle w:val="xmsonormal"/>
        <w:jc w:val="both"/>
        <w:rPr>
          <w:rFonts w:ascii="Verdana" w:hAnsi="Verdana"/>
          <w:b/>
          <w:bCs/>
        </w:rPr>
      </w:pPr>
      <w:r w:rsidRPr="00F5696C">
        <w:rPr>
          <w:rFonts w:ascii="Verdana" w:hAnsi="Verdana"/>
          <w:b/>
          <w:bCs/>
        </w:rPr>
        <w:t xml:space="preserve">Table 2: </w:t>
      </w:r>
      <w:proofErr w:type="spellStart"/>
      <w:r w:rsidRPr="00F5696C">
        <w:rPr>
          <w:rFonts w:ascii="Verdana" w:hAnsi="Verdana"/>
          <w:b/>
          <w:bCs/>
        </w:rPr>
        <w:t>Justifiying</w:t>
      </w:r>
      <w:proofErr w:type="spellEnd"/>
      <w:r w:rsidRPr="00F5696C">
        <w:rPr>
          <w:rFonts w:ascii="Verdana" w:hAnsi="Verdana"/>
          <w:b/>
          <w:bCs/>
        </w:rPr>
        <w:t xml:space="preserve"> Current Valuations</w:t>
      </w:r>
    </w:p>
    <w:p w14:paraId="2A75C6A4" w14:textId="77777777" w:rsidR="00F5696C" w:rsidRPr="00F5696C" w:rsidRDefault="00F5696C" w:rsidP="00F5696C">
      <w:pPr>
        <w:pStyle w:val="xmsonormal"/>
        <w:jc w:val="both"/>
        <w:rPr>
          <w:rFonts w:ascii="Verdana" w:hAnsi="Verdana"/>
        </w:rPr>
      </w:pPr>
    </w:p>
    <w:tbl>
      <w:tblPr>
        <w:tblW w:w="0" w:type="auto"/>
        <w:tblCellMar>
          <w:left w:w="0" w:type="dxa"/>
          <w:right w:w="0" w:type="dxa"/>
        </w:tblCellMar>
        <w:tblLook w:val="04A0" w:firstRow="1" w:lastRow="0" w:firstColumn="1" w:lastColumn="0" w:noHBand="0" w:noVBand="1"/>
      </w:tblPr>
      <w:tblGrid>
        <w:gridCol w:w="2831"/>
        <w:gridCol w:w="2831"/>
        <w:gridCol w:w="2832"/>
      </w:tblGrid>
      <w:tr w:rsidR="00F5696C" w:rsidRPr="00F5696C" w14:paraId="7BA64866" w14:textId="77777777" w:rsidTr="00F5696C">
        <w:tc>
          <w:tcPr>
            <w:tcW w:w="2831"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14:paraId="3E85F43D" w14:textId="77777777" w:rsidR="00F5696C" w:rsidRPr="00F5696C" w:rsidRDefault="00F5696C">
            <w:pPr>
              <w:pStyle w:val="xmsonormal"/>
              <w:spacing w:before="0" w:after="0"/>
              <w:jc w:val="both"/>
              <w:rPr>
                <w:rFonts w:ascii="Verdana" w:hAnsi="Verdana"/>
              </w:rPr>
            </w:pPr>
            <w:r w:rsidRPr="00F5696C">
              <w:rPr>
                <w:rFonts w:ascii="Verdana" w:hAnsi="Verdana"/>
                <w:b/>
                <w:bCs/>
                <w:color w:val="000000"/>
              </w:rPr>
              <w:t>M7 Company</w:t>
            </w:r>
          </w:p>
        </w:tc>
        <w:tc>
          <w:tcPr>
            <w:tcW w:w="2831"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14:paraId="33F79736" w14:textId="77777777" w:rsidR="00F5696C" w:rsidRPr="00F5696C" w:rsidRDefault="00F5696C">
            <w:pPr>
              <w:pStyle w:val="xmsonormal"/>
              <w:spacing w:before="0" w:after="0"/>
              <w:jc w:val="center"/>
              <w:rPr>
                <w:rFonts w:ascii="Verdana" w:hAnsi="Verdana"/>
              </w:rPr>
            </w:pPr>
            <w:r w:rsidRPr="00F5696C">
              <w:rPr>
                <w:rFonts w:ascii="Verdana" w:hAnsi="Verdana"/>
                <w:b/>
                <w:bCs/>
                <w:color w:val="000000"/>
              </w:rPr>
              <w:t>Potential Upside / Downside</w:t>
            </w:r>
          </w:p>
          <w:p w14:paraId="3C70BE4C" w14:textId="77777777" w:rsidR="00F5696C" w:rsidRPr="00F5696C" w:rsidRDefault="00F5696C">
            <w:pPr>
              <w:pStyle w:val="xmsonormal"/>
              <w:spacing w:before="0" w:after="0"/>
              <w:jc w:val="center"/>
              <w:rPr>
                <w:rFonts w:ascii="Verdana" w:hAnsi="Verdana"/>
              </w:rPr>
            </w:pPr>
            <w:r w:rsidRPr="00F5696C">
              <w:rPr>
                <w:rFonts w:ascii="Verdana" w:hAnsi="Verdana"/>
                <w:i/>
                <w:iCs/>
                <w:color w:val="000000"/>
              </w:rPr>
              <w:t>(Expected EPS Growth = Past 10 Year EPS Growth</w:t>
            </w:r>
            <w:r w:rsidRPr="00F5696C">
              <w:rPr>
                <w:rFonts w:ascii="Verdana" w:hAnsi="Verdana"/>
                <w:b/>
                <w:bCs/>
                <w:color w:val="000000"/>
              </w:rPr>
              <w:t>)</w:t>
            </w:r>
          </w:p>
        </w:tc>
        <w:tc>
          <w:tcPr>
            <w:tcW w:w="2832"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14:paraId="4C412E9E" w14:textId="77777777" w:rsidR="00F5696C" w:rsidRPr="00F5696C" w:rsidRDefault="00F5696C">
            <w:pPr>
              <w:pStyle w:val="xmsonormal"/>
              <w:spacing w:before="0" w:after="0"/>
              <w:jc w:val="center"/>
              <w:rPr>
                <w:rFonts w:ascii="Verdana" w:hAnsi="Verdana"/>
              </w:rPr>
            </w:pPr>
            <w:r w:rsidRPr="00F5696C">
              <w:rPr>
                <w:rFonts w:ascii="Verdana" w:hAnsi="Verdana"/>
                <w:b/>
                <w:bCs/>
                <w:color w:val="000000"/>
              </w:rPr>
              <w:t>Market Expected Annualised EPS Growth</w:t>
            </w:r>
          </w:p>
        </w:tc>
      </w:tr>
      <w:tr w:rsidR="00F5696C" w:rsidRPr="00F5696C" w14:paraId="3DB39C5F" w14:textId="77777777" w:rsidTr="00F5696C">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46B90" w14:textId="77777777" w:rsidR="00F5696C" w:rsidRPr="00F5696C" w:rsidRDefault="00F5696C">
            <w:pPr>
              <w:pStyle w:val="xmsonormal"/>
              <w:spacing w:before="0" w:after="0"/>
              <w:jc w:val="both"/>
              <w:rPr>
                <w:rFonts w:ascii="Verdana" w:hAnsi="Verdana"/>
              </w:rPr>
            </w:pPr>
            <w:r w:rsidRPr="00F5696C">
              <w:rPr>
                <w:rFonts w:ascii="Verdana" w:hAnsi="Verdana"/>
              </w:rPr>
              <w:t>Microsoft</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370F4C8E" w14:textId="77777777" w:rsidR="00F5696C" w:rsidRPr="00F5696C" w:rsidRDefault="00F5696C">
            <w:pPr>
              <w:pStyle w:val="xmsonormal"/>
              <w:spacing w:before="0" w:after="0"/>
              <w:jc w:val="center"/>
              <w:rPr>
                <w:rFonts w:ascii="Verdana" w:hAnsi="Verdana"/>
              </w:rPr>
            </w:pPr>
            <w:r w:rsidRPr="00F5696C">
              <w:rPr>
                <w:rFonts w:ascii="Verdana" w:hAnsi="Verdana"/>
              </w:rPr>
              <w:t>+44.3%</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14:paraId="60F8A3DF" w14:textId="77777777" w:rsidR="00F5696C" w:rsidRPr="00F5696C" w:rsidRDefault="00F5696C">
            <w:pPr>
              <w:pStyle w:val="xmsonormal"/>
              <w:spacing w:before="0" w:after="0"/>
              <w:jc w:val="center"/>
              <w:rPr>
                <w:rFonts w:ascii="Verdana" w:hAnsi="Verdana"/>
              </w:rPr>
            </w:pPr>
            <w:r w:rsidRPr="00F5696C">
              <w:rPr>
                <w:rFonts w:ascii="Verdana" w:hAnsi="Verdana"/>
              </w:rPr>
              <w:t>9.1%</w:t>
            </w:r>
          </w:p>
        </w:tc>
      </w:tr>
      <w:tr w:rsidR="00F5696C" w:rsidRPr="00F5696C" w14:paraId="4B9E3FD1" w14:textId="77777777" w:rsidTr="00F5696C">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2B3BE" w14:textId="77777777" w:rsidR="00F5696C" w:rsidRPr="00F5696C" w:rsidRDefault="00F5696C">
            <w:pPr>
              <w:pStyle w:val="xmsonormal"/>
              <w:spacing w:before="0" w:after="0"/>
              <w:jc w:val="both"/>
              <w:rPr>
                <w:rFonts w:ascii="Verdana" w:hAnsi="Verdana"/>
              </w:rPr>
            </w:pPr>
            <w:r w:rsidRPr="00F5696C">
              <w:rPr>
                <w:rFonts w:ascii="Verdana" w:hAnsi="Verdana"/>
              </w:rPr>
              <w:t>Apple</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67364195" w14:textId="77777777" w:rsidR="00F5696C" w:rsidRPr="00F5696C" w:rsidRDefault="00F5696C">
            <w:pPr>
              <w:pStyle w:val="xmsonormal"/>
              <w:spacing w:before="0" w:after="0"/>
              <w:jc w:val="center"/>
              <w:rPr>
                <w:rFonts w:ascii="Verdana" w:hAnsi="Verdana"/>
              </w:rPr>
            </w:pPr>
            <w:r w:rsidRPr="00F5696C">
              <w:rPr>
                <w:rFonts w:ascii="Verdana" w:hAnsi="Verdana"/>
              </w:rPr>
              <w:t>+60.6%</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14:paraId="277EEEDC" w14:textId="77777777" w:rsidR="00F5696C" w:rsidRPr="00F5696C" w:rsidRDefault="00F5696C">
            <w:pPr>
              <w:pStyle w:val="xmsonormal"/>
              <w:spacing w:before="0" w:after="0"/>
              <w:jc w:val="center"/>
              <w:rPr>
                <w:rFonts w:ascii="Verdana" w:hAnsi="Verdana"/>
              </w:rPr>
            </w:pPr>
            <w:r w:rsidRPr="00F5696C">
              <w:rPr>
                <w:rFonts w:ascii="Verdana" w:hAnsi="Verdana"/>
              </w:rPr>
              <w:t>8.4%</w:t>
            </w:r>
          </w:p>
        </w:tc>
      </w:tr>
      <w:tr w:rsidR="00F5696C" w:rsidRPr="00F5696C" w14:paraId="6EB32CC8" w14:textId="77777777" w:rsidTr="00F5696C">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32339" w14:textId="77777777" w:rsidR="00F5696C" w:rsidRPr="00F5696C" w:rsidRDefault="00F5696C">
            <w:pPr>
              <w:pStyle w:val="xmsonormal"/>
              <w:spacing w:before="0" w:after="0"/>
              <w:jc w:val="both"/>
              <w:rPr>
                <w:rFonts w:ascii="Verdana" w:hAnsi="Verdana"/>
              </w:rPr>
            </w:pPr>
            <w:r w:rsidRPr="00F5696C">
              <w:rPr>
                <w:rFonts w:ascii="Verdana" w:hAnsi="Verdana"/>
              </w:rPr>
              <w:t>Nvidia</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406B0392" w14:textId="77777777" w:rsidR="00F5696C" w:rsidRPr="00F5696C" w:rsidRDefault="00F5696C">
            <w:pPr>
              <w:pStyle w:val="xmsonormal"/>
              <w:spacing w:before="0" w:after="0"/>
              <w:jc w:val="center"/>
              <w:rPr>
                <w:rFonts w:ascii="Verdana" w:hAnsi="Verdana"/>
              </w:rPr>
            </w:pPr>
            <w:r w:rsidRPr="00F5696C">
              <w:rPr>
                <w:rFonts w:ascii="Verdana" w:hAnsi="Verdana"/>
              </w:rPr>
              <w:t>+518.6%</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14:paraId="6474C4EA" w14:textId="77777777" w:rsidR="00F5696C" w:rsidRPr="00F5696C" w:rsidRDefault="00F5696C">
            <w:pPr>
              <w:pStyle w:val="xmsonormal"/>
              <w:spacing w:before="0" w:after="0"/>
              <w:jc w:val="center"/>
              <w:rPr>
                <w:rFonts w:ascii="Verdana" w:hAnsi="Verdana"/>
              </w:rPr>
            </w:pPr>
            <w:r w:rsidRPr="00F5696C">
              <w:rPr>
                <w:rFonts w:ascii="Verdana" w:hAnsi="Verdana"/>
              </w:rPr>
              <w:t>22.7%</w:t>
            </w:r>
          </w:p>
        </w:tc>
      </w:tr>
      <w:tr w:rsidR="00F5696C" w:rsidRPr="00F5696C" w14:paraId="0279275E" w14:textId="77777777" w:rsidTr="00F5696C">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9E472" w14:textId="77777777" w:rsidR="00F5696C" w:rsidRPr="00F5696C" w:rsidRDefault="00F5696C">
            <w:pPr>
              <w:pStyle w:val="xmsonormal"/>
              <w:spacing w:before="0" w:after="0"/>
              <w:jc w:val="both"/>
              <w:rPr>
                <w:rFonts w:ascii="Verdana" w:hAnsi="Verdana"/>
              </w:rPr>
            </w:pPr>
            <w:r w:rsidRPr="00F5696C">
              <w:rPr>
                <w:rFonts w:ascii="Verdana" w:hAnsi="Verdana"/>
              </w:rPr>
              <w:t>Alphabet</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5E4DE9EA" w14:textId="77777777" w:rsidR="00F5696C" w:rsidRPr="00F5696C" w:rsidRDefault="00F5696C">
            <w:pPr>
              <w:pStyle w:val="xmsonormal"/>
              <w:spacing w:before="0" w:after="0"/>
              <w:jc w:val="center"/>
              <w:rPr>
                <w:rFonts w:ascii="Verdana" w:hAnsi="Verdana"/>
              </w:rPr>
            </w:pPr>
            <w:r w:rsidRPr="00F5696C">
              <w:rPr>
                <w:rFonts w:ascii="Verdana" w:hAnsi="Verdana"/>
              </w:rPr>
              <w:t>+56.7%</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14:paraId="6E13A3A0" w14:textId="77777777" w:rsidR="00F5696C" w:rsidRPr="00F5696C" w:rsidRDefault="00F5696C">
            <w:pPr>
              <w:pStyle w:val="xmsonormal"/>
              <w:spacing w:before="0" w:after="0"/>
              <w:jc w:val="center"/>
              <w:rPr>
                <w:rFonts w:ascii="Verdana" w:hAnsi="Verdana"/>
              </w:rPr>
            </w:pPr>
            <w:r w:rsidRPr="00F5696C">
              <w:rPr>
                <w:rFonts w:ascii="Verdana" w:hAnsi="Verdana"/>
              </w:rPr>
              <w:t>13.2%</w:t>
            </w:r>
          </w:p>
        </w:tc>
      </w:tr>
      <w:tr w:rsidR="00F5696C" w:rsidRPr="00F5696C" w14:paraId="351C74C6" w14:textId="77777777" w:rsidTr="00F5696C">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7E689" w14:textId="77777777" w:rsidR="00F5696C" w:rsidRPr="00F5696C" w:rsidRDefault="00F5696C">
            <w:pPr>
              <w:pStyle w:val="xmsonormal"/>
              <w:spacing w:before="0" w:after="0"/>
              <w:jc w:val="both"/>
              <w:rPr>
                <w:rFonts w:ascii="Verdana" w:hAnsi="Verdana"/>
              </w:rPr>
            </w:pPr>
            <w:r w:rsidRPr="00F5696C">
              <w:rPr>
                <w:rFonts w:ascii="Verdana" w:hAnsi="Verdana"/>
              </w:rPr>
              <w:t>Amazon</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6784081C" w14:textId="77777777" w:rsidR="00F5696C" w:rsidRPr="00F5696C" w:rsidRDefault="00F5696C">
            <w:pPr>
              <w:pStyle w:val="xmsonormal"/>
              <w:spacing w:before="0" w:after="0"/>
              <w:jc w:val="center"/>
              <w:rPr>
                <w:rFonts w:ascii="Verdana" w:hAnsi="Verdana"/>
              </w:rPr>
            </w:pPr>
            <w:r w:rsidRPr="00F5696C">
              <w:rPr>
                <w:rFonts w:ascii="Verdana" w:hAnsi="Verdana"/>
              </w:rPr>
              <w:t>+54.6%</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14:paraId="4F381222" w14:textId="77777777" w:rsidR="00F5696C" w:rsidRPr="00F5696C" w:rsidRDefault="00F5696C">
            <w:pPr>
              <w:pStyle w:val="xmsonormal"/>
              <w:spacing w:before="0" w:after="0"/>
              <w:jc w:val="center"/>
              <w:rPr>
                <w:rFonts w:ascii="Verdana" w:hAnsi="Verdana"/>
              </w:rPr>
            </w:pPr>
            <w:r w:rsidRPr="00F5696C">
              <w:rPr>
                <w:rFonts w:ascii="Verdana" w:hAnsi="Verdana"/>
              </w:rPr>
              <w:t>35.7%</w:t>
            </w:r>
          </w:p>
        </w:tc>
      </w:tr>
      <w:tr w:rsidR="00F5696C" w:rsidRPr="00F5696C" w14:paraId="18FA202D" w14:textId="77777777" w:rsidTr="00F5696C">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8A247" w14:textId="77777777" w:rsidR="00F5696C" w:rsidRPr="00F5696C" w:rsidRDefault="00F5696C">
            <w:pPr>
              <w:pStyle w:val="xmsonormal"/>
              <w:spacing w:before="0" w:after="0"/>
              <w:jc w:val="both"/>
              <w:rPr>
                <w:rFonts w:ascii="Verdana" w:hAnsi="Verdana"/>
              </w:rPr>
            </w:pPr>
            <w:r w:rsidRPr="00F5696C">
              <w:rPr>
                <w:rFonts w:ascii="Verdana" w:hAnsi="Verdana"/>
              </w:rPr>
              <w:t>Meta Platforms</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0936492D" w14:textId="77777777" w:rsidR="00F5696C" w:rsidRPr="00F5696C" w:rsidRDefault="00F5696C">
            <w:pPr>
              <w:pStyle w:val="xmsonormal"/>
              <w:spacing w:before="0" w:after="0"/>
              <w:jc w:val="center"/>
              <w:rPr>
                <w:rFonts w:ascii="Verdana" w:hAnsi="Verdana"/>
              </w:rPr>
            </w:pPr>
            <w:r w:rsidRPr="00F5696C">
              <w:rPr>
                <w:rFonts w:ascii="Verdana" w:hAnsi="Verdana"/>
              </w:rPr>
              <w:t>+355.1%</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14:paraId="02A1EC7D" w14:textId="77777777" w:rsidR="00F5696C" w:rsidRPr="00F5696C" w:rsidRDefault="00F5696C">
            <w:pPr>
              <w:pStyle w:val="xmsonormal"/>
              <w:spacing w:before="0" w:after="0"/>
              <w:jc w:val="center"/>
              <w:rPr>
                <w:rFonts w:ascii="Verdana" w:hAnsi="Verdana"/>
              </w:rPr>
            </w:pPr>
            <w:r w:rsidRPr="00F5696C">
              <w:rPr>
                <w:rFonts w:ascii="Verdana" w:hAnsi="Verdana"/>
              </w:rPr>
              <w:t>13.9%</w:t>
            </w:r>
          </w:p>
        </w:tc>
      </w:tr>
      <w:tr w:rsidR="00F5696C" w:rsidRPr="00F5696C" w14:paraId="4C4B55B0" w14:textId="77777777" w:rsidTr="00F5696C">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10AA2" w14:textId="77777777" w:rsidR="00F5696C" w:rsidRPr="00F5696C" w:rsidRDefault="00F5696C">
            <w:pPr>
              <w:pStyle w:val="xmsonormal"/>
              <w:spacing w:before="0" w:after="0"/>
              <w:jc w:val="both"/>
              <w:rPr>
                <w:rFonts w:ascii="Verdana" w:hAnsi="Verdana"/>
              </w:rPr>
            </w:pPr>
            <w:r w:rsidRPr="00F5696C">
              <w:rPr>
                <w:rFonts w:ascii="Verdana" w:hAnsi="Verdana"/>
              </w:rPr>
              <w:t>Tesla</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14:paraId="78F1C0BD" w14:textId="77777777" w:rsidR="00F5696C" w:rsidRPr="00F5696C" w:rsidRDefault="00F5696C">
            <w:pPr>
              <w:pStyle w:val="xmsonormal"/>
              <w:spacing w:before="0" w:after="0"/>
              <w:jc w:val="center"/>
              <w:rPr>
                <w:rFonts w:ascii="Verdana" w:hAnsi="Verdana"/>
              </w:rPr>
            </w:pPr>
            <w:r w:rsidRPr="00F5696C">
              <w:rPr>
                <w:rFonts w:ascii="Verdana" w:hAnsi="Verdana"/>
              </w:rPr>
              <w:t>-</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14:paraId="6D7C1555" w14:textId="77777777" w:rsidR="00F5696C" w:rsidRPr="00F5696C" w:rsidRDefault="00F5696C">
            <w:pPr>
              <w:pStyle w:val="xmsonormal"/>
              <w:spacing w:before="0" w:after="0"/>
              <w:jc w:val="center"/>
              <w:rPr>
                <w:rFonts w:ascii="Verdana" w:hAnsi="Verdana"/>
              </w:rPr>
            </w:pPr>
            <w:r w:rsidRPr="00F5696C">
              <w:rPr>
                <w:rFonts w:ascii="Verdana" w:hAnsi="Verdana"/>
              </w:rPr>
              <w:t>6.3%</w:t>
            </w:r>
          </w:p>
        </w:tc>
      </w:tr>
    </w:tbl>
    <w:p w14:paraId="06342FF5" w14:textId="77777777" w:rsidR="00F5696C" w:rsidRDefault="00F5696C" w:rsidP="00F5696C">
      <w:pPr>
        <w:pStyle w:val="xmsonormal"/>
        <w:jc w:val="both"/>
        <w:rPr>
          <w:rFonts w:ascii="Verdana" w:hAnsi="Verdana"/>
        </w:rPr>
      </w:pPr>
    </w:p>
    <w:p w14:paraId="01232BDD" w14:textId="0352452B" w:rsidR="00F5696C" w:rsidRPr="00F5696C" w:rsidRDefault="00F5696C" w:rsidP="00F5696C">
      <w:pPr>
        <w:pStyle w:val="xmsonormal"/>
        <w:jc w:val="both"/>
        <w:rPr>
          <w:rFonts w:ascii="Verdana" w:hAnsi="Verdana"/>
        </w:rPr>
      </w:pPr>
      <w:r w:rsidRPr="00F5696C">
        <w:rPr>
          <w:rFonts w:ascii="Verdana" w:hAnsi="Verdana"/>
        </w:rPr>
        <w:t>Source: Private Clients by Old Mutual Wealth (2024)</w:t>
      </w:r>
    </w:p>
    <w:p w14:paraId="3D56787B" w14:textId="77777777" w:rsidR="00F5696C" w:rsidRPr="00F5696C" w:rsidRDefault="00F5696C" w:rsidP="00F5696C">
      <w:pPr>
        <w:pStyle w:val="xmsonormal"/>
        <w:jc w:val="both"/>
        <w:rPr>
          <w:rFonts w:ascii="Verdana" w:hAnsi="Verdana"/>
        </w:rPr>
      </w:pPr>
      <w:r w:rsidRPr="00F5696C">
        <w:rPr>
          <w:rFonts w:ascii="Verdana" w:hAnsi="Verdana"/>
        </w:rPr>
        <w:t> </w:t>
      </w:r>
    </w:p>
    <w:p w14:paraId="3958CD31" w14:textId="77777777" w:rsidR="00F5696C" w:rsidRPr="00F5696C" w:rsidRDefault="00F5696C" w:rsidP="00F5696C">
      <w:pPr>
        <w:pStyle w:val="xmsonormal"/>
        <w:jc w:val="both"/>
        <w:rPr>
          <w:rFonts w:ascii="Verdana" w:hAnsi="Verdana"/>
        </w:rPr>
      </w:pPr>
      <w:r w:rsidRPr="00F5696C">
        <w:rPr>
          <w:rFonts w:ascii="Verdana" w:hAnsi="Verdana"/>
        </w:rPr>
        <w:t xml:space="preserve">It is clear from column 2 that the market is not extrapolating the prior years’ earnings growth into the future, as all M7 companies would be trading significantly higher if that were the case. More importantly, column 3 shows the market’ expectations (based on today’s market values) for these companies’ earnings growth over the next decade before reverting to a stable growth assumption. </w:t>
      </w:r>
    </w:p>
    <w:p w14:paraId="1EC4B32F" w14:textId="77777777" w:rsidR="00F5696C" w:rsidRPr="00F5696C" w:rsidRDefault="00F5696C" w:rsidP="00F5696C">
      <w:pPr>
        <w:pStyle w:val="xmsonormal"/>
        <w:jc w:val="both"/>
        <w:rPr>
          <w:rFonts w:ascii="Verdana" w:hAnsi="Verdana"/>
        </w:rPr>
      </w:pPr>
      <w:r w:rsidRPr="00F5696C">
        <w:rPr>
          <w:rFonts w:ascii="Verdana" w:hAnsi="Verdana"/>
        </w:rPr>
        <w:t> </w:t>
      </w:r>
    </w:p>
    <w:p w14:paraId="7B1AD881" w14:textId="77777777" w:rsidR="00F5696C" w:rsidRPr="00F5696C" w:rsidRDefault="00F5696C" w:rsidP="00F5696C">
      <w:pPr>
        <w:pStyle w:val="xmsonormal"/>
        <w:jc w:val="both"/>
        <w:rPr>
          <w:rFonts w:ascii="Verdana" w:hAnsi="Verdana"/>
        </w:rPr>
      </w:pPr>
      <w:r w:rsidRPr="00F5696C">
        <w:rPr>
          <w:rFonts w:ascii="Verdana" w:hAnsi="Verdana"/>
        </w:rPr>
        <w:t xml:space="preserve">Overall, the results show that the majority of M7 companies are not priced for exorbitant future growth. In fact, the growth assumptions for the two largest companies – Microsoft and Apple </w:t>
      </w:r>
      <w:r w:rsidRPr="00F5696C">
        <w:rPr>
          <w:rFonts w:ascii="Verdana" w:hAnsi="Verdana"/>
        </w:rPr>
        <w:softHyphen/>
        <w:t xml:space="preserve">– are in the high single digits, a seemingly achievable target. A caveat is that all these valuations are highly sensitive to changes in the discount rates, which are influenced by US treasury yield changes. </w:t>
      </w:r>
    </w:p>
    <w:p w14:paraId="4FF0C32D" w14:textId="77777777" w:rsidR="00F5696C" w:rsidRPr="00F5696C" w:rsidRDefault="00F5696C" w:rsidP="00F5696C">
      <w:pPr>
        <w:pStyle w:val="xmsonormal"/>
        <w:jc w:val="both"/>
        <w:rPr>
          <w:rFonts w:ascii="Verdana" w:hAnsi="Verdana"/>
        </w:rPr>
      </w:pPr>
      <w:r w:rsidRPr="00F5696C">
        <w:rPr>
          <w:rFonts w:ascii="Verdana" w:hAnsi="Verdana"/>
        </w:rPr>
        <w:lastRenderedPageBreak/>
        <w:t> </w:t>
      </w:r>
    </w:p>
    <w:p w14:paraId="627C67FE" w14:textId="77777777" w:rsidR="00F5696C" w:rsidRPr="00F5696C" w:rsidRDefault="00F5696C" w:rsidP="00F5696C">
      <w:pPr>
        <w:pStyle w:val="xmsonormal"/>
        <w:jc w:val="both"/>
        <w:rPr>
          <w:rFonts w:ascii="Verdana" w:hAnsi="Verdana"/>
        </w:rPr>
      </w:pPr>
      <w:r w:rsidRPr="00F5696C">
        <w:rPr>
          <w:rFonts w:ascii="Verdana" w:hAnsi="Verdana"/>
        </w:rPr>
        <w:t>Current discussions around Nvidia are focused on whether the company can in fact achieve the demanding growth rate that the market expects. This is the critical question, and if Jensen Huang is to be believed, it can. Many analysts remain sceptical though.</w:t>
      </w:r>
    </w:p>
    <w:p w14:paraId="59AE6286" w14:textId="77777777" w:rsidR="00F5696C" w:rsidRPr="00F5696C" w:rsidRDefault="00F5696C" w:rsidP="00F5696C">
      <w:pPr>
        <w:pStyle w:val="xmsonormal"/>
        <w:jc w:val="both"/>
        <w:rPr>
          <w:rFonts w:ascii="Verdana" w:hAnsi="Verdana"/>
        </w:rPr>
      </w:pPr>
      <w:r w:rsidRPr="00F5696C">
        <w:rPr>
          <w:rFonts w:ascii="Verdana" w:hAnsi="Verdana"/>
        </w:rPr>
        <w:t> </w:t>
      </w:r>
    </w:p>
    <w:p w14:paraId="12069410" w14:textId="77777777" w:rsidR="00F5696C" w:rsidRPr="00F5696C" w:rsidRDefault="00F5696C" w:rsidP="00F5696C">
      <w:pPr>
        <w:pStyle w:val="xmsonormal"/>
        <w:jc w:val="both"/>
        <w:rPr>
          <w:rFonts w:ascii="Verdana" w:hAnsi="Verdana"/>
        </w:rPr>
      </w:pPr>
      <w:r w:rsidRPr="00F5696C">
        <w:rPr>
          <w:rFonts w:ascii="Verdana" w:hAnsi="Verdana"/>
          <w:b/>
          <w:bCs/>
        </w:rPr>
        <w:t>Challenging, yet achievable</w:t>
      </w:r>
    </w:p>
    <w:p w14:paraId="216AD413" w14:textId="77777777" w:rsidR="00F5696C" w:rsidRDefault="00F5696C" w:rsidP="00F5696C">
      <w:pPr>
        <w:pStyle w:val="xmsonormal"/>
        <w:jc w:val="both"/>
        <w:rPr>
          <w:rFonts w:ascii="Verdana" w:hAnsi="Verdana"/>
        </w:rPr>
      </w:pPr>
      <w:r w:rsidRPr="00F5696C">
        <w:rPr>
          <w:rFonts w:ascii="Verdana" w:hAnsi="Verdana"/>
        </w:rPr>
        <w:t xml:space="preserve">We view comparisons between the M7 and the Dotcom era as an exaggeration given two key differences in the current landscape. Firstly, the M7 companies are all highly profitable, unlike many of the Dotcom era counterparts that were built on mere hopes and dreams (not to mention a name).  Secondly, M7 company valuations do not seem to be based on completely unrealistic future earnings growth expectations. While it is easy to argue that some expectations are indeed demanding, they may not be entirely unattainable. And so, in closing, we would urge investors not to look at the M7 as a collective, but rather on an individual company basis. </w:t>
      </w:r>
    </w:p>
    <w:p w14:paraId="706A8D5E" w14:textId="77777777" w:rsidR="008A7891" w:rsidRPr="00F5696C" w:rsidRDefault="008A7891" w:rsidP="00F5696C">
      <w:pPr>
        <w:pStyle w:val="xmsonormal"/>
        <w:jc w:val="both"/>
        <w:rPr>
          <w:rFonts w:ascii="Verdana" w:hAnsi="Verdana"/>
        </w:rPr>
      </w:pPr>
    </w:p>
    <w:p w14:paraId="78AE3490" w14:textId="77777777" w:rsidR="00FF16B8" w:rsidRDefault="00FF16B8">
      <w:pPr>
        <w:rPr>
          <w:rFonts w:ascii="Verdana" w:hAnsi="Verdana"/>
          <w:sz w:val="20"/>
          <w:szCs w:val="20"/>
        </w:rPr>
      </w:pPr>
    </w:p>
    <w:p w14:paraId="7F042FB4" w14:textId="254F8CB8" w:rsidR="008A7891" w:rsidRPr="008A7891" w:rsidRDefault="008A7891">
      <w:pPr>
        <w:rPr>
          <w:rFonts w:ascii="Verdana" w:hAnsi="Verdana"/>
          <w:i/>
          <w:iCs/>
          <w:sz w:val="20"/>
          <w:szCs w:val="20"/>
        </w:rPr>
      </w:pPr>
      <w:r w:rsidRPr="008A7891">
        <w:rPr>
          <w:rFonts w:ascii="Verdana" w:hAnsi="Verdana"/>
          <w:i/>
          <w:iCs/>
          <w:sz w:val="20"/>
          <w:szCs w:val="20"/>
        </w:rPr>
        <w:t xml:space="preserve">[1] The </w:t>
      </w:r>
      <w:proofErr w:type="gramStart"/>
      <w:r w:rsidRPr="008A7891">
        <w:rPr>
          <w:rFonts w:ascii="Verdana" w:hAnsi="Verdana"/>
          <w:i/>
          <w:iCs/>
          <w:sz w:val="20"/>
          <w:szCs w:val="20"/>
        </w:rPr>
        <w:t>11 year</w:t>
      </w:r>
      <w:proofErr w:type="gramEnd"/>
      <w:r w:rsidRPr="008A7891">
        <w:rPr>
          <w:rFonts w:ascii="Verdana" w:hAnsi="Verdana"/>
          <w:i/>
          <w:iCs/>
          <w:sz w:val="20"/>
          <w:szCs w:val="20"/>
        </w:rPr>
        <w:t xml:space="preserve"> period was selected as all M7 companies have been listed over this period, with Meta being the last to list in 2012.</w:t>
      </w:r>
    </w:p>
    <w:sectPr w:rsidR="008A7891" w:rsidRPr="008A78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C"/>
    <w:rsid w:val="002B37F0"/>
    <w:rsid w:val="008A7891"/>
    <w:rsid w:val="00A06D0A"/>
    <w:rsid w:val="00CD15A0"/>
    <w:rsid w:val="00D66086"/>
    <w:rsid w:val="00F5696C"/>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859E"/>
  <w15:chartTrackingRefBased/>
  <w15:docId w15:val="{3D86502B-D95F-4754-9203-8D347569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6C"/>
    <w:pPr>
      <w:spacing w:after="0" w:line="240" w:lineRule="auto"/>
    </w:pPr>
    <w:rPr>
      <w:rFonts w:ascii="Calibri" w:hAnsi="Calibri" w:cs="Calibri"/>
      <w:kern w:val="0"/>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5696C"/>
    <w:pPr>
      <w:spacing w:before="40" w:after="40" w:line="280" w:lineRule="atLeast"/>
    </w:pPr>
    <w:rPr>
      <w:rFonts w:ascii="Arial" w:hAnsi="Arial" w:cs="Arial"/>
      <w:sz w:val="20"/>
      <w:szCs w:val="20"/>
    </w:rPr>
  </w:style>
  <w:style w:type="character" w:customStyle="1" w:styleId="xmsofootnotereference">
    <w:name w:val="x_msofootnotereference"/>
    <w:basedOn w:val="DefaultParagraphFont"/>
    <w:rsid w:val="00F56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5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A7622.9C5FF1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A7622.9C5FF17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A7622.9C5FF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1190</Words>
  <Characters>6789</Characters>
  <Application>Microsoft Office Word</Application>
  <DocSecurity>0</DocSecurity>
  <Lines>56</Lines>
  <Paragraphs>15</Paragraphs>
  <ScaleCrop>false</ScaleCrop>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2</cp:revision>
  <dcterms:created xsi:type="dcterms:W3CDTF">2024-03-15T04:49:00Z</dcterms:created>
  <dcterms:modified xsi:type="dcterms:W3CDTF">2024-03-15T05:02:00Z</dcterms:modified>
</cp:coreProperties>
</file>