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B8E1" w14:textId="77777777" w:rsidR="0000451E" w:rsidRPr="0000451E" w:rsidRDefault="0000451E" w:rsidP="0000451E">
      <w:pPr>
        <w:spacing w:after="0"/>
        <w:rPr>
          <w:rFonts w:ascii="Verdana" w:hAnsi="Verdana"/>
          <w:b/>
          <w:bCs/>
          <w:sz w:val="20"/>
          <w:szCs w:val="20"/>
        </w:rPr>
      </w:pPr>
      <w:r w:rsidRPr="0000451E">
        <w:rPr>
          <w:rFonts w:ascii="Verdana" w:hAnsi="Verdana"/>
          <w:b/>
          <w:bCs/>
          <w:sz w:val="20"/>
          <w:szCs w:val="20"/>
        </w:rPr>
        <w:t>Why US risk assets may perform better in this slowdown than those of the past</w:t>
      </w:r>
    </w:p>
    <w:p w14:paraId="1BCF7891" w14:textId="77777777" w:rsidR="0000451E" w:rsidRPr="0000451E" w:rsidRDefault="0000451E" w:rsidP="0000451E">
      <w:pPr>
        <w:spacing w:after="0"/>
        <w:rPr>
          <w:rFonts w:ascii="Verdana" w:hAnsi="Verdana"/>
          <w:sz w:val="20"/>
          <w:szCs w:val="20"/>
        </w:rPr>
      </w:pPr>
    </w:p>
    <w:p w14:paraId="01510A94" w14:textId="77777777" w:rsidR="0000451E" w:rsidRPr="0000451E" w:rsidRDefault="0000451E" w:rsidP="0000451E">
      <w:pPr>
        <w:spacing w:after="0"/>
        <w:rPr>
          <w:rFonts w:ascii="Verdana" w:hAnsi="Verdana"/>
          <w:i/>
          <w:iCs/>
          <w:sz w:val="20"/>
          <w:szCs w:val="20"/>
        </w:rPr>
      </w:pPr>
      <w:r w:rsidRPr="0000451E">
        <w:rPr>
          <w:rFonts w:ascii="Verdana" w:hAnsi="Verdana"/>
          <w:i/>
          <w:iCs/>
          <w:sz w:val="20"/>
          <w:szCs w:val="20"/>
        </w:rPr>
        <w:t>Kondi Nkosi, Country Head for Schroders in South Africa</w:t>
      </w:r>
    </w:p>
    <w:p w14:paraId="1D0F7036" w14:textId="77777777" w:rsidR="0000451E" w:rsidRPr="0000451E" w:rsidRDefault="0000451E" w:rsidP="0000451E">
      <w:pPr>
        <w:spacing w:after="0"/>
        <w:rPr>
          <w:rFonts w:ascii="Verdana" w:hAnsi="Verdana"/>
          <w:sz w:val="20"/>
          <w:szCs w:val="20"/>
        </w:rPr>
      </w:pPr>
    </w:p>
    <w:p w14:paraId="1AB38F8A" w14:textId="7450940B" w:rsidR="00FF16B8" w:rsidRPr="0000451E" w:rsidRDefault="0000451E" w:rsidP="0000451E">
      <w:pPr>
        <w:spacing w:after="0"/>
        <w:rPr>
          <w:rFonts w:ascii="Verdana" w:hAnsi="Verdana"/>
          <w:sz w:val="20"/>
          <w:szCs w:val="20"/>
        </w:rPr>
      </w:pPr>
      <w:r w:rsidRPr="0000451E">
        <w:rPr>
          <w:rFonts w:ascii="Verdana" w:hAnsi="Verdana"/>
          <w:sz w:val="20"/>
          <w:szCs w:val="20"/>
        </w:rPr>
        <w:t>A relatively better inflation picture not only reduces the risk of recession but also increases the potential for interest rate cuts.</w:t>
      </w:r>
    </w:p>
    <w:p w14:paraId="75FAF054" w14:textId="77777777" w:rsidR="0000451E" w:rsidRPr="0000451E" w:rsidRDefault="0000451E" w:rsidP="0000451E">
      <w:pPr>
        <w:spacing w:after="0"/>
        <w:rPr>
          <w:rFonts w:ascii="Verdana" w:hAnsi="Verdana"/>
          <w:sz w:val="20"/>
          <w:szCs w:val="20"/>
        </w:rPr>
      </w:pPr>
    </w:p>
    <w:p w14:paraId="14620E16" w14:textId="77777777" w:rsidR="0000451E" w:rsidRPr="0000451E" w:rsidRDefault="0000451E" w:rsidP="0000451E">
      <w:pPr>
        <w:pStyle w:val="xmsonormal"/>
        <w:shd w:val="clear" w:color="auto" w:fill="FFFFFF"/>
        <w:spacing w:after="0" w:line="240" w:lineRule="auto"/>
        <w:rPr>
          <w:rFonts w:ascii="Verdana" w:hAnsi="Verdana"/>
          <w:sz w:val="20"/>
          <w:szCs w:val="20"/>
          <w:lang w:val="en-GB"/>
        </w:rPr>
      </w:pPr>
      <w:r w:rsidRPr="0000451E">
        <w:rPr>
          <w:rFonts w:ascii="Verdana" w:hAnsi="Verdana" w:cs="Arial"/>
          <w:color w:val="000000"/>
          <w:sz w:val="20"/>
          <w:szCs w:val="20"/>
          <w:lang w:val="en-GB"/>
        </w:rPr>
        <w:t xml:space="preserve">Nearly a year ago, </w:t>
      </w:r>
      <w:r w:rsidRPr="0000451E">
        <w:rPr>
          <w:rFonts w:ascii="Verdana" w:hAnsi="Verdana" w:cs="Arial"/>
          <w:color w:val="000000"/>
          <w:sz w:val="20"/>
          <w:szCs w:val="20"/>
          <w:lang w:val="en-US"/>
        </w:rPr>
        <w:t>the US economy experienced a textbook recession with two consecutive quarters of negative real GDP. But the rapid rise in inflation suggested an economy facing stagflation rather than recession. On the other hand, the strong US labor market indicated an economy in expansion, which was consistent with the Schroders Output Gap model.</w:t>
      </w:r>
    </w:p>
    <w:p w14:paraId="05126AB2" w14:textId="77777777" w:rsidR="0000451E" w:rsidRDefault="0000451E" w:rsidP="0000451E">
      <w:pPr>
        <w:pStyle w:val="xmsonormal"/>
        <w:spacing w:line="240" w:lineRule="auto"/>
        <w:rPr>
          <w:rFonts w:ascii="Verdana" w:hAnsi="Verdana" w:cs="Arial"/>
          <w:color w:val="000000"/>
          <w:sz w:val="20"/>
          <w:szCs w:val="20"/>
          <w:lang w:val="en-US"/>
        </w:rPr>
      </w:pPr>
    </w:p>
    <w:p w14:paraId="10C3213C" w14:textId="4FA1965E"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color w:val="000000"/>
          <w:sz w:val="20"/>
          <w:szCs w:val="20"/>
          <w:lang w:val="en-US"/>
        </w:rPr>
        <w:t xml:space="preserve">We </w:t>
      </w:r>
      <w:bookmarkStart w:id="0" w:name="x__Hlk146026861"/>
      <w:r w:rsidRPr="0000451E">
        <w:rPr>
          <w:rFonts w:ascii="Verdana" w:hAnsi="Verdana" w:cs="Arial"/>
          <w:color w:val="000000"/>
          <w:sz w:val="20"/>
          <w:szCs w:val="20"/>
          <w:lang w:val="en-US"/>
        </w:rPr>
        <w:t>had expected some semblance of a normal cycle to return this year. Not only would GDP growth be contracting, but the pick-up in the unemployment rate would lead to the output gap shrinking, then turning negative. Inflation would have also eased from lofty levels. In short, the US economic cycle would be in the recession phase.</w:t>
      </w:r>
      <w:bookmarkEnd w:id="0"/>
    </w:p>
    <w:p w14:paraId="28DEB9F7" w14:textId="77777777"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color w:val="000000"/>
          <w:sz w:val="20"/>
          <w:szCs w:val="20"/>
          <w:lang w:val="en-US"/>
        </w:rPr>
        <w:t xml:space="preserve">Since then, inflation has fallen but the US economy has proven to more resilient than expected. In particular, the </w:t>
      </w:r>
      <w:proofErr w:type="spellStart"/>
      <w:r w:rsidRPr="0000451E">
        <w:rPr>
          <w:rFonts w:ascii="Verdana" w:hAnsi="Verdana" w:cs="Arial"/>
          <w:color w:val="000000"/>
          <w:sz w:val="20"/>
          <w:szCs w:val="20"/>
          <w:lang w:val="en-US"/>
        </w:rPr>
        <w:t>labour</w:t>
      </w:r>
      <w:proofErr w:type="spellEnd"/>
      <w:r w:rsidRPr="0000451E">
        <w:rPr>
          <w:rFonts w:ascii="Verdana" w:hAnsi="Verdana" w:cs="Arial"/>
          <w:color w:val="000000"/>
          <w:sz w:val="20"/>
          <w:szCs w:val="20"/>
          <w:lang w:val="en-US"/>
        </w:rPr>
        <w:t xml:space="preserve"> market remains relatively robust with the unemployment rate close to multi-decade lows. That said, the unemployment rate has risen, and the Schroders Output Gap</w:t>
      </w:r>
      <w:r w:rsidRPr="0000451E">
        <w:rPr>
          <w:rFonts w:ascii="Verdana" w:hAnsi="Verdana" w:cs="Arial"/>
          <w:i/>
          <w:iCs/>
          <w:color w:val="000000"/>
          <w:sz w:val="20"/>
          <w:szCs w:val="20"/>
          <w:lang w:val="en-US"/>
        </w:rPr>
        <w:t> </w:t>
      </w:r>
      <w:r w:rsidRPr="0000451E">
        <w:rPr>
          <w:rFonts w:ascii="Verdana" w:hAnsi="Verdana" w:cs="Arial"/>
          <w:color w:val="000000"/>
          <w:sz w:val="20"/>
          <w:szCs w:val="20"/>
          <w:lang w:val="en-US"/>
        </w:rPr>
        <w:t>model has moved on to the slowdown phase. Like the market, we now expect the US economy to experience a slowdown but not an outright recession.</w:t>
      </w:r>
    </w:p>
    <w:p w14:paraId="0390F0EE" w14:textId="77777777" w:rsidR="0000451E" w:rsidRPr="0000451E" w:rsidRDefault="0000451E" w:rsidP="0000451E">
      <w:pPr>
        <w:pStyle w:val="xmsonormal"/>
        <w:shd w:val="clear" w:color="auto" w:fill="FFFFFF"/>
        <w:spacing w:after="0" w:line="330" w:lineRule="atLeast"/>
        <w:rPr>
          <w:rFonts w:ascii="Verdana" w:hAnsi="Verdana"/>
          <w:sz w:val="20"/>
          <w:szCs w:val="20"/>
          <w:lang w:val="en-GB"/>
        </w:rPr>
      </w:pPr>
      <w:bookmarkStart w:id="1" w:name="x__Hlk146026997"/>
      <w:r w:rsidRPr="0000451E">
        <w:rPr>
          <w:rFonts w:ascii="Verdana" w:hAnsi="Verdana" w:cs="Arial"/>
          <w:b/>
          <w:bCs/>
          <w:color w:val="000000"/>
          <w:sz w:val="20"/>
          <w:szCs w:val="20"/>
        </w:rPr>
        <w:t>Schroders Output Gap model and the phases of the economic cycle</w:t>
      </w:r>
      <w:bookmarkEnd w:id="1"/>
    </w:p>
    <w:p w14:paraId="6A7796C7" w14:textId="77777777" w:rsidR="0000451E" w:rsidRPr="0000451E" w:rsidRDefault="0000451E" w:rsidP="0000451E">
      <w:pPr>
        <w:pStyle w:val="xmsonormal"/>
        <w:shd w:val="clear" w:color="auto" w:fill="FFFFFF"/>
        <w:spacing w:after="0" w:line="240" w:lineRule="auto"/>
        <w:rPr>
          <w:rFonts w:ascii="Verdana" w:hAnsi="Verdana"/>
          <w:sz w:val="20"/>
          <w:szCs w:val="20"/>
          <w:lang w:val="en-GB"/>
        </w:rPr>
      </w:pPr>
      <w:r w:rsidRPr="0000451E">
        <w:rPr>
          <w:rFonts w:ascii="Verdana" w:hAnsi="Verdana" w:cs="Arial"/>
          <w:color w:val="000000"/>
          <w:sz w:val="20"/>
          <w:szCs w:val="20"/>
          <w:lang w:val="en-US"/>
        </w:rPr>
        <w:t>The Schroders Output Gap model measures the amount of spare capacity in the economy by comparing the economy’s actual output with its potential output (the maximum level of output an economy can produce without generating inflation).</w:t>
      </w:r>
    </w:p>
    <w:p w14:paraId="08E0329A" w14:textId="77777777" w:rsidR="0000451E" w:rsidRPr="0000451E" w:rsidRDefault="0000451E" w:rsidP="0000451E">
      <w:pPr>
        <w:pStyle w:val="xmsonormal"/>
        <w:shd w:val="clear" w:color="auto" w:fill="FFFFFF"/>
        <w:spacing w:after="300" w:line="240" w:lineRule="auto"/>
        <w:rPr>
          <w:rFonts w:ascii="Verdana" w:hAnsi="Verdana"/>
          <w:sz w:val="20"/>
          <w:szCs w:val="20"/>
          <w:lang w:val="en-GB"/>
        </w:rPr>
      </w:pPr>
      <w:r w:rsidRPr="0000451E">
        <w:rPr>
          <w:rFonts w:ascii="Verdana" w:hAnsi="Verdana" w:cs="Arial"/>
          <w:color w:val="000000"/>
          <w:sz w:val="20"/>
          <w:szCs w:val="20"/>
          <w:lang w:val="en-US"/>
        </w:rPr>
        <w:t>A positive output gap suggests the economy is running out of spare capacity. As economic activity eases the positive gap begins to shrink, and the economy enters the slowdown phase. Based on our model, the US economic cycle is in the slowdown phase and is likely to stay there over the next 12 months (chart 1).</w:t>
      </w:r>
    </w:p>
    <w:p w14:paraId="1C01FD69" w14:textId="5A7ECD8B" w:rsidR="0000451E" w:rsidRPr="0000451E" w:rsidRDefault="0000451E" w:rsidP="0000451E">
      <w:pPr>
        <w:pStyle w:val="xmsonormal"/>
        <w:shd w:val="clear" w:color="auto" w:fill="FFFFFF"/>
        <w:spacing w:after="300" w:line="330" w:lineRule="atLeast"/>
        <w:rPr>
          <w:rFonts w:ascii="Verdana" w:hAnsi="Verdana"/>
          <w:sz w:val="20"/>
          <w:szCs w:val="20"/>
          <w:lang w:val="en-GB"/>
        </w:rPr>
      </w:pPr>
      <w:r w:rsidRPr="0000451E">
        <w:rPr>
          <w:rFonts w:ascii="Verdana" w:hAnsi="Verdana" w:cs="Arial"/>
          <w:noProof/>
          <w:color w:val="000000"/>
          <w:sz w:val="20"/>
          <w:szCs w:val="20"/>
        </w:rPr>
        <w:drawing>
          <wp:inline distT="0" distB="0" distL="0" distR="0" wp14:anchorId="449B9EE6" wp14:editId="5F65ABDB">
            <wp:extent cx="5305425" cy="3171825"/>
            <wp:effectExtent l="0" t="0" r="9525" b="9525"/>
            <wp:docPr id="1592938043" name="Picture 7" descr="A diagram of schroder's output gap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938043" name="Picture 7" descr="A diagram of schroder's output gap model&#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305425" cy="3171825"/>
                    </a:xfrm>
                    <a:prstGeom prst="rect">
                      <a:avLst/>
                    </a:prstGeom>
                    <a:noFill/>
                    <a:ln>
                      <a:noFill/>
                    </a:ln>
                  </pic:spPr>
                </pic:pic>
              </a:graphicData>
            </a:graphic>
          </wp:inline>
        </w:drawing>
      </w:r>
    </w:p>
    <w:p w14:paraId="13637938" w14:textId="06377528" w:rsidR="0000451E" w:rsidRPr="0000451E" w:rsidRDefault="0000451E" w:rsidP="0000451E">
      <w:pPr>
        <w:pStyle w:val="xmsonormal"/>
        <w:shd w:val="clear" w:color="auto" w:fill="FFFFFF"/>
        <w:spacing w:after="0" w:line="330" w:lineRule="atLeast"/>
        <w:rPr>
          <w:rFonts w:ascii="Verdana" w:hAnsi="Verdana"/>
          <w:sz w:val="20"/>
          <w:szCs w:val="20"/>
          <w:lang w:val="en-GB"/>
        </w:rPr>
      </w:pPr>
      <w:r w:rsidRPr="0000451E">
        <w:rPr>
          <w:rFonts w:ascii="Verdana" w:hAnsi="Verdana" w:cs="Arial"/>
          <w:b/>
          <w:bCs/>
          <w:noProof/>
          <w:color w:val="000000"/>
          <w:sz w:val="20"/>
          <w:szCs w:val="20"/>
        </w:rPr>
        <w:lastRenderedPageBreak/>
        <w:drawing>
          <wp:inline distT="0" distB="0" distL="0" distR="0" wp14:anchorId="212BBDB1" wp14:editId="71D7FDFB">
            <wp:extent cx="5731510" cy="1985645"/>
            <wp:effectExtent l="0" t="0" r="2540" b="14605"/>
            <wp:docPr id="922908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6"/>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1985645"/>
                    </a:xfrm>
                    <a:prstGeom prst="rect">
                      <a:avLst/>
                    </a:prstGeom>
                    <a:noFill/>
                    <a:ln>
                      <a:noFill/>
                    </a:ln>
                  </pic:spPr>
                </pic:pic>
              </a:graphicData>
            </a:graphic>
          </wp:inline>
        </w:drawing>
      </w:r>
    </w:p>
    <w:p w14:paraId="6A2E052D" w14:textId="77777777" w:rsidR="0000451E" w:rsidRPr="0000451E" w:rsidRDefault="0000451E" w:rsidP="0000451E">
      <w:pPr>
        <w:pStyle w:val="xmsonormal"/>
        <w:keepNext/>
        <w:spacing w:after="0" w:line="240" w:lineRule="auto"/>
        <w:rPr>
          <w:rFonts w:ascii="Verdana" w:hAnsi="Verdana"/>
          <w:sz w:val="20"/>
          <w:szCs w:val="20"/>
          <w:lang w:val="en-GB"/>
        </w:rPr>
      </w:pPr>
      <w:r w:rsidRPr="0000451E">
        <w:rPr>
          <w:rFonts w:ascii="Verdana" w:hAnsi="Verdana" w:cs="Arial"/>
          <w:b/>
          <w:bCs/>
          <w:sz w:val="20"/>
          <w:szCs w:val="20"/>
        </w:rPr>
        <w:t>What does slowdown mean for investing?</w:t>
      </w:r>
    </w:p>
    <w:p w14:paraId="02897328" w14:textId="77777777" w:rsidR="0000451E" w:rsidRPr="0000451E" w:rsidRDefault="0000451E" w:rsidP="0000451E">
      <w:pPr>
        <w:pStyle w:val="xmsonormal"/>
        <w:spacing w:after="0" w:line="240" w:lineRule="auto"/>
        <w:rPr>
          <w:rFonts w:ascii="Verdana" w:hAnsi="Verdana"/>
          <w:sz w:val="20"/>
          <w:szCs w:val="20"/>
          <w:lang w:val="en-GB"/>
        </w:rPr>
      </w:pPr>
      <w:r w:rsidRPr="0000451E">
        <w:rPr>
          <w:rFonts w:ascii="Verdana" w:hAnsi="Verdana" w:cs="Arial"/>
          <w:color w:val="000000"/>
          <w:sz w:val="20"/>
          <w:szCs w:val="20"/>
          <w:lang w:val="en-US"/>
        </w:rPr>
        <w:t>Slowdowns have typically been challenging environments for risk assets such as equities and credit bonds (chart 2). Not only does corporate profitability get hit by weaker economic activity and demand, but profit margins are also squeezed from higher costs from rising wages and interest rates. Instead, during the slowdown phase, the performance winners have been commodities and government bonds.</w:t>
      </w:r>
    </w:p>
    <w:p w14:paraId="6E1376E8" w14:textId="08EEDB57"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b/>
          <w:bCs/>
          <w:noProof/>
          <w:color w:val="2B2B2A"/>
          <w:sz w:val="20"/>
          <w:szCs w:val="20"/>
        </w:rPr>
        <w:drawing>
          <wp:inline distT="0" distB="0" distL="0" distR="0" wp14:anchorId="2618E480" wp14:editId="5B6D3DF6">
            <wp:extent cx="4467225" cy="2771775"/>
            <wp:effectExtent l="0" t="0" r="9525" b="9525"/>
            <wp:docPr id="1562279062" name="Picture 5" descr="A graph of financial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79062" name="Picture 5" descr="A graph of financial data&#10;&#10;Description automatically generated with medium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467225" cy="2771775"/>
                    </a:xfrm>
                    <a:prstGeom prst="rect">
                      <a:avLst/>
                    </a:prstGeom>
                    <a:noFill/>
                    <a:ln>
                      <a:noFill/>
                    </a:ln>
                  </pic:spPr>
                </pic:pic>
              </a:graphicData>
            </a:graphic>
          </wp:inline>
        </w:drawing>
      </w:r>
    </w:p>
    <w:p w14:paraId="7BC59705" w14:textId="77777777"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color w:val="000000"/>
          <w:sz w:val="20"/>
          <w:szCs w:val="20"/>
          <w:lang w:val="en-US"/>
        </w:rPr>
        <w:t>Unlike expansion periods when commodities reap the benefits from stronger economic activity, they gain when inflation rises during slowdowns. This is because energy and agriculture commodities feed into the headline CPI rate, and they are sometimes the cause of higher consumer prices.</w:t>
      </w:r>
    </w:p>
    <w:p w14:paraId="663F8B95" w14:textId="77777777"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color w:val="000000"/>
          <w:sz w:val="20"/>
          <w:szCs w:val="20"/>
          <w:lang w:val="en-US"/>
        </w:rPr>
        <w:t>On the other hand, the performance of government bonds suffers during times of rising inflation. But they tend to outperform equities as investors seem to reach for the safety of this defensive asset during slowdowns.</w:t>
      </w:r>
    </w:p>
    <w:p w14:paraId="2EDABB35" w14:textId="77777777"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b/>
          <w:bCs/>
          <w:sz w:val="20"/>
          <w:szCs w:val="20"/>
        </w:rPr>
        <w:t xml:space="preserve">This slowdown is likely to be </w:t>
      </w:r>
      <w:proofErr w:type="gramStart"/>
      <w:r w:rsidRPr="0000451E">
        <w:rPr>
          <w:rFonts w:ascii="Verdana" w:hAnsi="Verdana" w:cs="Arial"/>
          <w:b/>
          <w:bCs/>
          <w:sz w:val="20"/>
          <w:szCs w:val="20"/>
        </w:rPr>
        <w:t>different</w:t>
      </w:r>
      <w:proofErr w:type="gramEnd"/>
    </w:p>
    <w:p w14:paraId="184C9F32" w14:textId="77777777"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color w:val="000000"/>
          <w:sz w:val="20"/>
          <w:szCs w:val="20"/>
          <w:lang w:val="en-US"/>
        </w:rPr>
        <w:t>In the past, US inflation has typically risen and peaked during economic slowdowns, as the central bank's tightening of monetary policy eventually slows growth, causing unemployment to rise and the output gap to shrink. But entering this US slowdown phase, we are experiencing a different inflation dynamic than in previous economic cycles as inflation is falling this time around (highlighted by the circle in chart 3).</w:t>
      </w:r>
    </w:p>
    <w:p w14:paraId="4E840AD1" w14:textId="7D55D4EA"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noProof/>
          <w:color w:val="000000"/>
          <w:sz w:val="20"/>
          <w:szCs w:val="20"/>
        </w:rPr>
        <w:lastRenderedPageBreak/>
        <w:drawing>
          <wp:inline distT="0" distB="0" distL="0" distR="0" wp14:anchorId="2402DAFE" wp14:editId="4C9B4FEB">
            <wp:extent cx="4695825" cy="2943225"/>
            <wp:effectExtent l="0" t="0" r="9525" b="9525"/>
            <wp:docPr id="1737755295" name="Picture 4" descr="A graph of a loss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55295" name="Picture 4" descr="A graph of a loss of a company&#10;&#10;Description automatically generated with medium confide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95825" cy="2943225"/>
                    </a:xfrm>
                    <a:prstGeom prst="rect">
                      <a:avLst/>
                    </a:prstGeom>
                    <a:noFill/>
                    <a:ln>
                      <a:noFill/>
                    </a:ln>
                  </pic:spPr>
                </pic:pic>
              </a:graphicData>
            </a:graphic>
          </wp:inline>
        </w:drawing>
      </w:r>
    </w:p>
    <w:p w14:paraId="3A9FE2F8" w14:textId="77777777"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color w:val="000000"/>
          <w:sz w:val="20"/>
          <w:szCs w:val="20"/>
          <w:lang w:val="en-US"/>
        </w:rPr>
        <w:t xml:space="preserve">The root of this unusual inflation dynamic comes from the after-effects of the Covid-19 pandemic in 2020. In particular, the pandemic led to an imbalance between supply and demand for goods, which </w:t>
      </w:r>
      <w:proofErr w:type="spellStart"/>
      <w:r w:rsidRPr="0000451E">
        <w:rPr>
          <w:rFonts w:ascii="Verdana" w:hAnsi="Verdana" w:cs="Arial"/>
          <w:color w:val="000000"/>
          <w:sz w:val="20"/>
          <w:szCs w:val="20"/>
          <w:lang w:val="en-US"/>
        </w:rPr>
        <w:t>fuelled</w:t>
      </w:r>
      <w:proofErr w:type="spellEnd"/>
      <w:r w:rsidRPr="0000451E">
        <w:rPr>
          <w:rFonts w:ascii="Verdana" w:hAnsi="Verdana" w:cs="Arial"/>
          <w:color w:val="000000"/>
          <w:sz w:val="20"/>
          <w:szCs w:val="20"/>
          <w:lang w:val="en-US"/>
        </w:rPr>
        <w:t xml:space="preserve"> inflation to surge last year. This was further exacerbated by the Ukraine-Russia war and China’s zero-Covid policy on supply chains.</w:t>
      </w:r>
    </w:p>
    <w:p w14:paraId="22D32547" w14:textId="77777777"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color w:val="000000"/>
          <w:sz w:val="20"/>
          <w:szCs w:val="20"/>
          <w:lang w:val="en-US"/>
        </w:rPr>
        <w:t>So last year, the Schroders Output Gap model was in the expansion phase. But the unusually high levels of inflation prompted more aggressive policy action by the Federal Reserve (Fed), resulting in the largest ever increase in interest rates compared to increases in previous expansion phases (chart 4). This has resulted in a significant de-rating in the US market, and equities have had one of their worst performing times compared to past expansions when returns have generally been positive (chart 5).</w:t>
      </w:r>
    </w:p>
    <w:p w14:paraId="1949DED3" w14:textId="7A6A65B6"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noProof/>
          <w:color w:val="000000"/>
          <w:sz w:val="20"/>
          <w:szCs w:val="20"/>
        </w:rPr>
        <w:drawing>
          <wp:inline distT="0" distB="0" distL="0" distR="0" wp14:anchorId="1C98099C" wp14:editId="67992D44">
            <wp:extent cx="5267325" cy="3276600"/>
            <wp:effectExtent l="0" t="0" r="9525" b="0"/>
            <wp:docPr id="12151475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267325" cy="3276600"/>
                    </a:xfrm>
                    <a:prstGeom prst="rect">
                      <a:avLst/>
                    </a:prstGeom>
                    <a:noFill/>
                    <a:ln>
                      <a:noFill/>
                    </a:ln>
                  </pic:spPr>
                </pic:pic>
              </a:graphicData>
            </a:graphic>
          </wp:inline>
        </w:drawing>
      </w:r>
    </w:p>
    <w:p w14:paraId="41F609D0" w14:textId="77777777"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b/>
          <w:bCs/>
          <w:color w:val="000000"/>
          <w:sz w:val="20"/>
          <w:szCs w:val="20"/>
        </w:rPr>
        <w:t xml:space="preserve">This slowdown phase may not be as </w:t>
      </w:r>
      <w:proofErr w:type="gramStart"/>
      <w:r w:rsidRPr="0000451E">
        <w:rPr>
          <w:rFonts w:ascii="Verdana" w:hAnsi="Verdana" w:cs="Arial"/>
          <w:b/>
          <w:bCs/>
          <w:color w:val="000000"/>
          <w:sz w:val="20"/>
          <w:szCs w:val="20"/>
        </w:rPr>
        <w:t>bad</w:t>
      </w:r>
      <w:proofErr w:type="gramEnd"/>
    </w:p>
    <w:p w14:paraId="16E33D24" w14:textId="77777777"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color w:val="000000"/>
          <w:sz w:val="20"/>
          <w:szCs w:val="20"/>
        </w:rPr>
        <w:t xml:space="preserve">Economic activity in the US is likely to slow over the coming months, but this time around the fall in inflation could create a less challenging landscape for equities. The </w:t>
      </w:r>
      <w:r w:rsidRPr="0000451E">
        <w:rPr>
          <w:rFonts w:ascii="Verdana" w:hAnsi="Verdana" w:cs="Arial"/>
          <w:color w:val="000000"/>
          <w:sz w:val="20"/>
          <w:szCs w:val="20"/>
        </w:rPr>
        <w:lastRenderedPageBreak/>
        <w:t>improvement in the inflation picture reduces the risk of recession and provides the Fed with more flexibility in cutting interest rates.</w:t>
      </w:r>
    </w:p>
    <w:p w14:paraId="26AD59FB" w14:textId="77777777"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color w:val="000000"/>
          <w:sz w:val="20"/>
          <w:szCs w:val="20"/>
        </w:rPr>
        <w:t>The average returns of the S&amp;P 500 have tended to be more positive when interest rates have fallen (chart 6). In contrast, the tightening in monetary policy particularly during the slowdown phase has been poor environments for equities. That said, interest rates have usually reached their peak during slowdowns, and the Fed is either cutting rates or keeping them at unchanged for most of the time.</w:t>
      </w:r>
    </w:p>
    <w:p w14:paraId="6361CC19" w14:textId="4EB9DDB0"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noProof/>
          <w:color w:val="000000"/>
          <w:sz w:val="20"/>
          <w:szCs w:val="20"/>
        </w:rPr>
        <w:drawing>
          <wp:inline distT="0" distB="0" distL="0" distR="0" wp14:anchorId="0FB55627" wp14:editId="2CA19ABC">
            <wp:extent cx="4429125" cy="2752725"/>
            <wp:effectExtent l="0" t="0" r="9525" b="9525"/>
            <wp:docPr id="2058945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429125" cy="2752725"/>
                    </a:xfrm>
                    <a:prstGeom prst="rect">
                      <a:avLst/>
                    </a:prstGeom>
                    <a:noFill/>
                    <a:ln>
                      <a:noFill/>
                    </a:ln>
                  </pic:spPr>
                </pic:pic>
              </a:graphicData>
            </a:graphic>
          </wp:inline>
        </w:drawing>
      </w:r>
    </w:p>
    <w:p w14:paraId="39DFB3B9" w14:textId="77777777"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color w:val="000000"/>
          <w:sz w:val="20"/>
          <w:szCs w:val="20"/>
          <w:lang w:val="en-GB"/>
        </w:rPr>
        <w:t>Meanwhile, slowdown periods followed by expansions rather than recessions tend to be more positive environment for equities (chart 7). If economic activity turns out to be more resilient, both growth and corporate earnings can recover back to a reflationary setting. Instead, slowdowns that results in recessions are usually environments where there is a significant contraction in growth, which materially hits corporate earnings.</w:t>
      </w:r>
    </w:p>
    <w:p w14:paraId="55FE9579" w14:textId="08A05016"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noProof/>
          <w:color w:val="000000"/>
          <w:sz w:val="20"/>
          <w:szCs w:val="20"/>
        </w:rPr>
        <w:drawing>
          <wp:inline distT="0" distB="0" distL="0" distR="0" wp14:anchorId="3AB6DDA6" wp14:editId="332409FF">
            <wp:extent cx="4638675" cy="3076575"/>
            <wp:effectExtent l="0" t="0" r="9525" b="9525"/>
            <wp:docPr id="393276191" name="Picture 1" descr="A graph of a graph showing the amount of a period of ti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76191" name="Picture 1" descr="A graph of a graph showing the amount of a period of time&#10;&#10;Description automatically generated with medium confidence"/>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638675" cy="3076575"/>
                    </a:xfrm>
                    <a:prstGeom prst="rect">
                      <a:avLst/>
                    </a:prstGeom>
                    <a:noFill/>
                    <a:ln>
                      <a:noFill/>
                    </a:ln>
                  </pic:spPr>
                </pic:pic>
              </a:graphicData>
            </a:graphic>
          </wp:inline>
        </w:drawing>
      </w:r>
    </w:p>
    <w:p w14:paraId="22B937EC" w14:textId="77777777"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b/>
          <w:bCs/>
          <w:color w:val="000000"/>
          <w:sz w:val="20"/>
          <w:szCs w:val="20"/>
        </w:rPr>
        <w:t>Conclusion</w:t>
      </w:r>
    </w:p>
    <w:p w14:paraId="335624F5" w14:textId="4D5E081C" w:rsidR="0000451E" w:rsidRPr="0000451E" w:rsidRDefault="0000451E" w:rsidP="0000451E">
      <w:pPr>
        <w:pStyle w:val="xmsonormal"/>
        <w:spacing w:line="240" w:lineRule="auto"/>
        <w:rPr>
          <w:rFonts w:ascii="Verdana" w:hAnsi="Verdana"/>
          <w:sz w:val="20"/>
          <w:szCs w:val="20"/>
          <w:lang w:val="en-GB"/>
        </w:rPr>
      </w:pPr>
      <w:r w:rsidRPr="0000451E">
        <w:rPr>
          <w:rFonts w:ascii="Verdana" w:hAnsi="Verdana" w:cs="Arial"/>
          <w:color w:val="000000"/>
          <w:sz w:val="20"/>
          <w:szCs w:val="20"/>
        </w:rPr>
        <w:t xml:space="preserve">With the US economic cycle now in the slowdown phase, a more cautious stance towards equities and credit markets would typically be suggested. But global investors should </w:t>
      </w:r>
      <w:r w:rsidRPr="0000451E">
        <w:rPr>
          <w:rFonts w:ascii="Verdana" w:hAnsi="Verdana" w:cs="Arial"/>
          <w:color w:val="000000"/>
          <w:sz w:val="20"/>
          <w:szCs w:val="20"/>
        </w:rPr>
        <w:lastRenderedPageBreak/>
        <w:t>recognise that this cycle is proving to be rather different, as US inflation is falling as we enter the slowdown. This may indicate that growth could be more resilient, and the Fed has greater flexibility to ease monetary policy. It also reduces the risk of a slowdown followed by a recession, which tends to create a more negative environment for risk assets. Overall, the investment playbook based on previous slowdowns may be different this time.</w:t>
      </w:r>
    </w:p>
    <w:sectPr w:rsidR="0000451E" w:rsidRPr="00004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1E"/>
    <w:rsid w:val="0000451E"/>
    <w:rsid w:val="002B37F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FBC7"/>
  <w15:chartTrackingRefBased/>
  <w15:docId w15:val="{5D01A882-7C6B-40D7-96EE-33768C84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0451E"/>
    <w:pPr>
      <w:spacing w:line="254" w:lineRule="auto"/>
    </w:pPr>
    <w:rPr>
      <w:rFonts w:ascii="Calibri" w:hAnsi="Calibri" w:cs="Calibri"/>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5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5.png@01D9F05B.772C918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png@01D9F05B.772C9180" TargetMode="External"/><Relationship Id="rId12" Type="http://schemas.openxmlformats.org/officeDocument/2006/relationships/image" Target="media/image5.png"/><Relationship Id="rId17" Type="http://schemas.openxmlformats.org/officeDocument/2006/relationships/image" Target="cid:image007.png@01D9F05B.772C9180" TargetMode="External"/><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9F05B.772C9180" TargetMode="External"/><Relationship Id="rId5" Type="http://schemas.openxmlformats.org/officeDocument/2006/relationships/image" Target="cid:image001.png@01D9F05B.772C9180" TargetMode="External"/><Relationship Id="rId15" Type="http://schemas.openxmlformats.org/officeDocument/2006/relationships/image" Target="cid:image006.png@01D9F05B.772C9180"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cid:image003.png@01D9F05B.772C9180"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905</Words>
  <Characters>5162</Characters>
  <Application>Microsoft Office Word</Application>
  <DocSecurity>0</DocSecurity>
  <Lines>43</Lines>
  <Paragraphs>12</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2023-09-26T10:39:00Z</dcterms:created>
  <dcterms:modified xsi:type="dcterms:W3CDTF">2023-09-26T10:41:00Z</dcterms:modified>
</cp:coreProperties>
</file>