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F845E" w14:textId="2035161F" w:rsidR="00920A09" w:rsidRDefault="000366DB" w:rsidP="003E6BC2">
      <w:pPr>
        <w:pStyle w:val="Heading1"/>
        <w:rPr>
          <w:sz w:val="44"/>
          <w:szCs w:val="44"/>
          <w:lang w:val="en-US"/>
        </w:rPr>
      </w:pPr>
      <w:r w:rsidRPr="000366DB">
        <w:rPr>
          <w:sz w:val="44"/>
          <w:szCs w:val="44"/>
          <w:lang w:val="en-US"/>
        </w:rPr>
        <w:t xml:space="preserve">Scratching below the surface of tobacco </w:t>
      </w:r>
      <w:r w:rsidR="003E6BC2" w:rsidRPr="000366DB">
        <w:rPr>
          <w:sz w:val="44"/>
          <w:szCs w:val="44"/>
          <w:lang w:val="en-US"/>
        </w:rPr>
        <w:t>companies</w:t>
      </w:r>
    </w:p>
    <w:p w14:paraId="1EA94271" w14:textId="503D43E7" w:rsidR="006C4210" w:rsidRPr="006C4210" w:rsidRDefault="006C4210" w:rsidP="006C4210">
      <w:pPr>
        <w:rPr>
          <w:lang w:val="en-US"/>
        </w:rPr>
      </w:pPr>
      <w:r>
        <w:rPr>
          <w:lang w:val="en-US"/>
        </w:rPr>
        <w:t>By Philip Short*</w:t>
      </w:r>
    </w:p>
    <w:p w14:paraId="4955DD81" w14:textId="6428F5C4" w:rsidR="00922FD2" w:rsidRPr="00922FD2" w:rsidRDefault="000366DB" w:rsidP="00270783">
      <w:pPr>
        <w:jc w:val="both"/>
        <w:rPr>
          <w:lang w:val="en-US"/>
        </w:rPr>
      </w:pPr>
      <w:r>
        <w:rPr>
          <w:lang w:val="en-US"/>
        </w:rPr>
        <w:t>C</w:t>
      </w:r>
      <w:r w:rsidR="00F828AE">
        <w:rPr>
          <w:lang w:val="en-US"/>
        </w:rPr>
        <w:t>onsumer</w:t>
      </w:r>
      <w:r>
        <w:rPr>
          <w:lang w:val="en-US"/>
        </w:rPr>
        <w:t>s’ first thoughts on</w:t>
      </w:r>
      <w:r w:rsidR="00922FD2" w:rsidRPr="00922FD2">
        <w:rPr>
          <w:lang w:val="en-US"/>
        </w:rPr>
        <w:t xml:space="preserve"> tobacco companies</w:t>
      </w:r>
      <w:r w:rsidR="00922FD2">
        <w:rPr>
          <w:lang w:val="en-US"/>
        </w:rPr>
        <w:t xml:space="preserve"> are </w:t>
      </w:r>
      <w:r>
        <w:rPr>
          <w:lang w:val="en-US"/>
        </w:rPr>
        <w:t xml:space="preserve">generally </w:t>
      </w:r>
      <w:r w:rsidR="00922FD2">
        <w:rPr>
          <w:lang w:val="en-US"/>
        </w:rPr>
        <w:t>“unhealthy</w:t>
      </w:r>
      <w:r w:rsidR="00F828AE">
        <w:rPr>
          <w:lang w:val="en-US"/>
        </w:rPr>
        <w:t>;</w:t>
      </w:r>
      <w:r w:rsidR="00D679EE">
        <w:rPr>
          <w:lang w:val="en-US"/>
        </w:rPr>
        <w:t xml:space="preserve"> </w:t>
      </w:r>
      <w:r w:rsidR="003E6BC2">
        <w:rPr>
          <w:lang w:val="en-US"/>
        </w:rPr>
        <w:t>addictive</w:t>
      </w:r>
      <w:r w:rsidR="00D679EE">
        <w:rPr>
          <w:lang w:val="en-US"/>
        </w:rPr>
        <w:t>;</w:t>
      </w:r>
      <w:r w:rsidR="00FA2A00">
        <w:rPr>
          <w:lang w:val="en-US"/>
        </w:rPr>
        <w:t xml:space="preserve"> money machines”. As an investor, one thinks “over </w:t>
      </w:r>
      <w:r w:rsidR="00766FCF">
        <w:rPr>
          <w:lang w:val="en-US"/>
        </w:rPr>
        <w:t>reaching</w:t>
      </w:r>
      <w:r w:rsidR="00FA2A00">
        <w:rPr>
          <w:lang w:val="en-US"/>
        </w:rPr>
        <w:t xml:space="preserve"> regulation; a dying industry</w:t>
      </w:r>
      <w:r w:rsidR="00920A09">
        <w:rPr>
          <w:lang w:val="en-US"/>
        </w:rPr>
        <w:t>;</w:t>
      </w:r>
      <w:r w:rsidR="00FA2A00">
        <w:rPr>
          <w:lang w:val="en-US"/>
        </w:rPr>
        <w:t xml:space="preserve"> money machines”</w:t>
      </w:r>
      <w:r w:rsidR="00F828AE">
        <w:rPr>
          <w:lang w:val="en-US"/>
        </w:rPr>
        <w:t xml:space="preserve">. </w:t>
      </w:r>
      <w:r w:rsidR="00920A09">
        <w:rPr>
          <w:lang w:val="en-US"/>
        </w:rPr>
        <w:t>U</w:t>
      </w:r>
      <w:r w:rsidR="00F828AE">
        <w:rPr>
          <w:lang w:val="en-US"/>
        </w:rPr>
        <w:t>nenviable characteristics that one would prefer to avoid</w:t>
      </w:r>
      <w:r w:rsidR="00920A09">
        <w:rPr>
          <w:lang w:val="en-US"/>
        </w:rPr>
        <w:t>… e</w:t>
      </w:r>
      <w:r w:rsidR="00F828AE">
        <w:rPr>
          <w:lang w:val="en-US"/>
        </w:rPr>
        <w:t>xcept that money machine</w:t>
      </w:r>
      <w:r w:rsidR="002D2B27">
        <w:rPr>
          <w:lang w:val="en-US"/>
        </w:rPr>
        <w:t xml:space="preserve"> trait</w:t>
      </w:r>
      <w:r w:rsidR="00F828AE">
        <w:rPr>
          <w:lang w:val="en-US"/>
        </w:rPr>
        <w:t>. That sounds interesting enough for us to scratch below the surface.</w:t>
      </w:r>
    </w:p>
    <w:p w14:paraId="30CDA997" w14:textId="7E1F7AC5" w:rsidR="00E7778D" w:rsidRPr="00922FD2" w:rsidRDefault="00922FD2" w:rsidP="00270783">
      <w:pPr>
        <w:jc w:val="both"/>
        <w:rPr>
          <w:b/>
          <w:bCs/>
          <w:lang w:val="en-US"/>
        </w:rPr>
      </w:pPr>
      <w:r w:rsidRPr="00922FD2">
        <w:rPr>
          <w:b/>
          <w:bCs/>
          <w:lang w:val="en-US"/>
        </w:rPr>
        <w:t>Regulation</w:t>
      </w:r>
    </w:p>
    <w:p w14:paraId="632B0AE5" w14:textId="0747D078" w:rsidR="00766FCF" w:rsidRDefault="00F145CE" w:rsidP="00270783">
      <w:pPr>
        <w:jc w:val="both"/>
        <w:rPr>
          <w:lang w:val="en-US"/>
        </w:rPr>
      </w:pPr>
      <w:r>
        <w:rPr>
          <w:lang w:val="en-US"/>
        </w:rPr>
        <w:t>Regulation is the biggest red flag when looking to invest in tobacco companies</w:t>
      </w:r>
      <w:r w:rsidR="004174F4">
        <w:rPr>
          <w:lang w:val="en-US"/>
        </w:rPr>
        <w:t>.</w:t>
      </w:r>
      <w:r w:rsidR="00185E83">
        <w:rPr>
          <w:lang w:val="en-US"/>
        </w:rPr>
        <w:t xml:space="preserve"> </w:t>
      </w:r>
      <w:r>
        <w:rPr>
          <w:lang w:val="en-US"/>
        </w:rPr>
        <w:t xml:space="preserve">Regulators </w:t>
      </w:r>
      <w:r w:rsidR="00C35587">
        <w:rPr>
          <w:lang w:val="en-US"/>
        </w:rPr>
        <w:t>dictate</w:t>
      </w:r>
      <w:r>
        <w:rPr>
          <w:lang w:val="en-US"/>
        </w:rPr>
        <w:t xml:space="preserve"> what products tobacco companies may and may not sell</w:t>
      </w:r>
      <w:r w:rsidR="004174F4">
        <w:rPr>
          <w:lang w:val="en-US"/>
        </w:rPr>
        <w:t>, and g</w:t>
      </w:r>
      <w:r>
        <w:rPr>
          <w:lang w:val="en-US"/>
        </w:rPr>
        <w:t>overnments can increase taxes on tobacco products to the point where they become unaffordable</w:t>
      </w:r>
      <w:r w:rsidR="00932448">
        <w:rPr>
          <w:lang w:val="en-US"/>
        </w:rPr>
        <w:t xml:space="preserve">. One of the more stringent regulators is the US Food and Drug Administration (FDA). </w:t>
      </w:r>
      <w:r w:rsidR="00C35587">
        <w:rPr>
          <w:lang w:val="en-US"/>
        </w:rPr>
        <w:t>This is a cause of concern for British American Tobacco (BATS) investors because t</w:t>
      </w:r>
      <w:r w:rsidR="00932448">
        <w:rPr>
          <w:lang w:val="en-US"/>
        </w:rPr>
        <w:t xml:space="preserve">he FDA </w:t>
      </w:r>
      <w:r w:rsidR="00113318">
        <w:rPr>
          <w:lang w:val="en-US"/>
        </w:rPr>
        <w:t>has</w:t>
      </w:r>
      <w:r w:rsidR="00932448">
        <w:rPr>
          <w:lang w:val="en-US"/>
        </w:rPr>
        <w:t xml:space="preserve"> flexed their muscle over the tobacco companies of late</w:t>
      </w:r>
      <w:r w:rsidR="004174F4">
        <w:rPr>
          <w:lang w:val="en-US"/>
        </w:rPr>
        <w:t>,</w:t>
      </w:r>
      <w:r w:rsidR="00932448">
        <w:rPr>
          <w:lang w:val="en-US"/>
        </w:rPr>
        <w:t xml:space="preserve"> and </w:t>
      </w:r>
      <w:r w:rsidR="00C35587">
        <w:rPr>
          <w:lang w:val="en-US"/>
        </w:rPr>
        <w:t>f</w:t>
      </w:r>
      <w:r w:rsidR="00F73CCD">
        <w:rPr>
          <w:lang w:val="en-US"/>
        </w:rPr>
        <w:t>orty</w:t>
      </w:r>
      <w:r w:rsidR="00932448">
        <w:rPr>
          <w:lang w:val="en-US"/>
        </w:rPr>
        <w:t xml:space="preserve"> </w:t>
      </w:r>
      <w:r w:rsidR="001279D8">
        <w:rPr>
          <w:lang w:val="en-US"/>
        </w:rPr>
        <w:t>per cent</w:t>
      </w:r>
      <w:r w:rsidR="00932448">
        <w:rPr>
          <w:lang w:val="en-US"/>
        </w:rPr>
        <w:t xml:space="preserve"> of BAT</w:t>
      </w:r>
      <w:r w:rsidR="00920A09">
        <w:rPr>
          <w:lang w:val="en-US"/>
        </w:rPr>
        <w:t>’</w:t>
      </w:r>
      <w:r w:rsidR="004174F4">
        <w:rPr>
          <w:lang w:val="en-US"/>
        </w:rPr>
        <w:t>s</w:t>
      </w:r>
      <w:r w:rsidR="00932448">
        <w:rPr>
          <w:lang w:val="en-US"/>
        </w:rPr>
        <w:t xml:space="preserve"> revenue is derived </w:t>
      </w:r>
      <w:r w:rsidR="004174F4">
        <w:rPr>
          <w:lang w:val="en-US"/>
        </w:rPr>
        <w:t>from the US</w:t>
      </w:r>
      <w:r w:rsidR="00C35587">
        <w:rPr>
          <w:lang w:val="en-US"/>
        </w:rPr>
        <w:t xml:space="preserve">. </w:t>
      </w:r>
    </w:p>
    <w:p w14:paraId="512B62E5" w14:textId="31CDC4D8" w:rsidR="00747726" w:rsidRDefault="003E6BC2" w:rsidP="00270783">
      <w:pPr>
        <w:jc w:val="both"/>
        <w:rPr>
          <w:lang w:val="en-US"/>
        </w:rPr>
      </w:pPr>
      <w:r>
        <w:rPr>
          <w:lang w:val="en-US"/>
        </w:rPr>
        <w:t>How did the</w:t>
      </w:r>
      <w:r w:rsidR="00F73CCD">
        <w:rPr>
          <w:lang w:val="en-US"/>
        </w:rPr>
        <w:t xml:space="preserve"> US </w:t>
      </w:r>
      <w:r>
        <w:rPr>
          <w:lang w:val="en-US"/>
        </w:rPr>
        <w:t>become</w:t>
      </w:r>
      <w:r w:rsidR="00F73CCD">
        <w:rPr>
          <w:lang w:val="en-US"/>
        </w:rPr>
        <w:t xml:space="preserve"> such a large percentage of BATS</w:t>
      </w:r>
      <w:r w:rsidR="0086340F">
        <w:rPr>
          <w:lang w:val="en-US"/>
        </w:rPr>
        <w:t>’</w:t>
      </w:r>
      <w:r w:rsidR="00F73CCD">
        <w:rPr>
          <w:lang w:val="en-US"/>
        </w:rPr>
        <w:t xml:space="preserve"> revenue</w:t>
      </w:r>
      <w:r w:rsidR="00177B3D">
        <w:rPr>
          <w:lang w:val="en-US"/>
        </w:rPr>
        <w:t>?</w:t>
      </w:r>
      <w:r w:rsidR="00F73CCD">
        <w:rPr>
          <w:lang w:val="en-US"/>
        </w:rPr>
        <w:t xml:space="preserve"> BATS used to own 42% of Reynolds American Inc. </w:t>
      </w:r>
      <w:r w:rsidR="00920A09">
        <w:rPr>
          <w:lang w:val="en-US"/>
        </w:rPr>
        <w:t>(</w:t>
      </w:r>
      <w:r w:rsidR="00F73CCD">
        <w:rPr>
          <w:lang w:val="en-US"/>
        </w:rPr>
        <w:t>the vehicle through which it had exposure to the US</w:t>
      </w:r>
      <w:r w:rsidR="00920A09">
        <w:rPr>
          <w:lang w:val="en-US"/>
        </w:rPr>
        <w:t>),</w:t>
      </w:r>
      <w:r w:rsidR="00F73CCD">
        <w:rPr>
          <w:lang w:val="en-US"/>
        </w:rPr>
        <w:t xml:space="preserve"> and bought the remaining 58% in 2017. Why?</w:t>
      </w:r>
      <w:r w:rsidR="00AF17F6">
        <w:rPr>
          <w:lang w:val="en-US"/>
        </w:rPr>
        <w:t xml:space="preserve"> The US still has a long runway of pricing power</w:t>
      </w:r>
      <w:r w:rsidR="00747726">
        <w:rPr>
          <w:lang w:val="en-US"/>
        </w:rPr>
        <w:t xml:space="preserve">. Looking at where </w:t>
      </w:r>
      <w:r w:rsidR="00766FCF">
        <w:rPr>
          <w:lang w:val="en-US"/>
        </w:rPr>
        <w:t>a</w:t>
      </w:r>
      <w:r w:rsidR="00747726">
        <w:rPr>
          <w:lang w:val="en-US"/>
        </w:rPr>
        <w:t xml:space="preserve"> box of cigarettes is sold worldwide </w:t>
      </w:r>
      <w:r w:rsidR="00177B3D">
        <w:rPr>
          <w:lang w:val="en-US"/>
        </w:rPr>
        <w:t xml:space="preserve">in US$ </w:t>
      </w:r>
      <w:r w:rsidR="00747726">
        <w:rPr>
          <w:lang w:val="en-US"/>
        </w:rPr>
        <w:t xml:space="preserve">versus GDP/capita, one can see that affordability still has </w:t>
      </w:r>
      <w:r w:rsidR="00920A09">
        <w:rPr>
          <w:lang w:val="en-US"/>
        </w:rPr>
        <w:t>far to go</w:t>
      </w:r>
      <w:r w:rsidR="00747726">
        <w:rPr>
          <w:lang w:val="en-US"/>
        </w:rPr>
        <w:t xml:space="preserve"> in the US.</w:t>
      </w:r>
    </w:p>
    <w:p w14:paraId="13857580" w14:textId="4AE74AFE" w:rsidR="00747726" w:rsidRDefault="000B0408" w:rsidP="00270783">
      <w:pPr>
        <w:jc w:val="both"/>
        <w:rPr>
          <w:lang w:val="en-US"/>
        </w:rPr>
      </w:pPr>
      <w:r>
        <w:rPr>
          <w:noProof/>
        </w:rPr>
        <w:drawing>
          <wp:inline distT="0" distB="0" distL="0" distR="0" wp14:anchorId="2634C4EC" wp14:editId="624D7958">
            <wp:extent cx="5731510" cy="3134995"/>
            <wp:effectExtent l="0" t="0" r="2540" b="8255"/>
            <wp:docPr id="9595671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6207869-EC0C-683E-7DE2-51E9089B27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96DA320" w14:textId="21FF2AAC" w:rsidR="003B2527" w:rsidRDefault="00747726" w:rsidP="00270783">
      <w:pPr>
        <w:jc w:val="both"/>
        <w:rPr>
          <w:lang w:val="en-US"/>
        </w:rPr>
      </w:pPr>
      <w:r>
        <w:rPr>
          <w:lang w:val="en-US"/>
        </w:rPr>
        <w:t xml:space="preserve">Additionally, </w:t>
      </w:r>
      <w:r w:rsidR="00920A09">
        <w:rPr>
          <w:lang w:val="en-US"/>
        </w:rPr>
        <w:t>BAT</w:t>
      </w:r>
      <w:r w:rsidR="004174F4">
        <w:rPr>
          <w:lang w:val="en-US"/>
        </w:rPr>
        <w:t>’s</w:t>
      </w:r>
      <w:r w:rsidR="00920A09">
        <w:rPr>
          <w:lang w:val="en-US"/>
        </w:rPr>
        <w:t xml:space="preserve"> </w:t>
      </w:r>
      <w:r>
        <w:rPr>
          <w:lang w:val="en-US"/>
        </w:rPr>
        <w:t>o</w:t>
      </w:r>
      <w:r w:rsidR="00AF17F6">
        <w:rPr>
          <w:lang w:val="en-US"/>
        </w:rPr>
        <w:t xml:space="preserve">perating profit margins are higher </w:t>
      </w:r>
      <w:r w:rsidR="00454F33">
        <w:rPr>
          <w:lang w:val="en-US"/>
        </w:rPr>
        <w:t xml:space="preserve">in the US </w:t>
      </w:r>
      <w:r w:rsidR="00AF17F6">
        <w:rPr>
          <w:lang w:val="en-US"/>
        </w:rPr>
        <w:t xml:space="preserve">at 54% versus </w:t>
      </w:r>
      <w:r w:rsidR="00766FCF">
        <w:rPr>
          <w:lang w:val="en-US"/>
        </w:rPr>
        <w:t xml:space="preserve">the </w:t>
      </w:r>
      <w:r w:rsidR="00AF17F6">
        <w:rPr>
          <w:lang w:val="en-US"/>
        </w:rPr>
        <w:t xml:space="preserve">44% </w:t>
      </w:r>
      <w:r w:rsidR="00454F33">
        <w:rPr>
          <w:lang w:val="en-US"/>
        </w:rPr>
        <w:t xml:space="preserve">average </w:t>
      </w:r>
      <w:r w:rsidR="00AF17F6">
        <w:rPr>
          <w:lang w:val="en-US"/>
        </w:rPr>
        <w:t xml:space="preserve">for the Group. </w:t>
      </w:r>
      <w:r w:rsidR="00454F33">
        <w:rPr>
          <w:lang w:val="en-US"/>
        </w:rPr>
        <w:t>While traditional smoking product volumes</w:t>
      </w:r>
      <w:r w:rsidR="00FC6890">
        <w:rPr>
          <w:lang w:val="en-US"/>
        </w:rPr>
        <w:t>,</w:t>
      </w:r>
      <w:r w:rsidR="00454F33">
        <w:rPr>
          <w:lang w:val="en-US"/>
        </w:rPr>
        <w:t xml:space="preserve"> i.e. combustibles</w:t>
      </w:r>
      <w:r w:rsidR="00FC6890">
        <w:rPr>
          <w:lang w:val="en-US"/>
        </w:rPr>
        <w:t>,</w:t>
      </w:r>
      <w:r w:rsidR="00454F33">
        <w:rPr>
          <w:lang w:val="en-US"/>
        </w:rPr>
        <w:t xml:space="preserve"> </w:t>
      </w:r>
      <w:r w:rsidR="003E6BC2">
        <w:rPr>
          <w:lang w:val="en-US"/>
        </w:rPr>
        <w:t xml:space="preserve">are expected </w:t>
      </w:r>
      <w:r w:rsidR="00454F33">
        <w:rPr>
          <w:lang w:val="en-US"/>
        </w:rPr>
        <w:t xml:space="preserve">to decrease, </w:t>
      </w:r>
      <w:r w:rsidR="003E6BC2">
        <w:rPr>
          <w:lang w:val="en-US"/>
        </w:rPr>
        <w:t>the</w:t>
      </w:r>
      <w:r w:rsidR="00454F33">
        <w:rPr>
          <w:lang w:val="en-US"/>
        </w:rPr>
        <w:t xml:space="preserve"> favorable pricing environment </w:t>
      </w:r>
      <w:r w:rsidR="003E6BC2">
        <w:rPr>
          <w:lang w:val="en-US"/>
        </w:rPr>
        <w:t>will</w:t>
      </w:r>
      <w:r w:rsidR="00454F33">
        <w:rPr>
          <w:lang w:val="en-US"/>
        </w:rPr>
        <w:t xml:space="preserve"> more than offset thi</w:t>
      </w:r>
      <w:r w:rsidR="003E6BC2">
        <w:rPr>
          <w:lang w:val="en-US"/>
        </w:rPr>
        <w:t>s</w:t>
      </w:r>
      <w:r w:rsidR="00454F33">
        <w:rPr>
          <w:lang w:val="en-US"/>
        </w:rPr>
        <w:t xml:space="preserve"> for at least the medium term (5+ years), resulting in a positive price/mix.</w:t>
      </w:r>
      <w:r w:rsidR="003E6BC2">
        <w:rPr>
          <w:lang w:val="en-US"/>
        </w:rPr>
        <w:t xml:space="preserve"> </w:t>
      </w:r>
    </w:p>
    <w:p w14:paraId="04A18156" w14:textId="7020A7CC" w:rsidR="003B2527" w:rsidRDefault="003B2527" w:rsidP="00270783">
      <w:pPr>
        <w:jc w:val="both"/>
        <w:rPr>
          <w:lang w:val="en-US"/>
        </w:rPr>
      </w:pPr>
      <w:r>
        <w:rPr>
          <w:lang w:val="en-US"/>
        </w:rPr>
        <w:t xml:space="preserve">However, </w:t>
      </w:r>
      <w:r w:rsidR="00177B3D">
        <w:rPr>
          <w:lang w:val="en-US"/>
        </w:rPr>
        <w:t xml:space="preserve">we’d </w:t>
      </w:r>
      <w:r>
        <w:rPr>
          <w:lang w:val="en-US"/>
        </w:rPr>
        <w:t xml:space="preserve">would like to see something more tangible, beyond the medium term that the combustible portfolio currently offers. What happens one day when combustible prices are too </w:t>
      </w:r>
      <w:r>
        <w:rPr>
          <w:lang w:val="en-US"/>
        </w:rPr>
        <w:lastRenderedPageBreak/>
        <w:t>high and unaffordable, and volumes too low? How far will regulation go? How are tobacco companies positioning themselves for this?</w:t>
      </w:r>
    </w:p>
    <w:p w14:paraId="310ADF9C" w14:textId="6FC29D83" w:rsidR="003B2527" w:rsidRPr="00922FD2" w:rsidRDefault="003B2527" w:rsidP="00270783">
      <w:pPr>
        <w:jc w:val="both"/>
        <w:rPr>
          <w:b/>
          <w:bCs/>
          <w:lang w:val="en-US"/>
        </w:rPr>
      </w:pPr>
      <w:r w:rsidRPr="00922FD2">
        <w:rPr>
          <w:b/>
          <w:bCs/>
          <w:lang w:val="en-US"/>
        </w:rPr>
        <w:t>Next Generation Products</w:t>
      </w:r>
      <w:r>
        <w:rPr>
          <w:b/>
          <w:bCs/>
          <w:lang w:val="en-US"/>
        </w:rPr>
        <w:t xml:space="preserve"> </w:t>
      </w:r>
    </w:p>
    <w:p w14:paraId="5205D69F" w14:textId="4A8A9678" w:rsidR="00922FD2" w:rsidRDefault="003B2527" w:rsidP="00270783">
      <w:pPr>
        <w:jc w:val="both"/>
        <w:rPr>
          <w:lang w:val="en-US"/>
        </w:rPr>
      </w:pPr>
      <w:r>
        <w:rPr>
          <w:lang w:val="en-US"/>
        </w:rPr>
        <w:t>The effects of r</w:t>
      </w:r>
      <w:r w:rsidR="00F145CE">
        <w:rPr>
          <w:lang w:val="en-US"/>
        </w:rPr>
        <w:t>egulation, and the unquestionable evidence of the harm that combustible products inflict upon users</w:t>
      </w:r>
      <w:r w:rsidR="00FC6890">
        <w:rPr>
          <w:lang w:val="en-US"/>
        </w:rPr>
        <w:t xml:space="preserve">, </w:t>
      </w:r>
      <w:r w:rsidR="00F145CE">
        <w:rPr>
          <w:lang w:val="en-US"/>
        </w:rPr>
        <w:t xml:space="preserve">has pushed tobacco companies </w:t>
      </w:r>
      <w:r w:rsidR="0086340F">
        <w:rPr>
          <w:lang w:val="en-US"/>
        </w:rPr>
        <w:t>towards</w:t>
      </w:r>
      <w:r w:rsidR="00F145CE">
        <w:rPr>
          <w:lang w:val="en-US"/>
        </w:rPr>
        <w:t xml:space="preserve"> </w:t>
      </w:r>
      <w:r w:rsidR="00FC6890">
        <w:rPr>
          <w:lang w:val="en-US"/>
        </w:rPr>
        <w:t>Next Generation Products (</w:t>
      </w:r>
      <w:r w:rsidR="00F145CE">
        <w:rPr>
          <w:lang w:val="en-US"/>
        </w:rPr>
        <w:t>NGP</w:t>
      </w:r>
      <w:r w:rsidR="00766FCF">
        <w:rPr>
          <w:lang w:val="en-US"/>
        </w:rPr>
        <w:t>s</w:t>
      </w:r>
      <w:r w:rsidR="00FC6890">
        <w:rPr>
          <w:lang w:val="en-US"/>
        </w:rPr>
        <w:t>)</w:t>
      </w:r>
      <w:r w:rsidR="00C5344E">
        <w:rPr>
          <w:lang w:val="en-US"/>
        </w:rPr>
        <w:t xml:space="preserve">. </w:t>
      </w:r>
    </w:p>
    <w:p w14:paraId="3E7034BB" w14:textId="77CF1E8F" w:rsidR="008C1FD8" w:rsidRDefault="00454F33" w:rsidP="00270783">
      <w:pPr>
        <w:jc w:val="both"/>
        <w:rPr>
          <w:lang w:val="en-US"/>
        </w:rPr>
      </w:pPr>
      <w:r>
        <w:rPr>
          <w:lang w:val="en-US"/>
        </w:rPr>
        <w:t>BATS and Philip Morros International (PMI) are leading the way when it comes to reduced risk products (RRP)</w:t>
      </w:r>
      <w:r w:rsidR="00766FCF">
        <w:rPr>
          <w:lang w:val="en-US"/>
        </w:rPr>
        <w:t>; products that studies have shown to be less harmful than combustibles</w:t>
      </w:r>
      <w:r>
        <w:rPr>
          <w:lang w:val="en-US"/>
        </w:rPr>
        <w:t xml:space="preserve">. </w:t>
      </w:r>
      <w:r w:rsidR="008C1FD8">
        <w:rPr>
          <w:lang w:val="en-US"/>
        </w:rPr>
        <w:t xml:space="preserve">The global </w:t>
      </w:r>
      <w:r w:rsidR="0086340F">
        <w:rPr>
          <w:lang w:val="en-US"/>
        </w:rPr>
        <w:t xml:space="preserve">set of </w:t>
      </w:r>
      <w:r>
        <w:rPr>
          <w:lang w:val="en-US"/>
        </w:rPr>
        <w:t xml:space="preserve">RRP include </w:t>
      </w:r>
      <w:r w:rsidR="008C1FD8">
        <w:rPr>
          <w:lang w:val="en-US"/>
        </w:rPr>
        <w:t>the following:</w:t>
      </w:r>
    </w:p>
    <w:p w14:paraId="23F62B7F" w14:textId="1FEBEFCF" w:rsidR="00454F33" w:rsidRDefault="00454F33" w:rsidP="0027078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8C1FD8">
        <w:rPr>
          <w:lang w:val="en-US"/>
        </w:rPr>
        <w:t>Vapour, or E-cigarettes</w:t>
      </w:r>
      <w:r w:rsidR="00FC784D">
        <w:rPr>
          <w:lang w:val="en-US"/>
        </w:rPr>
        <w:t>:</w:t>
      </w:r>
      <w:r w:rsidR="008C1FD8">
        <w:rPr>
          <w:lang w:val="en-US"/>
        </w:rPr>
        <w:t xml:space="preserve"> </w:t>
      </w:r>
      <w:r w:rsidR="00FC784D">
        <w:rPr>
          <w:lang w:val="en-US"/>
        </w:rPr>
        <w:t>v</w:t>
      </w:r>
      <w:r w:rsidR="008C1FD8">
        <w:rPr>
          <w:lang w:val="en-US"/>
        </w:rPr>
        <w:t xml:space="preserve">aping simulates smoking by creating an aerosol that appears like a </w:t>
      </w:r>
      <w:proofErr w:type="spellStart"/>
      <w:r w:rsidR="008C1FD8">
        <w:rPr>
          <w:lang w:val="en-US"/>
        </w:rPr>
        <w:t>vapour</w:t>
      </w:r>
      <w:proofErr w:type="spellEnd"/>
      <w:r w:rsidR="008C1FD8">
        <w:rPr>
          <w:lang w:val="en-US"/>
        </w:rPr>
        <w:t xml:space="preserve"> </w:t>
      </w:r>
      <w:r w:rsidR="00FC6890">
        <w:rPr>
          <w:lang w:val="en-US"/>
        </w:rPr>
        <w:t>and</w:t>
      </w:r>
      <w:r w:rsidR="008C1FD8">
        <w:rPr>
          <w:lang w:val="en-US"/>
        </w:rPr>
        <w:t xml:space="preserve"> contains nicotine</w:t>
      </w:r>
      <w:r w:rsidR="00FE7723">
        <w:rPr>
          <w:lang w:val="en-US"/>
        </w:rPr>
        <w:t xml:space="preserve">, </w:t>
      </w:r>
      <w:r w:rsidR="00FC6890">
        <w:rPr>
          <w:lang w:val="en-US"/>
        </w:rPr>
        <w:t xml:space="preserve">although </w:t>
      </w:r>
      <w:r w:rsidR="00FE7723">
        <w:rPr>
          <w:lang w:val="en-US"/>
        </w:rPr>
        <w:t>no tobacco</w:t>
      </w:r>
      <w:r w:rsidR="008C1FD8">
        <w:rPr>
          <w:lang w:val="en-US"/>
        </w:rPr>
        <w:t>. It does not contain the harmful tar associated with cigarettes</w:t>
      </w:r>
      <w:r w:rsidR="003B2527">
        <w:rPr>
          <w:lang w:val="en-US"/>
        </w:rPr>
        <w:t>,</w:t>
      </w:r>
      <w:r w:rsidR="00766FCF">
        <w:rPr>
          <w:lang w:val="en-US"/>
        </w:rPr>
        <w:t xml:space="preserve"> but does contain other chemicals.</w:t>
      </w:r>
    </w:p>
    <w:p w14:paraId="6F977105" w14:textId="096B6A01" w:rsidR="008C1FD8" w:rsidRDefault="008C1FD8" w:rsidP="0027078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Tobacco Heated Products (THP</w:t>
      </w:r>
      <w:r w:rsidR="00FC6890">
        <w:rPr>
          <w:lang w:val="en-US"/>
        </w:rPr>
        <w:t>s</w:t>
      </w:r>
      <w:r>
        <w:rPr>
          <w:lang w:val="en-US"/>
        </w:rPr>
        <w:t xml:space="preserve">): a tobacco stick that is inserted into a heating device </w:t>
      </w:r>
      <w:r w:rsidR="00FC6890">
        <w:rPr>
          <w:lang w:val="en-US"/>
        </w:rPr>
        <w:t xml:space="preserve">which </w:t>
      </w:r>
      <w:r>
        <w:rPr>
          <w:lang w:val="en-US"/>
        </w:rPr>
        <w:t xml:space="preserve">brings the temperature of the stick </w:t>
      </w:r>
      <w:r w:rsidR="002C7FBB">
        <w:rPr>
          <w:lang w:val="en-US"/>
        </w:rPr>
        <w:t xml:space="preserve">to </w:t>
      </w:r>
      <w:r>
        <w:rPr>
          <w:lang w:val="en-US"/>
        </w:rPr>
        <w:t xml:space="preserve">just below burning point. </w:t>
      </w:r>
      <w:r w:rsidR="002C7FBB" w:rsidRPr="002C7FBB">
        <w:rPr>
          <w:lang w:val="en-US"/>
        </w:rPr>
        <w:t xml:space="preserve">Compared with cigarettes, </w:t>
      </w:r>
      <w:r w:rsidR="002C7FBB">
        <w:rPr>
          <w:lang w:val="en-US"/>
        </w:rPr>
        <w:t>THP</w:t>
      </w:r>
      <w:r w:rsidR="00FC6890">
        <w:rPr>
          <w:lang w:val="en-US"/>
        </w:rPr>
        <w:t>s</w:t>
      </w:r>
      <w:r w:rsidR="002C7FBB" w:rsidRPr="002C7FBB">
        <w:rPr>
          <w:lang w:val="en-US"/>
        </w:rPr>
        <w:t xml:space="preserve"> deliver up to 83% of nicotine</w:t>
      </w:r>
      <w:r w:rsidR="00FC6890">
        <w:rPr>
          <w:lang w:val="en-US"/>
        </w:rPr>
        <w:t xml:space="preserve"> while</w:t>
      </w:r>
      <w:r w:rsidR="002C7FBB" w:rsidRPr="002C7FBB">
        <w:rPr>
          <w:lang w:val="en-US"/>
        </w:rPr>
        <w:t xml:space="preserve"> reduc</w:t>
      </w:r>
      <w:r w:rsidR="00FC6890">
        <w:rPr>
          <w:lang w:val="en-US"/>
        </w:rPr>
        <w:t>ing</w:t>
      </w:r>
      <w:r w:rsidR="002C7FBB" w:rsidRPr="002C7FBB">
        <w:rPr>
          <w:lang w:val="en-US"/>
        </w:rPr>
        <w:t xml:space="preserve"> levels of harmful toxicants by at least 62%</w:t>
      </w:r>
      <w:r w:rsidR="00FC6890">
        <w:rPr>
          <w:lang w:val="en-US"/>
        </w:rPr>
        <w:t>,</w:t>
      </w:r>
      <w:r w:rsidR="002C7FBB" w:rsidRPr="002C7FBB">
        <w:rPr>
          <w:lang w:val="en-US"/>
        </w:rPr>
        <w:t xml:space="preserve"> and particulate matter by at least 75%</w:t>
      </w:r>
      <w:r w:rsidR="001D07FC">
        <w:rPr>
          <w:lang w:val="en-US"/>
        </w:rPr>
        <w:t>.</w:t>
      </w:r>
      <w:r w:rsidR="002C7FBB">
        <w:rPr>
          <w:lang w:val="en-US"/>
        </w:rPr>
        <w:t xml:space="preserve"> (</w:t>
      </w:r>
      <w:hyperlink r:id="rId6" w:history="1">
        <w:r w:rsidR="002C7FBB" w:rsidRPr="008457C4">
          <w:rPr>
            <w:rStyle w:val="Hyperlink"/>
            <w:lang w:val="en-US"/>
          </w:rPr>
          <w:t>https://tobaccocontrol.bmj.com/content/28/5/582</w:t>
        </w:r>
      </w:hyperlink>
      <w:r w:rsidR="002C7FBB">
        <w:rPr>
          <w:lang w:val="en-US"/>
        </w:rPr>
        <w:t xml:space="preserve">) </w:t>
      </w:r>
    </w:p>
    <w:p w14:paraId="234D6AC7" w14:textId="6D3404F2" w:rsidR="00FE058B" w:rsidRPr="008C1FD8" w:rsidRDefault="00FE058B" w:rsidP="0027078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Modern Oral: a small pouch filled with nicotine, water and flavorings</w:t>
      </w:r>
      <w:r w:rsidR="003B2527">
        <w:rPr>
          <w:lang w:val="en-US"/>
        </w:rPr>
        <w:t xml:space="preserve"> (</w:t>
      </w:r>
      <w:r w:rsidR="00FE7723">
        <w:rPr>
          <w:lang w:val="en-US"/>
        </w:rPr>
        <w:t xml:space="preserve">no </w:t>
      </w:r>
      <w:r w:rsidR="00FC6890">
        <w:rPr>
          <w:lang w:val="en-US"/>
        </w:rPr>
        <w:t>tobacco</w:t>
      </w:r>
      <w:r w:rsidR="003B2527">
        <w:rPr>
          <w:lang w:val="en-US"/>
        </w:rPr>
        <w:t>)</w:t>
      </w:r>
      <w:r w:rsidR="00FC6890">
        <w:rPr>
          <w:lang w:val="en-US"/>
        </w:rPr>
        <w:t>,</w:t>
      </w:r>
      <w:r w:rsidR="003B2527">
        <w:rPr>
          <w:lang w:val="en-US"/>
        </w:rPr>
        <w:t xml:space="preserve"> </w:t>
      </w:r>
      <w:r>
        <w:rPr>
          <w:lang w:val="en-US"/>
        </w:rPr>
        <w:t>place</w:t>
      </w:r>
      <w:r w:rsidR="00766FCF">
        <w:rPr>
          <w:lang w:val="en-US"/>
        </w:rPr>
        <w:t>d</w:t>
      </w:r>
      <w:r>
        <w:rPr>
          <w:lang w:val="en-US"/>
        </w:rPr>
        <w:t xml:space="preserve"> between the upper lip and gum, where the nicotine and flavors are released</w:t>
      </w:r>
      <w:r w:rsidR="00766FCF">
        <w:rPr>
          <w:lang w:val="en-US"/>
        </w:rPr>
        <w:t xml:space="preserve"> over 20-30 minutes.</w:t>
      </w:r>
    </w:p>
    <w:p w14:paraId="4A199AE4" w14:textId="5514D7E8" w:rsidR="00840A59" w:rsidRDefault="00555C70" w:rsidP="00270783">
      <w:pPr>
        <w:jc w:val="both"/>
        <w:rPr>
          <w:lang w:val="en-US"/>
        </w:rPr>
      </w:pPr>
      <w:r>
        <w:rPr>
          <w:lang w:val="en-US"/>
        </w:rPr>
        <w:t>BAT reported</w:t>
      </w:r>
      <w:r w:rsidR="00B362BA">
        <w:rPr>
          <w:lang w:val="en-US"/>
        </w:rPr>
        <w:t xml:space="preserve"> </w:t>
      </w:r>
      <w:r w:rsidR="00766FCF">
        <w:rPr>
          <w:lang w:val="en-US"/>
        </w:rPr>
        <w:t xml:space="preserve">Group </w:t>
      </w:r>
      <w:r w:rsidR="00B362BA">
        <w:rPr>
          <w:lang w:val="en-US"/>
        </w:rPr>
        <w:t xml:space="preserve">revenue growth </w:t>
      </w:r>
      <w:r>
        <w:rPr>
          <w:lang w:val="en-US"/>
        </w:rPr>
        <w:t>of</w:t>
      </w:r>
      <w:r w:rsidR="00B362BA">
        <w:rPr>
          <w:lang w:val="en-US"/>
        </w:rPr>
        <w:t xml:space="preserve"> 4.4%</w:t>
      </w:r>
      <w:r>
        <w:rPr>
          <w:lang w:val="en-US"/>
        </w:rPr>
        <w:t xml:space="preserve"> over the first half of 2023</w:t>
      </w:r>
      <w:r w:rsidR="00B362BA">
        <w:rPr>
          <w:lang w:val="en-US"/>
        </w:rPr>
        <w:t>. Traditional combustible revenue was up 1.8% while revenue from NGP</w:t>
      </w:r>
      <w:r w:rsidR="00766FCF">
        <w:rPr>
          <w:lang w:val="en-US"/>
        </w:rPr>
        <w:t>s</w:t>
      </w:r>
      <w:r w:rsidR="00B362BA">
        <w:rPr>
          <w:lang w:val="en-US"/>
        </w:rPr>
        <w:t xml:space="preserve"> was up 29%. NGP</w:t>
      </w:r>
      <w:r w:rsidR="0086340F">
        <w:rPr>
          <w:lang w:val="en-US"/>
        </w:rPr>
        <w:t>s</w:t>
      </w:r>
      <w:r w:rsidR="00B362BA">
        <w:rPr>
          <w:lang w:val="en-US"/>
        </w:rPr>
        <w:t xml:space="preserve"> now makes up </w:t>
      </w:r>
      <w:r w:rsidR="00B362BA" w:rsidRPr="000366DB">
        <w:rPr>
          <w:lang w:val="en-US"/>
        </w:rPr>
        <w:t>1</w:t>
      </w:r>
      <w:r w:rsidR="00B506A1" w:rsidRPr="000366DB">
        <w:rPr>
          <w:lang w:val="en-US"/>
        </w:rPr>
        <w:t>2</w:t>
      </w:r>
      <w:r w:rsidR="00B362BA" w:rsidRPr="000366DB">
        <w:rPr>
          <w:lang w:val="en-US"/>
        </w:rPr>
        <w:t>%</w:t>
      </w:r>
      <w:r w:rsidR="00B362BA">
        <w:rPr>
          <w:lang w:val="en-US"/>
        </w:rPr>
        <w:t xml:space="preserve"> of Group sales and this will become </w:t>
      </w:r>
      <w:r w:rsidR="003975F1">
        <w:rPr>
          <w:lang w:val="en-US"/>
        </w:rPr>
        <w:t>a greater part of the mix going forward.</w:t>
      </w:r>
    </w:p>
    <w:p w14:paraId="67DB3FF1" w14:textId="470B3EB5" w:rsidR="00721493" w:rsidRDefault="00181DA5" w:rsidP="00270783">
      <w:pPr>
        <w:jc w:val="both"/>
        <w:rPr>
          <w:lang w:val="en-US"/>
        </w:rPr>
      </w:pPr>
      <w:r>
        <w:rPr>
          <w:noProof/>
        </w:rPr>
        <w:drawing>
          <wp:inline distT="0" distB="0" distL="0" distR="0" wp14:anchorId="15717242" wp14:editId="310E59FA">
            <wp:extent cx="5991225" cy="3381375"/>
            <wp:effectExtent l="0" t="0" r="0" b="0"/>
            <wp:docPr id="184133192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6AFDC3C-219A-0533-97E9-3C772C6626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591F9D5" w14:textId="21C37BF2" w:rsidR="009823E5" w:rsidRDefault="009823E5" w:rsidP="00270783">
      <w:pPr>
        <w:jc w:val="both"/>
        <w:rPr>
          <w:lang w:val="en-US"/>
        </w:rPr>
      </w:pPr>
      <w:r>
        <w:rPr>
          <w:lang w:val="en-US"/>
        </w:rPr>
        <w:t xml:space="preserve">Whereas </w:t>
      </w:r>
      <w:r w:rsidR="00963C6B">
        <w:rPr>
          <w:lang w:val="en-US"/>
        </w:rPr>
        <w:t xml:space="preserve">combustible </w:t>
      </w:r>
      <w:r>
        <w:rPr>
          <w:lang w:val="en-US"/>
        </w:rPr>
        <w:t xml:space="preserve">volumes </w:t>
      </w:r>
      <w:r w:rsidR="00963C6B">
        <w:rPr>
          <w:lang w:val="en-US"/>
        </w:rPr>
        <w:t xml:space="preserve">are decreasing, the NGP category is drawing in new users, either through existing combustible smokers switching to </w:t>
      </w:r>
      <w:r w:rsidR="0086340F">
        <w:rPr>
          <w:lang w:val="en-US"/>
        </w:rPr>
        <w:t>NGPs</w:t>
      </w:r>
      <w:r w:rsidR="00766FCF">
        <w:rPr>
          <w:lang w:val="en-US"/>
        </w:rPr>
        <w:t xml:space="preserve"> </w:t>
      </w:r>
      <w:r w:rsidR="0086340F">
        <w:rPr>
          <w:lang w:val="en-US"/>
        </w:rPr>
        <w:t>as well as</w:t>
      </w:r>
      <w:r w:rsidR="00963C6B">
        <w:rPr>
          <w:lang w:val="en-US"/>
        </w:rPr>
        <w:t xml:space="preserve"> consumers who are new to the nicotine category</w:t>
      </w:r>
      <w:r w:rsidR="00C5344E">
        <w:rPr>
          <w:lang w:val="en-US"/>
        </w:rPr>
        <w:t xml:space="preserve"> as a whole</w:t>
      </w:r>
      <w:r w:rsidR="00963C6B">
        <w:rPr>
          <w:lang w:val="en-US"/>
        </w:rPr>
        <w:t>.</w:t>
      </w:r>
    </w:p>
    <w:p w14:paraId="5FABD11E" w14:textId="60127AD5" w:rsidR="009823E5" w:rsidRDefault="00181DA5" w:rsidP="00270783">
      <w:pPr>
        <w:jc w:val="both"/>
        <w:rPr>
          <w:b/>
          <w:bCs/>
          <w:lang w:val="en-US"/>
        </w:rPr>
      </w:pPr>
      <w:r>
        <w:rPr>
          <w:noProof/>
        </w:rPr>
        <w:lastRenderedPageBreak/>
        <w:drawing>
          <wp:inline distT="0" distB="0" distL="0" distR="0" wp14:anchorId="3FFF369D" wp14:editId="43CF4B13">
            <wp:extent cx="5762625" cy="3305175"/>
            <wp:effectExtent l="0" t="0" r="0" b="0"/>
            <wp:docPr id="92954633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13E8D1E-B92A-4989-8980-3A4C531A4D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54E49FA" w14:textId="5D842727" w:rsidR="009823E5" w:rsidRDefault="009823E5" w:rsidP="00270783">
      <w:pPr>
        <w:jc w:val="both"/>
        <w:rPr>
          <w:lang w:val="en-US"/>
        </w:rPr>
      </w:pPr>
      <w:r w:rsidRPr="009823E5">
        <w:rPr>
          <w:lang w:val="en-US"/>
        </w:rPr>
        <w:t>Source</w:t>
      </w:r>
      <w:r>
        <w:rPr>
          <w:lang w:val="en-US"/>
        </w:rPr>
        <w:t>: BATS; Kantar Group</w:t>
      </w:r>
    </w:p>
    <w:p w14:paraId="05472B6F" w14:textId="1BABCDCE" w:rsidR="002F1518" w:rsidRPr="0062090C" w:rsidRDefault="00631E57" w:rsidP="00270783">
      <w:pPr>
        <w:jc w:val="both"/>
        <w:rPr>
          <w:lang w:val="en-US"/>
        </w:rPr>
      </w:pPr>
      <w:r>
        <w:rPr>
          <w:lang w:val="en-US"/>
        </w:rPr>
        <w:t>BAT has positioned itself well in the vaping market</w:t>
      </w:r>
      <w:r w:rsidR="00555C70">
        <w:rPr>
          <w:lang w:val="en-US"/>
        </w:rPr>
        <w:t>,</w:t>
      </w:r>
      <w:r>
        <w:rPr>
          <w:lang w:val="en-US"/>
        </w:rPr>
        <w:t xml:space="preserve"> with a leading market share globally and in the US </w:t>
      </w:r>
      <w:r w:rsidR="00555C70">
        <w:rPr>
          <w:lang w:val="en-US"/>
        </w:rPr>
        <w:t>of</w:t>
      </w:r>
      <w:r>
        <w:rPr>
          <w:lang w:val="en-US"/>
        </w:rPr>
        <w:t xml:space="preserve"> 36% and 47%</w:t>
      </w:r>
      <w:r w:rsidR="00DF1BDE">
        <w:rPr>
          <w:lang w:val="en-US"/>
        </w:rPr>
        <w:t>,</w:t>
      </w:r>
      <w:r>
        <w:rPr>
          <w:lang w:val="en-US"/>
        </w:rPr>
        <w:t xml:space="preserve"> respectively; </w:t>
      </w:r>
      <w:r w:rsidR="00100985">
        <w:rPr>
          <w:lang w:val="en-US"/>
        </w:rPr>
        <w:t>North America</w:t>
      </w:r>
      <w:r w:rsidR="00555C70">
        <w:rPr>
          <w:lang w:val="en-US"/>
        </w:rPr>
        <w:t xml:space="preserve"> alone</w:t>
      </w:r>
      <w:r w:rsidRPr="002F1518">
        <w:rPr>
          <w:lang w:val="en-US"/>
        </w:rPr>
        <w:t xml:space="preserve"> has 44% revenue share of the global vaping market</w:t>
      </w:r>
      <w:r>
        <w:rPr>
          <w:lang w:val="en-US"/>
        </w:rPr>
        <w:t>.</w:t>
      </w:r>
      <w:r w:rsidR="009A53BB">
        <w:rPr>
          <w:lang w:val="en-US"/>
        </w:rPr>
        <w:t xml:space="preserve"> </w:t>
      </w:r>
      <w:r w:rsidR="00555C70">
        <w:rPr>
          <w:lang w:val="en-US"/>
        </w:rPr>
        <w:t>Vaping is clearly</w:t>
      </w:r>
      <w:r w:rsidR="00DF1BDE">
        <w:rPr>
          <w:lang w:val="en-US"/>
        </w:rPr>
        <w:t xml:space="preserve"> a growing business</w:t>
      </w:r>
      <w:r w:rsidR="000E7DDB">
        <w:rPr>
          <w:lang w:val="en-US"/>
        </w:rPr>
        <w:t>.</w:t>
      </w:r>
      <w:r w:rsidR="00555C70">
        <w:rPr>
          <w:lang w:val="en-US"/>
        </w:rPr>
        <w:t xml:space="preserve"> </w:t>
      </w:r>
      <w:r w:rsidR="0062090C" w:rsidRPr="0062090C">
        <w:rPr>
          <w:lang w:val="en-US"/>
        </w:rPr>
        <w:t>Given</w:t>
      </w:r>
      <w:r w:rsidR="0062090C">
        <w:rPr>
          <w:lang w:val="en-US"/>
        </w:rPr>
        <w:t xml:space="preserve"> </w:t>
      </w:r>
      <w:r w:rsidR="00555C70">
        <w:rPr>
          <w:lang w:val="en-US"/>
        </w:rPr>
        <w:t xml:space="preserve">that </w:t>
      </w:r>
      <w:r w:rsidR="00100985">
        <w:rPr>
          <w:lang w:val="en-US"/>
        </w:rPr>
        <w:t xml:space="preserve">existing </w:t>
      </w:r>
      <w:r w:rsidR="0062090C">
        <w:rPr>
          <w:lang w:val="en-US"/>
        </w:rPr>
        <w:t>combustible products are high margin, the question is, will the growth in NGP</w:t>
      </w:r>
      <w:r w:rsidR="00FC784D">
        <w:rPr>
          <w:lang w:val="en-US"/>
        </w:rPr>
        <w:t>s</w:t>
      </w:r>
      <w:r w:rsidR="0062090C">
        <w:rPr>
          <w:lang w:val="en-US"/>
        </w:rPr>
        <w:t xml:space="preserve"> be margin accretive or dilutive</w:t>
      </w:r>
      <w:r w:rsidR="00100985">
        <w:rPr>
          <w:lang w:val="en-US"/>
        </w:rPr>
        <w:t>?</w:t>
      </w:r>
    </w:p>
    <w:p w14:paraId="7D575A3F" w14:textId="42F908AB" w:rsidR="009823E5" w:rsidRDefault="00B733BB" w:rsidP="00270783">
      <w:pPr>
        <w:jc w:val="both"/>
        <w:rPr>
          <w:b/>
          <w:bCs/>
          <w:lang w:val="en-US"/>
        </w:rPr>
      </w:pPr>
      <w:r w:rsidRPr="00B733BB">
        <w:rPr>
          <w:b/>
          <w:bCs/>
          <w:noProof/>
          <w:lang w:val="en-US"/>
        </w:rPr>
        <w:drawing>
          <wp:inline distT="0" distB="0" distL="0" distR="0" wp14:anchorId="66CE64A8" wp14:editId="509A8BD1">
            <wp:extent cx="5731510" cy="2811780"/>
            <wp:effectExtent l="0" t="0" r="2540" b="7620"/>
            <wp:docPr id="1908204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20437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CA6CC" w14:textId="7100D5D5" w:rsidR="00075196" w:rsidRPr="00075196" w:rsidRDefault="00075196" w:rsidP="00270783">
      <w:pPr>
        <w:jc w:val="both"/>
        <w:rPr>
          <w:lang w:val="en-US"/>
        </w:rPr>
      </w:pPr>
      <w:r w:rsidRPr="00075196">
        <w:rPr>
          <w:lang w:val="en-US"/>
        </w:rPr>
        <w:t>Source: BAT H1 2023 results presentation</w:t>
      </w:r>
    </w:p>
    <w:p w14:paraId="7CAC48D6" w14:textId="2697707A" w:rsidR="009957FE" w:rsidRPr="009957FE" w:rsidRDefault="009957FE" w:rsidP="00270783">
      <w:pPr>
        <w:jc w:val="both"/>
        <w:rPr>
          <w:lang w:val="en-US"/>
        </w:rPr>
      </w:pPr>
      <w:r w:rsidRPr="009957FE">
        <w:rPr>
          <w:lang w:val="en-US"/>
        </w:rPr>
        <w:t>NGPs are at</w:t>
      </w:r>
      <w:r>
        <w:rPr>
          <w:lang w:val="en-US"/>
        </w:rPr>
        <w:t>,</w:t>
      </w:r>
      <w:r w:rsidRPr="009957FE">
        <w:rPr>
          <w:lang w:val="en-US"/>
        </w:rPr>
        <w:t xml:space="preserve"> or trending towards</w:t>
      </w:r>
      <w:r>
        <w:rPr>
          <w:lang w:val="en-US"/>
        </w:rPr>
        <w:t>, combustible gross margins. The dynamics in the trending margins for e-cigarette</w:t>
      </w:r>
      <w:r w:rsidR="006D54C8">
        <w:rPr>
          <w:lang w:val="en-US"/>
        </w:rPr>
        <w:t>s</w:t>
      </w:r>
      <w:r w:rsidR="00555C70">
        <w:rPr>
          <w:lang w:val="en-US"/>
        </w:rPr>
        <w:t xml:space="preserve"> are that</w:t>
      </w:r>
      <w:r>
        <w:rPr>
          <w:lang w:val="en-US"/>
        </w:rPr>
        <w:t xml:space="preserve"> you either </w:t>
      </w:r>
      <w:r w:rsidR="006D54C8">
        <w:rPr>
          <w:lang w:val="en-US"/>
        </w:rPr>
        <w:t xml:space="preserve">get a </w:t>
      </w:r>
      <w:r>
        <w:rPr>
          <w:lang w:val="en-US"/>
        </w:rPr>
        <w:t xml:space="preserve">refillable or </w:t>
      </w:r>
      <w:r w:rsidR="006D54C8">
        <w:rPr>
          <w:lang w:val="en-US"/>
        </w:rPr>
        <w:t xml:space="preserve">a </w:t>
      </w:r>
      <w:r>
        <w:rPr>
          <w:lang w:val="en-US"/>
        </w:rPr>
        <w:t>disposable product. For the refillable pods or cartridges, you first buy the e-cigarette device as a once-off (which is low margin and often subsidized by the company)</w:t>
      </w:r>
      <w:r w:rsidR="00555C70">
        <w:rPr>
          <w:lang w:val="en-US"/>
        </w:rPr>
        <w:t>,</w:t>
      </w:r>
      <w:r>
        <w:rPr>
          <w:lang w:val="en-US"/>
        </w:rPr>
        <w:t xml:space="preserve"> and then you continuously refill the device with nicotine liquid which is higher margin.</w:t>
      </w:r>
      <w:r w:rsidR="00984C57">
        <w:rPr>
          <w:lang w:val="en-US"/>
        </w:rPr>
        <w:t xml:space="preserve"> Thus, we expect vaping margins to increase further.</w:t>
      </w:r>
    </w:p>
    <w:p w14:paraId="63EC61E7" w14:textId="548E4C16" w:rsidR="00A2109E" w:rsidRPr="009957FE" w:rsidRDefault="009957FE" w:rsidP="00270783">
      <w:pPr>
        <w:jc w:val="both"/>
        <w:rPr>
          <w:lang w:val="en-US"/>
        </w:rPr>
      </w:pPr>
      <w:r w:rsidRPr="009957FE">
        <w:rPr>
          <w:lang w:val="en-US"/>
        </w:rPr>
        <w:lastRenderedPageBreak/>
        <w:t>On an operating</w:t>
      </w:r>
      <w:r>
        <w:rPr>
          <w:lang w:val="en-US"/>
        </w:rPr>
        <w:t xml:space="preserve"> </w:t>
      </w:r>
      <w:r w:rsidRPr="009957FE">
        <w:rPr>
          <w:lang w:val="en-US"/>
        </w:rPr>
        <w:t>margin</w:t>
      </w:r>
      <w:r>
        <w:rPr>
          <w:lang w:val="en-US"/>
        </w:rPr>
        <w:t xml:space="preserve"> basis, there has been a significant amount of R&amp;D going into NGP</w:t>
      </w:r>
      <w:r w:rsidR="00555C70">
        <w:rPr>
          <w:lang w:val="en-US"/>
        </w:rPr>
        <w:t>s</w:t>
      </w:r>
      <w:r>
        <w:rPr>
          <w:lang w:val="en-US"/>
        </w:rPr>
        <w:t xml:space="preserve"> which gets deducted from gross profit.</w:t>
      </w:r>
      <w:r w:rsidR="00646ABC">
        <w:rPr>
          <w:lang w:val="en-US"/>
        </w:rPr>
        <w:t xml:space="preserve"> This has resulted in the NGP portfolio being loss making at an operating profit level</w:t>
      </w:r>
      <w:r w:rsidR="009A797A">
        <w:rPr>
          <w:lang w:val="en-US"/>
        </w:rPr>
        <w:t xml:space="preserve">, </w:t>
      </w:r>
      <w:r w:rsidR="000F7739">
        <w:rPr>
          <w:lang w:val="en-US"/>
        </w:rPr>
        <w:t xml:space="preserve">to the amount of </w:t>
      </w:r>
      <w:r w:rsidR="000F7739" w:rsidRPr="000F7739">
        <w:rPr>
          <w:lang w:val="en-US"/>
        </w:rPr>
        <w:t>£</w:t>
      </w:r>
      <w:r w:rsidR="000F7739">
        <w:rPr>
          <w:lang w:val="en-US"/>
        </w:rPr>
        <w:t>1bn in 2020</w:t>
      </w:r>
      <w:r w:rsidR="009A797A">
        <w:rPr>
          <w:lang w:val="en-US"/>
        </w:rPr>
        <w:t>. Even so,</w:t>
      </w:r>
      <w:r w:rsidR="000F7739">
        <w:rPr>
          <w:lang w:val="en-US"/>
        </w:rPr>
        <w:t xml:space="preserve"> BAT</w:t>
      </w:r>
      <w:r w:rsidR="00530D89">
        <w:rPr>
          <w:lang w:val="en-US"/>
        </w:rPr>
        <w:t xml:space="preserve"> is expected to</w:t>
      </w:r>
      <w:r w:rsidR="000F7739">
        <w:rPr>
          <w:lang w:val="en-US"/>
        </w:rPr>
        <w:t xml:space="preserve"> generat</w:t>
      </w:r>
      <w:r w:rsidR="00530D89">
        <w:rPr>
          <w:lang w:val="en-US"/>
        </w:rPr>
        <w:t>e</w:t>
      </w:r>
      <w:r w:rsidR="000F7739">
        <w:rPr>
          <w:lang w:val="en-US"/>
        </w:rPr>
        <w:t xml:space="preserve"> free cash flow of </w:t>
      </w:r>
      <w:r w:rsidR="000F7739" w:rsidRPr="000F7739">
        <w:rPr>
          <w:lang w:val="en-US"/>
        </w:rPr>
        <w:t>£</w:t>
      </w:r>
      <w:r w:rsidR="000F7739">
        <w:rPr>
          <w:lang w:val="en-US"/>
        </w:rPr>
        <w:t>8.</w:t>
      </w:r>
      <w:r w:rsidR="00530D89">
        <w:rPr>
          <w:lang w:val="en-US"/>
        </w:rPr>
        <w:t>6</w:t>
      </w:r>
      <w:r w:rsidR="000F7739">
        <w:rPr>
          <w:lang w:val="en-US"/>
        </w:rPr>
        <w:t>bn</w:t>
      </w:r>
      <w:r w:rsidR="00530D89">
        <w:rPr>
          <w:lang w:val="en-US"/>
        </w:rPr>
        <w:t xml:space="preserve"> </w:t>
      </w:r>
      <w:r w:rsidR="00C35587">
        <w:rPr>
          <w:lang w:val="en-US"/>
        </w:rPr>
        <w:t xml:space="preserve">over its entire portfolio (combustibles plus NGPs) </w:t>
      </w:r>
      <w:r w:rsidR="00530D89">
        <w:rPr>
          <w:lang w:val="en-US"/>
        </w:rPr>
        <w:t>for FY</w:t>
      </w:r>
      <w:r w:rsidR="000F7739">
        <w:rPr>
          <w:lang w:val="en-US"/>
        </w:rPr>
        <w:t xml:space="preserve"> </w:t>
      </w:r>
      <w:r w:rsidR="000F7739" w:rsidRPr="00530D89">
        <w:rPr>
          <w:lang w:val="en-US"/>
        </w:rPr>
        <w:t>202</w:t>
      </w:r>
      <w:r w:rsidR="00530D89" w:rsidRPr="00270783">
        <w:rPr>
          <w:lang w:val="en-US"/>
        </w:rPr>
        <w:t>3</w:t>
      </w:r>
      <w:r w:rsidR="000F7739" w:rsidRPr="00530D89">
        <w:rPr>
          <w:lang w:val="en-US"/>
        </w:rPr>
        <w:t>.</w:t>
      </w:r>
      <w:r w:rsidR="00A2109E" w:rsidRPr="00A2109E">
        <w:rPr>
          <w:lang w:val="en-US"/>
        </w:rPr>
        <w:t xml:space="preserve"> </w:t>
      </w:r>
      <w:r w:rsidR="00A2109E">
        <w:rPr>
          <w:lang w:val="en-US"/>
        </w:rPr>
        <w:t>We see sufficient runway for combustibles before the NGP portfolio takes the lead in growing cash flow for the Group</w:t>
      </w:r>
      <w:r w:rsidR="001D07FC">
        <w:rPr>
          <w:lang w:val="en-US"/>
        </w:rPr>
        <w:t>.</w:t>
      </w:r>
    </w:p>
    <w:p w14:paraId="0E278FAB" w14:textId="2ED272B8" w:rsidR="00922FD2" w:rsidRDefault="006B5615" w:rsidP="00270783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Conclusion</w:t>
      </w:r>
    </w:p>
    <w:p w14:paraId="5EFDA13B" w14:textId="126EEC51" w:rsidR="00A2109E" w:rsidRDefault="00A2109E" w:rsidP="00270783">
      <w:pPr>
        <w:jc w:val="both"/>
        <w:rPr>
          <w:lang w:val="en-US"/>
        </w:rPr>
      </w:pPr>
      <w:r>
        <w:rPr>
          <w:lang w:val="en-US"/>
        </w:rPr>
        <w:t>R</w:t>
      </w:r>
      <w:r w:rsidR="00DE4A2D">
        <w:rPr>
          <w:lang w:val="en-US"/>
        </w:rPr>
        <w:t xml:space="preserve">egulatory risks </w:t>
      </w:r>
      <w:r>
        <w:rPr>
          <w:lang w:val="en-US"/>
        </w:rPr>
        <w:t>mean</w:t>
      </w:r>
      <w:r w:rsidR="00DE4A2D">
        <w:rPr>
          <w:lang w:val="en-US"/>
        </w:rPr>
        <w:t xml:space="preserve"> that combustible volumes will continue to decline, albeit with better pricing to offset this in the short to medium term. </w:t>
      </w:r>
      <w:r>
        <w:rPr>
          <w:lang w:val="en-US"/>
        </w:rPr>
        <w:t>The</w:t>
      </w:r>
      <w:r w:rsidR="00DE4A2D">
        <w:rPr>
          <w:lang w:val="en-US"/>
        </w:rPr>
        <w:t xml:space="preserve"> FDA</w:t>
      </w:r>
      <w:r w:rsidR="00334021">
        <w:rPr>
          <w:lang w:val="en-US"/>
        </w:rPr>
        <w:t xml:space="preserve"> will move against flavors, such as menthol</w:t>
      </w:r>
      <w:r>
        <w:rPr>
          <w:lang w:val="en-US"/>
        </w:rPr>
        <w:t>,</w:t>
      </w:r>
      <w:r w:rsidR="00334021">
        <w:rPr>
          <w:lang w:val="en-US"/>
        </w:rPr>
        <w:t xml:space="preserve"> in both cigarettes and e-cigarettes</w:t>
      </w:r>
      <w:r w:rsidR="00A32DAD">
        <w:rPr>
          <w:lang w:val="en-US"/>
        </w:rPr>
        <w:t xml:space="preserve">. </w:t>
      </w:r>
      <w:r w:rsidR="00DD2CFD">
        <w:rPr>
          <w:lang w:val="en-US"/>
        </w:rPr>
        <w:t xml:space="preserve">This is important for BAT because 25% </w:t>
      </w:r>
      <w:r w:rsidR="009A797A">
        <w:rPr>
          <w:lang w:val="en-US"/>
        </w:rPr>
        <w:t>of</w:t>
      </w:r>
      <w:r w:rsidR="00DD2CFD">
        <w:rPr>
          <w:lang w:val="en-US"/>
        </w:rPr>
        <w:t xml:space="preserve"> group profits come from US menthol. </w:t>
      </w:r>
      <w:r>
        <w:rPr>
          <w:lang w:val="en-US"/>
        </w:rPr>
        <w:t>I</w:t>
      </w:r>
      <w:r w:rsidR="00A32DAD">
        <w:rPr>
          <w:lang w:val="en-US"/>
        </w:rPr>
        <w:t xml:space="preserve">n December 2022, the State of California banned menthol cigarettes and menthol flavoured e-cigarettes. </w:t>
      </w:r>
      <w:r>
        <w:rPr>
          <w:lang w:val="en-US"/>
        </w:rPr>
        <w:t xml:space="preserve">Yet </w:t>
      </w:r>
      <w:r w:rsidR="00A32DAD">
        <w:rPr>
          <w:lang w:val="en-US"/>
        </w:rPr>
        <w:t xml:space="preserve">BAT managed to retain 90% of sales through menthol users switching to normal flavoured cigarettes and e-cigarettes, as well as some </w:t>
      </w:r>
      <w:r w:rsidR="006D67F9">
        <w:rPr>
          <w:lang w:val="en-US"/>
        </w:rPr>
        <w:t xml:space="preserve">consumers </w:t>
      </w:r>
      <w:r w:rsidR="00A32DAD">
        <w:rPr>
          <w:lang w:val="en-US"/>
        </w:rPr>
        <w:t xml:space="preserve">buying </w:t>
      </w:r>
      <w:r w:rsidR="006D67F9">
        <w:rPr>
          <w:lang w:val="en-US"/>
        </w:rPr>
        <w:t xml:space="preserve">menthol from </w:t>
      </w:r>
      <w:r w:rsidR="00A32DAD">
        <w:rPr>
          <w:lang w:val="en-US"/>
        </w:rPr>
        <w:t>neighboring states.</w:t>
      </w:r>
    </w:p>
    <w:p w14:paraId="1FA7C0C0" w14:textId="3D72908B" w:rsidR="00A32DAD" w:rsidRDefault="00A2109E" w:rsidP="00270783">
      <w:pPr>
        <w:jc w:val="both"/>
        <w:rPr>
          <w:lang w:val="en-US"/>
        </w:rPr>
      </w:pPr>
      <w:r>
        <w:rPr>
          <w:lang w:val="en-US"/>
        </w:rPr>
        <w:t>BAT currently trades on a rolling forward P/E and EV/EBITDA of 6.7x and 6.9x respectively, and a dividend yield of 9.4%, with annualized earnings expected to grow in the mid to high single digits over the next 3+ years.</w:t>
      </w:r>
      <w:r w:rsidR="003E6BC2">
        <w:rPr>
          <w:lang w:val="en-US"/>
        </w:rPr>
        <w:t xml:space="preserve"> </w:t>
      </w:r>
      <w:r>
        <w:rPr>
          <w:lang w:val="en-US"/>
        </w:rPr>
        <w:t>Taking the</w:t>
      </w:r>
      <w:r w:rsidR="00A32DAD">
        <w:rPr>
          <w:lang w:val="en-US"/>
        </w:rPr>
        <w:t xml:space="preserve"> worst-case scenario and assum</w:t>
      </w:r>
      <w:r>
        <w:rPr>
          <w:lang w:val="en-US"/>
        </w:rPr>
        <w:t>ing</w:t>
      </w:r>
      <w:r w:rsidR="00A32DAD">
        <w:rPr>
          <w:lang w:val="en-US"/>
        </w:rPr>
        <w:t xml:space="preserve"> every </w:t>
      </w:r>
      <w:r w:rsidR="00984C57">
        <w:rPr>
          <w:lang w:val="en-US"/>
        </w:rPr>
        <w:t xml:space="preserve">US </w:t>
      </w:r>
      <w:r w:rsidR="00A32DAD">
        <w:rPr>
          <w:lang w:val="en-US"/>
        </w:rPr>
        <w:t>state bans every menthol product, and that every menthol user quits nicotine</w:t>
      </w:r>
      <w:r w:rsidR="006D67F9">
        <w:rPr>
          <w:lang w:val="en-US"/>
        </w:rPr>
        <w:t xml:space="preserve"> completely</w:t>
      </w:r>
      <w:r w:rsidR="00A32DAD">
        <w:rPr>
          <w:lang w:val="en-US"/>
        </w:rPr>
        <w:t xml:space="preserve"> (combustible and vaping)</w:t>
      </w:r>
      <w:r w:rsidR="00DD2CFD">
        <w:rPr>
          <w:lang w:val="en-US"/>
        </w:rPr>
        <w:t>,</w:t>
      </w:r>
      <w:r w:rsidR="00A32DAD">
        <w:rPr>
          <w:lang w:val="en-US"/>
        </w:rPr>
        <w:t xml:space="preserve"> then BAT will trade on </w:t>
      </w:r>
      <w:r w:rsidR="00CD2845">
        <w:rPr>
          <w:lang w:val="en-US"/>
        </w:rPr>
        <w:t xml:space="preserve">a still </w:t>
      </w:r>
      <w:r w:rsidR="006D54C8">
        <w:rPr>
          <w:lang w:val="en-US"/>
        </w:rPr>
        <w:t>reasonable</w:t>
      </w:r>
      <w:r w:rsidR="00CD2845">
        <w:rPr>
          <w:lang w:val="en-US"/>
        </w:rPr>
        <w:t xml:space="preserve"> </w:t>
      </w:r>
      <w:r w:rsidR="00177B3D">
        <w:rPr>
          <w:lang w:val="en-US"/>
        </w:rPr>
        <w:t>8.9</w:t>
      </w:r>
      <w:r w:rsidR="00CD2845">
        <w:rPr>
          <w:lang w:val="en-US"/>
        </w:rPr>
        <w:t>x PE and a 7.1% dividend</w:t>
      </w:r>
      <w:r w:rsidR="0078638F">
        <w:rPr>
          <w:lang w:val="en-US"/>
        </w:rPr>
        <w:t xml:space="preserve">, assuming the </w:t>
      </w:r>
      <w:r w:rsidR="00177B3D">
        <w:rPr>
          <w:lang w:val="en-US"/>
        </w:rPr>
        <w:t xml:space="preserve">share </w:t>
      </w:r>
      <w:r w:rsidR="0078638F">
        <w:rPr>
          <w:lang w:val="en-US"/>
        </w:rPr>
        <w:t>price stays constant</w:t>
      </w:r>
      <w:r w:rsidR="00CD2845">
        <w:rPr>
          <w:lang w:val="en-US"/>
        </w:rPr>
        <w:t>.</w:t>
      </w:r>
      <w:r w:rsidR="003E6BC2">
        <w:rPr>
          <w:lang w:val="en-US"/>
        </w:rPr>
        <w:t xml:space="preserve"> </w:t>
      </w:r>
    </w:p>
    <w:p w14:paraId="09511388" w14:textId="0CCB705E" w:rsidR="007772DC" w:rsidRPr="00221B1A" w:rsidRDefault="00D679EE" w:rsidP="00270783">
      <w:pPr>
        <w:jc w:val="both"/>
        <w:rPr>
          <w:lang w:val="en-US"/>
        </w:rPr>
      </w:pPr>
      <w:r>
        <w:rPr>
          <w:lang w:val="en-US"/>
        </w:rPr>
        <w:t xml:space="preserve">BAT is moving away from being a tobacco company to more of a nicotine company. </w:t>
      </w:r>
      <w:r w:rsidR="007772DC" w:rsidRPr="00FC784D">
        <w:rPr>
          <w:lang w:val="en-US"/>
        </w:rPr>
        <w:t>The transformation to a less harmful product portfolio</w:t>
      </w:r>
      <w:r w:rsidR="00530D89">
        <w:rPr>
          <w:lang w:val="en-US"/>
        </w:rPr>
        <w:t xml:space="preserve"> which has a </w:t>
      </w:r>
      <w:r w:rsidR="00530D89" w:rsidRPr="00221B1A">
        <w:rPr>
          <w:lang w:val="en-US"/>
        </w:rPr>
        <w:t>longer growth runway</w:t>
      </w:r>
      <w:r w:rsidR="00FC784D">
        <w:rPr>
          <w:lang w:val="en-US"/>
        </w:rPr>
        <w:t xml:space="preserve"> s</w:t>
      </w:r>
      <w:r w:rsidR="00221B1A">
        <w:rPr>
          <w:lang w:val="en-US"/>
        </w:rPr>
        <w:t xml:space="preserve">hould </w:t>
      </w:r>
      <w:r w:rsidR="007772DC" w:rsidRPr="00221B1A">
        <w:rPr>
          <w:lang w:val="en-US"/>
        </w:rPr>
        <w:t>lead to a less regulated sector in time</w:t>
      </w:r>
      <w:r w:rsidR="009A797A">
        <w:rPr>
          <w:lang w:val="en-US"/>
        </w:rPr>
        <w:t xml:space="preserve"> – and it will</w:t>
      </w:r>
      <w:r w:rsidR="007772DC" w:rsidRPr="00221B1A">
        <w:rPr>
          <w:lang w:val="en-US"/>
        </w:rPr>
        <w:t xml:space="preserve"> still be a </w:t>
      </w:r>
      <w:r w:rsidR="003E6BC2" w:rsidRPr="00221B1A">
        <w:rPr>
          <w:lang w:val="en-US"/>
        </w:rPr>
        <w:t>money</w:t>
      </w:r>
      <w:r w:rsidR="003E6BC2">
        <w:rPr>
          <w:lang w:val="en-US"/>
        </w:rPr>
        <w:t>-making</w:t>
      </w:r>
      <w:r w:rsidR="007772DC" w:rsidRPr="00221B1A">
        <w:rPr>
          <w:lang w:val="en-US"/>
        </w:rPr>
        <w:t xml:space="preserve"> machine</w:t>
      </w:r>
      <w:r w:rsidR="00FC784D">
        <w:rPr>
          <w:lang w:val="en-US"/>
        </w:rPr>
        <w:t xml:space="preserve">. </w:t>
      </w:r>
    </w:p>
    <w:p w14:paraId="3BE31196" w14:textId="11C18794" w:rsidR="00C1015E" w:rsidRDefault="002836FD" w:rsidP="00270783">
      <w:pPr>
        <w:jc w:val="both"/>
        <w:rPr>
          <w:lang w:val="en-US"/>
        </w:rPr>
      </w:pPr>
      <w:r>
        <w:rPr>
          <w:lang w:val="en-US"/>
        </w:rPr>
        <w:t>Ends</w:t>
      </w:r>
    </w:p>
    <w:p w14:paraId="30F93ED9" w14:textId="4F7F5785" w:rsidR="002836FD" w:rsidRPr="00F474CF" w:rsidRDefault="002836FD" w:rsidP="00270783">
      <w:pPr>
        <w:jc w:val="both"/>
        <w:rPr>
          <w:lang w:val="en-US"/>
        </w:rPr>
      </w:pPr>
      <w:r>
        <w:rPr>
          <w:lang w:val="en-US"/>
        </w:rPr>
        <w:t>*Philip Short is a senior equity analyst at Flagship Asset Management</w:t>
      </w:r>
      <w:r w:rsidR="000A14D4">
        <w:rPr>
          <w:lang w:val="en-US"/>
        </w:rPr>
        <w:t>.</w:t>
      </w:r>
    </w:p>
    <w:sectPr w:rsidR="002836FD" w:rsidRPr="00F47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exta">
    <w:altName w:val="Cambria"/>
    <w:panose1 w:val="020B0604020202020204"/>
    <w:charset w:val="00"/>
    <w:family w:val="auto"/>
    <w:pitch w:val="variable"/>
    <w:sig w:usb0="A000002F" w:usb1="5000246B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re Baskerville">
    <w:altName w:val="Cambria"/>
    <w:panose1 w:val="020B0604020202020204"/>
    <w:charset w:val="00"/>
    <w:family w:val="auto"/>
    <w:pitch w:val="variable"/>
    <w:sig w:usb0="A00000BF" w:usb1="50000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30A73"/>
    <w:multiLevelType w:val="hybridMultilevel"/>
    <w:tmpl w:val="F94EAA9E"/>
    <w:lvl w:ilvl="0" w:tplc="CD721960">
      <w:numFmt w:val="bullet"/>
      <w:lvlText w:val="-"/>
      <w:lvlJc w:val="left"/>
      <w:pPr>
        <w:ind w:left="720" w:hanging="360"/>
      </w:pPr>
      <w:rPr>
        <w:rFonts w:ascii="Texta" w:eastAsiaTheme="minorHAnsi" w:hAnsi="Texta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96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CE"/>
    <w:rsid w:val="000366DB"/>
    <w:rsid w:val="00075196"/>
    <w:rsid w:val="000A14D4"/>
    <w:rsid w:val="000B0408"/>
    <w:rsid w:val="000E631F"/>
    <w:rsid w:val="000E7DDB"/>
    <w:rsid w:val="000F7739"/>
    <w:rsid w:val="00100985"/>
    <w:rsid w:val="00113318"/>
    <w:rsid w:val="001279D8"/>
    <w:rsid w:val="00177B3D"/>
    <w:rsid w:val="00181DA5"/>
    <w:rsid w:val="00185E83"/>
    <w:rsid w:val="001B4671"/>
    <w:rsid w:val="001D07FC"/>
    <w:rsid w:val="00221B1A"/>
    <w:rsid w:val="00270783"/>
    <w:rsid w:val="002836FD"/>
    <w:rsid w:val="002C7FBB"/>
    <w:rsid w:val="002D2B27"/>
    <w:rsid w:val="002F1518"/>
    <w:rsid w:val="00334021"/>
    <w:rsid w:val="003872D0"/>
    <w:rsid w:val="003975F1"/>
    <w:rsid w:val="003B2527"/>
    <w:rsid w:val="003D11EC"/>
    <w:rsid w:val="003E6BC2"/>
    <w:rsid w:val="004058BF"/>
    <w:rsid w:val="004174F4"/>
    <w:rsid w:val="00454F33"/>
    <w:rsid w:val="004574FE"/>
    <w:rsid w:val="00471F3D"/>
    <w:rsid w:val="004B5FA2"/>
    <w:rsid w:val="004D7C9E"/>
    <w:rsid w:val="00530D89"/>
    <w:rsid w:val="005353A0"/>
    <w:rsid w:val="00555C70"/>
    <w:rsid w:val="005A2BCE"/>
    <w:rsid w:val="0062090C"/>
    <w:rsid w:val="00631E57"/>
    <w:rsid w:val="00646ABC"/>
    <w:rsid w:val="00676671"/>
    <w:rsid w:val="00690F0A"/>
    <w:rsid w:val="006B5615"/>
    <w:rsid w:val="006C4210"/>
    <w:rsid w:val="006D54C8"/>
    <w:rsid w:val="006D67F9"/>
    <w:rsid w:val="00721493"/>
    <w:rsid w:val="00747726"/>
    <w:rsid w:val="00766FCF"/>
    <w:rsid w:val="007772DC"/>
    <w:rsid w:val="0078638F"/>
    <w:rsid w:val="00840A59"/>
    <w:rsid w:val="0086340F"/>
    <w:rsid w:val="008750BB"/>
    <w:rsid w:val="008A168C"/>
    <w:rsid w:val="008C1FD8"/>
    <w:rsid w:val="00920A09"/>
    <w:rsid w:val="00922FD2"/>
    <w:rsid w:val="00932448"/>
    <w:rsid w:val="00953A17"/>
    <w:rsid w:val="00962AF2"/>
    <w:rsid w:val="00963C6B"/>
    <w:rsid w:val="009823E5"/>
    <w:rsid w:val="00984C57"/>
    <w:rsid w:val="009957FE"/>
    <w:rsid w:val="009A53BB"/>
    <w:rsid w:val="009A797A"/>
    <w:rsid w:val="009B2303"/>
    <w:rsid w:val="00A2109E"/>
    <w:rsid w:val="00A32DAD"/>
    <w:rsid w:val="00A843C2"/>
    <w:rsid w:val="00AF17F6"/>
    <w:rsid w:val="00B334B4"/>
    <w:rsid w:val="00B362BA"/>
    <w:rsid w:val="00B506A1"/>
    <w:rsid w:val="00B733BB"/>
    <w:rsid w:val="00C0239C"/>
    <w:rsid w:val="00C1015E"/>
    <w:rsid w:val="00C35587"/>
    <w:rsid w:val="00C5344E"/>
    <w:rsid w:val="00CA6E75"/>
    <w:rsid w:val="00CD2845"/>
    <w:rsid w:val="00D679EE"/>
    <w:rsid w:val="00D95775"/>
    <w:rsid w:val="00DD2CFD"/>
    <w:rsid w:val="00DE4A2D"/>
    <w:rsid w:val="00DF1BDE"/>
    <w:rsid w:val="00E7778D"/>
    <w:rsid w:val="00F145CE"/>
    <w:rsid w:val="00F474CF"/>
    <w:rsid w:val="00F73CCD"/>
    <w:rsid w:val="00F828AE"/>
    <w:rsid w:val="00FA2A00"/>
    <w:rsid w:val="00FB385E"/>
    <w:rsid w:val="00FC6890"/>
    <w:rsid w:val="00FC784D"/>
    <w:rsid w:val="00FE058B"/>
    <w:rsid w:val="00F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82F0F4D"/>
  <w15:chartTrackingRefBased/>
  <w15:docId w15:val="{E5BA7FF9-1698-444C-B65E-B20D7CCB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671"/>
  </w:style>
  <w:style w:type="paragraph" w:styleId="Heading1">
    <w:name w:val="heading 1"/>
    <w:basedOn w:val="Normal"/>
    <w:next w:val="Normal"/>
    <w:link w:val="Heading1Char"/>
    <w:uiPriority w:val="9"/>
    <w:qFormat/>
    <w:rsid w:val="003E6B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9062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46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C1F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7FBB"/>
    <w:rPr>
      <w:color w:val="B8092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F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0A0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E6BC2"/>
    <w:rPr>
      <w:rFonts w:asciiTheme="majorHAnsi" w:eastAsiaTheme="majorEastAsia" w:hAnsiTheme="majorHAnsi" w:cstheme="majorBidi"/>
      <w:color w:val="89062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baccocontrol.bmj.com/content/28/5/582" TargetMode="Externa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/SERVER8\Shares\Global\01%20Marketing%20&amp;%20Distribution\02%20FAM%20Global%20Articles\02%20Data%20for%20articles\BATs%20data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/SERVER8\Shares\Global\01%20Marketing%20&amp;%20Distribution\02%20FAM%20Global%20Articles\02%20Data%20for%20articles\BATs%20data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/SERVER8\Shares\Global\01%20Marketing%20&amp;%20Distribution\02%20FAM%20Global%20Articles\02%20Data%20for%20articles\BATs%20dat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chemeClr val="tx2"/>
                </a:solidFill>
                <a:latin typeface="Texta" panose="02000000000000000000" pitchFamily="2" charset="0"/>
                <a:ea typeface="+mn-ea"/>
                <a:cs typeface="+mn-cs"/>
              </a:defRPr>
            </a:pPr>
            <a:r>
              <a:rPr lang="en-ZA" sz="1400" b="0" i="0" u="none" strike="noStrike" kern="1200" spc="0" baseline="0">
                <a:solidFill>
                  <a:schemeClr val="tx2"/>
                </a:solidFill>
                <a:latin typeface="Texta" panose="02000000000000000000" pitchFamily="2" charset="0"/>
              </a:rPr>
              <a:t>Price of Malboro 20s (lhs) vs GDP/capita</a:t>
            </a:r>
          </a:p>
        </c:rich>
      </c:tx>
      <c:layout>
        <c:manualLayout>
          <c:xMode val="edge"/>
          <c:yMode val="edge"/>
          <c:x val="0.26606153803830207"/>
          <c:y val="3.46320188921753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chemeClr val="tx2"/>
              </a:solidFill>
              <a:latin typeface="Texta" panose="02000000000000000000" pitchFamily="2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'Malboro data'!$C$3:$C$19</c:f>
              <c:strCache>
                <c:ptCount val="17"/>
                <c:pt idx="0">
                  <c:v>Australia</c:v>
                </c:pt>
                <c:pt idx="1">
                  <c:v>New Zealand</c:v>
                </c:pt>
                <c:pt idx="2">
                  <c:v>United Kingdom</c:v>
                </c:pt>
                <c:pt idx="3">
                  <c:v>Cananda</c:v>
                </c:pt>
                <c:pt idx="4">
                  <c:v>France</c:v>
                </c:pt>
                <c:pt idx="5">
                  <c:v>Singapore</c:v>
                </c:pt>
                <c:pt idx="6">
                  <c:v>Israel</c:v>
                </c:pt>
                <c:pt idx="7">
                  <c:v>United States</c:v>
                </c:pt>
                <c:pt idx="8">
                  <c:v>Italy</c:v>
                </c:pt>
                <c:pt idx="9">
                  <c:v>India</c:v>
                </c:pt>
                <c:pt idx="10">
                  <c:v>Mexico</c:v>
                </c:pt>
                <c:pt idx="11">
                  <c:v>Malaysia</c:v>
                </c:pt>
                <c:pt idx="12">
                  <c:v>Japan</c:v>
                </c:pt>
                <c:pt idx="13">
                  <c:v>South Korea</c:v>
                </c:pt>
                <c:pt idx="14">
                  <c:v>South Africa</c:v>
                </c:pt>
                <c:pt idx="15">
                  <c:v>Brazil</c:v>
                </c:pt>
                <c:pt idx="16">
                  <c:v>Indonesia</c:v>
                </c:pt>
              </c:strCache>
            </c:strRef>
          </c:cat>
          <c:val>
            <c:numRef>
              <c:f>'Malboro data'!$D$3:$D$19</c:f>
              <c:numCache>
                <c:formatCode>0.00</c:formatCode>
                <c:ptCount val="17"/>
                <c:pt idx="0">
                  <c:v>26.7</c:v>
                </c:pt>
                <c:pt idx="1">
                  <c:v>23.53</c:v>
                </c:pt>
                <c:pt idx="2">
                  <c:v>16.03</c:v>
                </c:pt>
                <c:pt idx="3">
                  <c:v>12.86</c:v>
                </c:pt>
                <c:pt idx="4">
                  <c:v>11.55</c:v>
                </c:pt>
                <c:pt idx="5">
                  <c:v>11.26</c:v>
                </c:pt>
                <c:pt idx="6">
                  <c:v>9.5299999999999994</c:v>
                </c:pt>
                <c:pt idx="7">
                  <c:v>9</c:v>
                </c:pt>
                <c:pt idx="8">
                  <c:v>6.6</c:v>
                </c:pt>
                <c:pt idx="9">
                  <c:v>4.25</c:v>
                </c:pt>
                <c:pt idx="10">
                  <c:v>4.18</c:v>
                </c:pt>
                <c:pt idx="11">
                  <c:v>3.99</c:v>
                </c:pt>
                <c:pt idx="12">
                  <c:v>3.99</c:v>
                </c:pt>
                <c:pt idx="13">
                  <c:v>3.51</c:v>
                </c:pt>
                <c:pt idx="14">
                  <c:v>2.79</c:v>
                </c:pt>
                <c:pt idx="15">
                  <c:v>2.54</c:v>
                </c:pt>
                <c:pt idx="16">
                  <c:v>2.31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66-44E1-AD28-92A779CD38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04206639"/>
        <c:axId val="1204205199"/>
      </c:barChart>
      <c:scatterChart>
        <c:scatterStyle val="lineMarker"/>
        <c:varyColors val="0"/>
        <c:ser>
          <c:idx val="1"/>
          <c:order val="1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2"/>
                </a:solidFill>
              </a:ln>
              <a:effectLst/>
            </c:spPr>
          </c:marker>
          <c:yVal>
            <c:numRef>
              <c:f>'Malboro data'!$E$3:$E$19</c:f>
              <c:numCache>
                <c:formatCode>#,##0</c:formatCode>
                <c:ptCount val="17"/>
                <c:pt idx="0">
                  <c:v>64491</c:v>
                </c:pt>
                <c:pt idx="1">
                  <c:v>48249</c:v>
                </c:pt>
                <c:pt idx="2">
                  <c:v>45850</c:v>
                </c:pt>
                <c:pt idx="3">
                  <c:v>54966</c:v>
                </c:pt>
                <c:pt idx="4">
                  <c:v>40963</c:v>
                </c:pt>
                <c:pt idx="5">
                  <c:v>82807</c:v>
                </c:pt>
                <c:pt idx="6">
                  <c:v>54659</c:v>
                </c:pt>
                <c:pt idx="7">
                  <c:v>76398</c:v>
                </c:pt>
                <c:pt idx="8">
                  <c:v>34158</c:v>
                </c:pt>
                <c:pt idx="9">
                  <c:v>2388</c:v>
                </c:pt>
                <c:pt idx="10">
                  <c:v>11091</c:v>
                </c:pt>
                <c:pt idx="11">
                  <c:v>11972</c:v>
                </c:pt>
                <c:pt idx="12">
                  <c:v>33815</c:v>
                </c:pt>
                <c:pt idx="13">
                  <c:v>32254</c:v>
                </c:pt>
                <c:pt idx="14">
                  <c:v>6776</c:v>
                </c:pt>
                <c:pt idx="15">
                  <c:v>8917</c:v>
                </c:pt>
                <c:pt idx="16">
                  <c:v>4788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2966-44E1-AD28-92A779CD38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87351423"/>
        <c:axId val="1287346143"/>
      </c:scatterChart>
      <c:catAx>
        <c:axId val="12042066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accent2"/>
                </a:solidFill>
                <a:latin typeface="Texta" panose="02000000000000000000" pitchFamily="2" charset="0"/>
                <a:ea typeface="+mn-ea"/>
                <a:cs typeface="+mn-cs"/>
              </a:defRPr>
            </a:pPr>
            <a:endParaRPr lang="en-US"/>
          </a:p>
        </c:txPr>
        <c:crossAx val="1204205199"/>
        <c:crosses val="autoZero"/>
        <c:auto val="1"/>
        <c:lblAlgn val="ctr"/>
        <c:lblOffset val="100"/>
        <c:noMultiLvlLbl val="0"/>
      </c:catAx>
      <c:valAx>
        <c:axId val="12042051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$-409]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2"/>
                </a:solidFill>
                <a:latin typeface="Texta" panose="02000000000000000000" pitchFamily="2" charset="0"/>
                <a:ea typeface="+mn-ea"/>
                <a:cs typeface="+mn-cs"/>
              </a:defRPr>
            </a:pPr>
            <a:endParaRPr lang="en-US"/>
          </a:p>
        </c:txPr>
        <c:crossAx val="1204206639"/>
        <c:crosses val="autoZero"/>
        <c:crossBetween val="between"/>
      </c:valAx>
      <c:valAx>
        <c:axId val="1287346143"/>
        <c:scaling>
          <c:orientation val="minMax"/>
        </c:scaling>
        <c:delete val="0"/>
        <c:axPos val="r"/>
        <c:numFmt formatCode="[$$-409]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2"/>
                </a:solidFill>
                <a:latin typeface="Texta" panose="02000000000000000000" pitchFamily="2" charset="0"/>
                <a:ea typeface="+mn-ea"/>
                <a:cs typeface="+mn-cs"/>
              </a:defRPr>
            </a:pPr>
            <a:endParaRPr lang="en-US"/>
          </a:p>
        </c:txPr>
        <c:crossAx val="1287351423"/>
        <c:crosses val="max"/>
        <c:crossBetween val="midCat"/>
      </c:valAx>
      <c:valAx>
        <c:axId val="1287351423"/>
        <c:scaling>
          <c:orientation val="minMax"/>
        </c:scaling>
        <c:delete val="1"/>
        <c:axPos val="b"/>
        <c:majorTickMark val="out"/>
        <c:minorTickMark val="none"/>
        <c:tickLblPos val="nextTo"/>
        <c:crossAx val="1287346143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2"/>
                </a:solidFill>
                <a:latin typeface="Texta" panose="02000000000000000000" pitchFamily="2" charset="0"/>
                <a:ea typeface="+mn-ea"/>
                <a:cs typeface="+mn-cs"/>
              </a:defRPr>
            </a:pPr>
            <a:r>
              <a:rPr lang="en-ZA">
                <a:solidFill>
                  <a:schemeClr val="tx2"/>
                </a:solidFill>
                <a:latin typeface="Texta" panose="02000000000000000000" pitchFamily="2" charset="0"/>
              </a:rPr>
              <a:t>NGP as a percentage of total revenue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2"/>
              </a:solidFill>
              <a:latin typeface="Texta" panose="02000000000000000000" pitchFamily="2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'BD charts'!$D$7</c:f>
              <c:strCache>
                <c:ptCount val="1"/>
                <c:pt idx="0">
                  <c:v>PMI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'BD charts'!$E$6:$J$6</c:f>
              <c:strCach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H1 2023</c:v>
                </c:pt>
              </c:strCache>
            </c:strRef>
          </c:cat>
          <c:val>
            <c:numRef>
              <c:f>'BD charts'!$E$7:$J$7</c:f>
              <c:numCache>
                <c:formatCode>0%</c:formatCode>
                <c:ptCount val="6"/>
                <c:pt idx="0">
                  <c:v>0.12259915611814345</c:v>
                </c:pt>
                <c:pt idx="1">
                  <c:v>0.18745176983727563</c:v>
                </c:pt>
                <c:pt idx="2">
                  <c:v>0.24210636369972816</c:v>
                </c:pt>
                <c:pt idx="3">
                  <c:v>0.29412513930902723</c:v>
                </c:pt>
                <c:pt idx="4">
                  <c:v>0.32082362571626472</c:v>
                </c:pt>
                <c:pt idx="5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5E-4EF7-B544-944571126C8A}"/>
            </c:ext>
          </c:extLst>
        </c:ser>
        <c:ser>
          <c:idx val="1"/>
          <c:order val="1"/>
          <c:tx>
            <c:strRef>
              <c:f>'BD charts'!$D$8</c:f>
              <c:strCache>
                <c:ptCount val="1"/>
                <c:pt idx="0">
                  <c:v>BATS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'BD charts'!$E$6:$J$6</c:f>
              <c:strCach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H1 2023</c:v>
                </c:pt>
              </c:strCache>
            </c:strRef>
          </c:cat>
          <c:val>
            <c:numRef>
              <c:f>'BD charts'!$E$8:$J$8</c:f>
              <c:numCache>
                <c:formatCode>0%</c:formatCode>
                <c:ptCount val="6"/>
                <c:pt idx="0">
                  <c:v>3.7440796994937124E-2</c:v>
                </c:pt>
                <c:pt idx="1">
                  <c:v>4.8498666769718285E-2</c:v>
                </c:pt>
                <c:pt idx="2">
                  <c:v>5.5982309124767225E-2</c:v>
                </c:pt>
                <c:pt idx="3">
                  <c:v>7.9971966983335932E-2</c:v>
                </c:pt>
                <c:pt idx="4">
                  <c:v>0.10460871136815471</c:v>
                </c:pt>
                <c:pt idx="5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5E-4EF7-B544-944571126C8A}"/>
            </c:ext>
          </c:extLst>
        </c:ser>
        <c:ser>
          <c:idx val="2"/>
          <c:order val="2"/>
          <c:tx>
            <c:strRef>
              <c:f>'BD charts'!$D$9</c:f>
              <c:strCache>
                <c:ptCount val="1"/>
                <c:pt idx="0">
                  <c:v>JT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'BD charts'!$E$6:$J$6</c:f>
              <c:strCach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H1 2023</c:v>
                </c:pt>
              </c:strCache>
            </c:strRef>
          </c:cat>
          <c:val>
            <c:numRef>
              <c:f>'BD charts'!$E$9:$J$9</c:f>
              <c:numCache>
                <c:formatCode>0%</c:formatCode>
                <c:ptCount val="6"/>
                <c:pt idx="1">
                  <c:v>2.8000000000000001E-2</c:v>
                </c:pt>
                <c:pt idx="2">
                  <c:v>2.6708074534161491E-2</c:v>
                </c:pt>
                <c:pt idx="3">
                  <c:v>3.6063936063936063E-2</c:v>
                </c:pt>
                <c:pt idx="4">
                  <c:v>3.2570194384449247E-2</c:v>
                </c:pt>
                <c:pt idx="5">
                  <c:v>3.2500000000000001E-2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C5E-4EF7-B544-944571126C8A}"/>
            </c:ext>
          </c:extLst>
        </c:ser>
        <c:ser>
          <c:idx val="3"/>
          <c:order val="3"/>
          <c:tx>
            <c:strRef>
              <c:f>'BD charts'!$D$10</c:f>
              <c:strCache>
                <c:ptCount val="1"/>
                <c:pt idx="0">
                  <c:v>IMB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'BD charts'!$E$6:$J$6</c:f>
              <c:strCach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H1 2023</c:v>
                </c:pt>
              </c:strCache>
            </c:strRef>
          </c:cat>
          <c:val>
            <c:numRef>
              <c:f>'BD charts'!$E$10:$J$10</c:f>
              <c:numCache>
                <c:formatCode>General</c:formatCode>
                <c:ptCount val="6"/>
                <c:pt idx="2" formatCode="0%">
                  <c:v>2.2333333333333334E-2</c:v>
                </c:pt>
                <c:pt idx="3" formatCode="0%">
                  <c:v>2.1661481737527365E-2</c:v>
                </c:pt>
                <c:pt idx="4" formatCode="0%">
                  <c:v>2.3532073764000454E-2</c:v>
                </c:pt>
                <c:pt idx="5" formatCode="0%">
                  <c:v>7.1399999999999991E-2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C5E-4EF7-B544-944571126C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22779136"/>
        <c:axId val="649160000"/>
      </c:barChart>
      <c:catAx>
        <c:axId val="622779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2"/>
                </a:solidFill>
                <a:latin typeface="Texta" panose="02000000000000000000" pitchFamily="2" charset="0"/>
                <a:ea typeface="+mn-ea"/>
                <a:cs typeface="+mn-cs"/>
              </a:defRPr>
            </a:pPr>
            <a:endParaRPr lang="en-US"/>
          </a:p>
        </c:txPr>
        <c:crossAx val="649160000"/>
        <c:crosses val="autoZero"/>
        <c:auto val="1"/>
        <c:lblAlgn val="ctr"/>
        <c:lblOffset val="100"/>
        <c:noMultiLvlLbl val="0"/>
      </c:catAx>
      <c:valAx>
        <c:axId val="649160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2"/>
                </a:solidFill>
                <a:latin typeface="Texta" panose="02000000000000000000" pitchFamily="2" charset="0"/>
                <a:ea typeface="+mn-ea"/>
                <a:cs typeface="+mn-cs"/>
              </a:defRPr>
            </a:pPr>
            <a:endParaRPr lang="en-US"/>
          </a:p>
        </c:txPr>
        <c:crossAx val="622779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accent2"/>
              </a:solidFill>
              <a:latin typeface="Texta" panose="02000000000000000000" pitchFamily="2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2"/>
                </a:solidFill>
                <a:latin typeface="Texta" panose="02000000000000000000" pitchFamily="2" charset="0"/>
                <a:ea typeface="+mn-ea"/>
                <a:cs typeface="+mn-cs"/>
              </a:defRPr>
            </a:pPr>
            <a:r>
              <a:rPr lang="en-ZA">
                <a:solidFill>
                  <a:schemeClr val="tx2"/>
                </a:solidFill>
                <a:latin typeface="Texta" panose="02000000000000000000" pitchFamily="2" charset="0"/>
              </a:rPr>
              <a:t>NGP</a:t>
            </a:r>
            <a:r>
              <a:rPr lang="en-ZA" baseline="0">
                <a:solidFill>
                  <a:schemeClr val="tx2"/>
                </a:solidFill>
                <a:latin typeface="Texta" panose="02000000000000000000" pitchFamily="2" charset="0"/>
              </a:rPr>
              <a:t> consumers worldwide (millions)</a:t>
            </a:r>
            <a:endParaRPr lang="en-ZA">
              <a:solidFill>
                <a:schemeClr val="tx2"/>
              </a:solidFill>
              <a:latin typeface="Texta" panose="02000000000000000000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2"/>
              </a:solidFill>
              <a:latin typeface="Texta" panose="02000000000000000000" pitchFamily="2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'[1]YoY data'!$C$60</c:f>
              <c:strCache>
                <c:ptCount val="1"/>
                <c:pt idx="0">
                  <c:v>Vapour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'[1]YoY data'!$D$59:$G$59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'[1]YoY data'!$D$60:$G$60</c:f>
              <c:numCache>
                <c:formatCode>General</c:formatCode>
                <c:ptCount val="4"/>
                <c:pt idx="0">
                  <c:v>41</c:v>
                </c:pt>
                <c:pt idx="1">
                  <c:v>43</c:v>
                </c:pt>
                <c:pt idx="2">
                  <c:v>54</c:v>
                </c:pt>
                <c:pt idx="3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0E-49D7-865F-F90F4EE3F46A}"/>
            </c:ext>
          </c:extLst>
        </c:ser>
        <c:ser>
          <c:idx val="1"/>
          <c:order val="1"/>
          <c:tx>
            <c:strRef>
              <c:f>'[1]YoY data'!$C$61</c:f>
              <c:strCache>
                <c:ptCount val="1"/>
                <c:pt idx="0">
                  <c:v>THP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'[1]YoY data'!$D$59:$G$59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'[1]YoY data'!$D$61:$G$61</c:f>
              <c:numCache>
                <c:formatCode>General</c:formatCode>
                <c:ptCount val="4"/>
                <c:pt idx="0">
                  <c:v>13</c:v>
                </c:pt>
                <c:pt idx="1">
                  <c:v>17</c:v>
                </c:pt>
                <c:pt idx="2">
                  <c:v>21</c:v>
                </c:pt>
                <c:pt idx="3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0E-49D7-865F-F90F4EE3F46A}"/>
            </c:ext>
          </c:extLst>
        </c:ser>
        <c:ser>
          <c:idx val="2"/>
          <c:order val="2"/>
          <c:tx>
            <c:strRef>
              <c:f>'[1]YoY data'!$C$62</c:f>
              <c:strCache>
                <c:ptCount val="1"/>
                <c:pt idx="0">
                  <c:v>MO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'[1]YoY data'!$D$59:$G$59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'[1]YoY data'!$D$62:$G$62</c:f>
              <c:numCache>
                <c:formatCode>General</c:formatCode>
                <c:ptCount val="4"/>
                <c:pt idx="0">
                  <c:v>3</c:v>
                </c:pt>
                <c:pt idx="1">
                  <c:v>7</c:v>
                </c:pt>
                <c:pt idx="2">
                  <c:v>10</c:v>
                </c:pt>
                <c:pt idx="3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50E-49D7-865F-F90F4EE3F4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51762639"/>
        <c:axId val="702043583"/>
      </c:barChart>
      <c:catAx>
        <c:axId val="17517626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2"/>
                </a:solidFill>
                <a:latin typeface="Texta" panose="02000000000000000000" pitchFamily="2" charset="0"/>
                <a:ea typeface="+mn-ea"/>
                <a:cs typeface="+mn-cs"/>
              </a:defRPr>
            </a:pPr>
            <a:endParaRPr lang="en-US"/>
          </a:p>
        </c:txPr>
        <c:crossAx val="702043583"/>
        <c:crosses val="autoZero"/>
        <c:auto val="1"/>
        <c:lblAlgn val="ctr"/>
        <c:lblOffset val="100"/>
        <c:noMultiLvlLbl val="0"/>
      </c:catAx>
      <c:valAx>
        <c:axId val="7020435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2"/>
                </a:solidFill>
                <a:latin typeface="Texta" panose="02000000000000000000" pitchFamily="2" charset="0"/>
                <a:ea typeface="+mn-ea"/>
                <a:cs typeface="+mn-cs"/>
              </a:defRPr>
            </a:pPr>
            <a:endParaRPr lang="en-US"/>
          </a:p>
        </c:txPr>
        <c:crossAx val="17517626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accent2"/>
              </a:solidFill>
              <a:latin typeface="Texta" panose="02000000000000000000" pitchFamily="2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Flagship New">
      <a:dk1>
        <a:srgbClr val="3F3F3F"/>
      </a:dk1>
      <a:lt1>
        <a:sysClr val="window" lastClr="FFFFFF"/>
      </a:lt1>
      <a:dk2>
        <a:srgbClr val="3F3F3F"/>
      </a:dk2>
      <a:lt2>
        <a:srgbClr val="EAEAEA"/>
      </a:lt2>
      <a:accent1>
        <a:srgbClr val="B8092E"/>
      </a:accent1>
      <a:accent2>
        <a:srgbClr val="66656A"/>
      </a:accent2>
      <a:accent3>
        <a:srgbClr val="631111"/>
      </a:accent3>
      <a:accent4>
        <a:srgbClr val="013A64"/>
      </a:accent4>
      <a:accent5>
        <a:srgbClr val="A5A5A5"/>
      </a:accent5>
      <a:accent6>
        <a:srgbClr val="7F7F7F"/>
      </a:accent6>
      <a:hlink>
        <a:srgbClr val="B8092E"/>
      </a:hlink>
      <a:folHlink>
        <a:srgbClr val="5B6770"/>
      </a:folHlink>
    </a:clrScheme>
    <a:fontScheme name="Flagship Word Fonts">
      <a:majorFont>
        <a:latin typeface="Libre Baskerville"/>
        <a:ea typeface=""/>
        <a:cs typeface=""/>
      </a:majorFont>
      <a:minorFont>
        <a:latin typeface="Text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Flagship 2020">
    <a:dk1>
      <a:srgbClr val="3F3F3F"/>
    </a:dk1>
    <a:lt1>
      <a:sysClr val="window" lastClr="FFFFFF"/>
    </a:lt1>
    <a:dk2>
      <a:srgbClr val="3F3F3F"/>
    </a:dk2>
    <a:lt2>
      <a:srgbClr val="EAEAEA"/>
    </a:lt2>
    <a:accent1>
      <a:srgbClr val="B8092E"/>
    </a:accent1>
    <a:accent2>
      <a:srgbClr val="66656A"/>
    </a:accent2>
    <a:accent3>
      <a:srgbClr val="631111"/>
    </a:accent3>
    <a:accent4>
      <a:srgbClr val="013A64"/>
    </a:accent4>
    <a:accent5>
      <a:srgbClr val="A5A5A5"/>
    </a:accent5>
    <a:accent6>
      <a:srgbClr val="7F7F7F"/>
    </a:accent6>
    <a:hlink>
      <a:srgbClr val="B8092E"/>
    </a:hlink>
    <a:folHlink>
      <a:srgbClr val="5B6770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Flagship 2020">
    <a:dk1>
      <a:srgbClr val="3F3F3F"/>
    </a:dk1>
    <a:lt1>
      <a:sysClr val="window" lastClr="FFFFFF"/>
    </a:lt1>
    <a:dk2>
      <a:srgbClr val="3F3F3F"/>
    </a:dk2>
    <a:lt2>
      <a:srgbClr val="EAEAEA"/>
    </a:lt2>
    <a:accent1>
      <a:srgbClr val="B8092E"/>
    </a:accent1>
    <a:accent2>
      <a:srgbClr val="66656A"/>
    </a:accent2>
    <a:accent3>
      <a:srgbClr val="631111"/>
    </a:accent3>
    <a:accent4>
      <a:srgbClr val="013A64"/>
    </a:accent4>
    <a:accent5>
      <a:srgbClr val="A5A5A5"/>
    </a:accent5>
    <a:accent6>
      <a:srgbClr val="7F7F7F"/>
    </a:accent6>
    <a:hlink>
      <a:srgbClr val="B8092E"/>
    </a:hlink>
    <a:folHlink>
      <a:srgbClr val="5B6770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Flagship 2020">
    <a:dk1>
      <a:srgbClr val="3F3F3F"/>
    </a:dk1>
    <a:lt1>
      <a:sysClr val="window" lastClr="FFFFFF"/>
    </a:lt1>
    <a:dk2>
      <a:srgbClr val="3F3F3F"/>
    </a:dk2>
    <a:lt2>
      <a:srgbClr val="EAEAEA"/>
    </a:lt2>
    <a:accent1>
      <a:srgbClr val="B8092E"/>
    </a:accent1>
    <a:accent2>
      <a:srgbClr val="66656A"/>
    </a:accent2>
    <a:accent3>
      <a:srgbClr val="631111"/>
    </a:accent3>
    <a:accent4>
      <a:srgbClr val="013A64"/>
    </a:accent4>
    <a:accent5>
      <a:srgbClr val="A5A5A5"/>
    </a:accent5>
    <a:accent6>
      <a:srgbClr val="7F7F7F"/>
    </a:accent6>
    <a:hlink>
      <a:srgbClr val="B8092E"/>
    </a:hlink>
    <a:folHlink>
      <a:srgbClr val="5B6770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Short</dc:creator>
  <cp:keywords/>
  <dc:description/>
  <cp:lastModifiedBy>Lisette Lombard</cp:lastModifiedBy>
  <cp:revision>7</cp:revision>
  <dcterms:created xsi:type="dcterms:W3CDTF">2023-08-24T11:41:00Z</dcterms:created>
  <dcterms:modified xsi:type="dcterms:W3CDTF">2023-08-24T11:46:00Z</dcterms:modified>
</cp:coreProperties>
</file>