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08CF5B97" w:rsidR="00382ADA" w:rsidRDefault="00281835" w:rsidP="00A422C0">
      <w:pPr>
        <w:spacing w:after="360"/>
      </w:pPr>
      <w:r w:rsidRPr="00281835">
        <w:rPr>
          <w:noProof/>
        </w:rPr>
        <mc:AlternateContent>
          <mc:Choice Requires="wps">
            <w:drawing>
              <wp:anchor distT="0" distB="0" distL="114300" distR="114300" simplePos="0" relativeHeight="251683840" behindDoc="0" locked="0" layoutInCell="1" allowOverlap="1" wp14:anchorId="0D5126C6" wp14:editId="01EA22E0">
                <wp:simplePos x="0" y="0"/>
                <wp:positionH relativeFrom="column">
                  <wp:posOffset>37465</wp:posOffset>
                </wp:positionH>
                <wp:positionV relativeFrom="paragraph">
                  <wp:posOffset>24765</wp:posOffset>
                </wp:positionV>
                <wp:extent cx="4034790" cy="895350"/>
                <wp:effectExtent l="0" t="0" r="0" b="0"/>
                <wp:wrapNone/>
                <wp:docPr id="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895350"/>
                        </a:xfrm>
                        <a:prstGeom prst="rect">
                          <a:avLst/>
                        </a:prstGeom>
                        <a:noFill/>
                        <a:ln>
                          <a:noFill/>
                        </a:ln>
                      </wps:spPr>
                      <wps:txb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D5126C6" id="_x0000_t202" coordsize="21600,21600" o:spt="202" path="m,l,21600r21600,l21600,xe">
                <v:stroke joinstyle="miter"/>
                <v:path gradientshapeok="t" o:connecttype="rect"/>
              </v:shapetype>
              <v:shape id="Title 1" o:spid="_x0000_s1026" type="#_x0000_t202" style="position:absolute;margin-left:2.95pt;margin-top:1.95pt;width:317.7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QglwEAABwDAAAOAAAAZHJzL2Uyb0RvYy54bWysUstuGzEMvBfoPwi619q82mThddAiSC9B&#10;WyDtB8haySt0Jaqk7F3/fSnFsfu4BbnoQVLDmaGWt3MYxc4ieYidPFs0UthooPdx08kf3+/fXUtB&#10;WcdejxBtJ/eW5O3q7ZvllFp7DgOMvUXBIJHaKXVyyDm1SpEZbNC0gGQjJx1g0JmvuFE96onRw6jO&#10;m+a9mgD7hGAsEUfvnpJyVfGdsyZ/dY5sFmMnmVuuK9Z1XVa1Wup2gzoN3hxo6BewCNpHbnqEutNZ&#10;iy36/6CCNwgELi8MBAXOeWOrBlZz1vyj5nHQyVYtbA6lo030erDmy+4xfUOR508w8wCrCEoPYH4S&#10;e6OmRO2hpnhKLXF1ETo7DGVnCYIfsrf7o592zsJw8LK5uPxwwynDueubq4urarg6vU5I+bOFIMqh&#10;k8jzqgz07oFy6a/b55LSLMK9H8c6szH+FeDCEql8nygWsnlez1xdjmvo96xz4lF3kn5tNVopdDQD&#10;8G8wGWvbCB+3GZyvrU+vDrg8gsro8F3KjP+816rTp179BgAA//8DAFBLAwQUAAYACAAAACEAHOI6&#10;0t0AAAAHAQAADwAAAGRycy9kb3ducmV2LnhtbEyO0UrDQBBF3wX/YRnBF7Gbtmm0MZtShIIUfWj1&#10;AybZaTY0uxuy2zT+veOTPg2Xe7hzis1kOzHSEFrvFMxnCQhytdetaxR8fe4en0GEiE5j5x0p+KYA&#10;m/L2psBc+6s70HiMjeARF3JUYGLscylDbchimPmeHHcnP1iMHIdG6gGvPG47uUiSTFpsHX8w2NOr&#10;ofp8vFgFD6ZPPt5Pb9VOZ7U57wM+2XGv1P3dtH0BEWmKfzD86rM6lOxU+YvTQXQKVmsGFSz5cJul&#10;8yWIirE0XYMsC/nfv/wBAAD//wMAUEsBAi0AFAAGAAgAAAAhALaDOJL+AAAA4QEAABMAAAAAAAAA&#10;AAAAAAAAAAAAAFtDb250ZW50X1R5cGVzXS54bWxQSwECLQAUAAYACAAAACEAOP0h/9YAAACUAQAA&#10;CwAAAAAAAAAAAAAAAAAvAQAAX3JlbHMvLnJlbHNQSwECLQAUAAYACAAAACEAuSikIJcBAAAcAwAA&#10;DgAAAAAAAAAAAAAAAAAuAgAAZHJzL2Uyb0RvYy54bWxQSwECLQAUAAYACAAAACEAHOI60t0AAAAH&#10;AQAADwAAAAAAAAAAAAAAAADxAwAAZHJzL2Rvd25yZXYueG1sUEsFBgAAAAAEAAQA8wAAAPsEAAAA&#10;AA==&#10;" filled="f" stroked="f">
                <v:textbo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v:textbox>
              </v:shape>
            </w:pict>
          </mc:Fallback>
        </mc:AlternateContent>
      </w:r>
      <w:r w:rsidRPr="00281835">
        <w:rPr>
          <w:noProof/>
        </w:rPr>
        <w:drawing>
          <wp:inline distT="0" distB="0" distL="0" distR="0" wp14:anchorId="2666B2A7" wp14:editId="453673B6">
            <wp:extent cx="6508750" cy="935355"/>
            <wp:effectExtent l="0" t="0" r="6350" b="0"/>
            <wp:docPr id="11" name="Picture 10" descr="Background pattern&#10;&#10;Description automatically generated">
              <a:extLst xmlns:a="http://schemas.openxmlformats.org/drawingml/2006/main">
                <a:ext uri="{FF2B5EF4-FFF2-40B4-BE49-F238E27FC236}">
                  <a16:creationId xmlns:a16="http://schemas.microsoft.com/office/drawing/2014/main" id="{9BB31A5B-233C-4D49-82FD-8217F3E49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Background pattern&#10;&#10;Description automatically generated">
                      <a:extLst>
                        <a:ext uri="{FF2B5EF4-FFF2-40B4-BE49-F238E27FC236}">
                          <a16:creationId xmlns:a16="http://schemas.microsoft.com/office/drawing/2014/main" id="{9BB31A5B-233C-4D49-82FD-8217F3E497E8}"/>
                        </a:ext>
                      </a:extLst>
                    </pic:cNvPr>
                    <pic:cNvPicPr>
                      <a:picLocks noChangeAspect="1"/>
                    </pic:cNvPicPr>
                  </pic:nvPicPr>
                  <pic:blipFill rotWithShape="1">
                    <a:blip r:embed="rId8"/>
                    <a:srcRect t="991" r="1495" b="57833"/>
                    <a:stretch/>
                  </pic:blipFill>
                  <pic:spPr>
                    <a:xfrm>
                      <a:off x="0" y="0"/>
                      <a:ext cx="6508750" cy="935355"/>
                    </a:xfrm>
                    <a:prstGeom prst="rect">
                      <a:avLst/>
                    </a:prstGeom>
                  </pic:spPr>
                </pic:pic>
              </a:graphicData>
            </a:graphic>
          </wp:inline>
        </w:drawing>
      </w:r>
    </w:p>
    <w:tbl>
      <w:tblPr>
        <w:tblStyle w:val="TableGrid"/>
        <w:tblW w:w="10201" w:type="dxa"/>
        <w:tblLook w:val="04A0" w:firstRow="1" w:lastRow="0" w:firstColumn="1" w:lastColumn="0" w:noHBand="0" w:noVBand="1"/>
      </w:tblPr>
      <w:tblGrid>
        <w:gridCol w:w="10201"/>
      </w:tblGrid>
      <w:tr w:rsidR="00281835" w14:paraId="5254EF6A" w14:textId="77777777" w:rsidTr="00EF5C86">
        <w:tc>
          <w:tcPr>
            <w:tcW w:w="10201" w:type="dxa"/>
            <w:tcBorders>
              <w:top w:val="nil"/>
              <w:left w:val="nil"/>
              <w:bottom w:val="nil"/>
              <w:right w:val="nil"/>
            </w:tcBorders>
            <w:shd w:val="clear" w:color="auto" w:fill="D9D9D9" w:themeFill="background1" w:themeFillShade="D9"/>
          </w:tcPr>
          <w:p w14:paraId="3BC82964" w14:textId="6AD1A18C" w:rsidR="00281835" w:rsidRPr="004E60C8" w:rsidRDefault="00281835" w:rsidP="00281835">
            <w:pPr>
              <w:pStyle w:val="Heading1"/>
              <w:spacing w:before="0" w:after="0" w:line="360" w:lineRule="atLeast"/>
              <w:rPr>
                <w:rFonts w:ascii="Verdana" w:hAnsi="Verdana"/>
                <w:color w:val="000000" w:themeColor="text1"/>
                <w:sz w:val="24"/>
                <w:szCs w:val="24"/>
              </w:rPr>
            </w:pPr>
            <w:r w:rsidRPr="004E60C8">
              <w:rPr>
                <w:rFonts w:ascii="Verdana" w:hAnsi="Verdana"/>
                <w:color w:val="000000" w:themeColor="text1"/>
                <w:sz w:val="24"/>
                <w:szCs w:val="24"/>
              </w:rPr>
              <w:t xml:space="preserve">State of the South African Exchange Traded Product (ETP) Industry – as at </w:t>
            </w:r>
            <w:r w:rsidR="00C63F43">
              <w:rPr>
                <w:rFonts w:ascii="Verdana" w:hAnsi="Verdana"/>
                <w:color w:val="000000" w:themeColor="text1"/>
                <w:sz w:val="24"/>
                <w:szCs w:val="24"/>
              </w:rPr>
              <w:t>29</w:t>
            </w:r>
            <w:r w:rsidRPr="004E60C8">
              <w:rPr>
                <w:rFonts w:ascii="Verdana" w:hAnsi="Verdana"/>
                <w:color w:val="000000" w:themeColor="text1"/>
                <w:sz w:val="24"/>
                <w:szCs w:val="24"/>
              </w:rPr>
              <w:t xml:space="preserve"> </w:t>
            </w:r>
            <w:r w:rsidR="00C63F43">
              <w:rPr>
                <w:rFonts w:ascii="Verdana" w:hAnsi="Verdana"/>
                <w:color w:val="000000" w:themeColor="text1"/>
                <w:sz w:val="24"/>
                <w:szCs w:val="24"/>
              </w:rPr>
              <w:t>September</w:t>
            </w:r>
            <w:r w:rsidR="006B41B5">
              <w:rPr>
                <w:rFonts w:ascii="Verdana" w:hAnsi="Verdana"/>
                <w:color w:val="000000" w:themeColor="text1"/>
                <w:sz w:val="24"/>
                <w:szCs w:val="24"/>
              </w:rPr>
              <w:t xml:space="preserve"> </w:t>
            </w:r>
            <w:r w:rsidRPr="004E60C8">
              <w:rPr>
                <w:rFonts w:ascii="Verdana" w:hAnsi="Verdana"/>
                <w:color w:val="000000" w:themeColor="text1"/>
                <w:sz w:val="24"/>
                <w:szCs w:val="24"/>
              </w:rPr>
              <w:t>202</w:t>
            </w:r>
            <w:r w:rsidR="00415026">
              <w:rPr>
                <w:rFonts w:ascii="Verdana" w:hAnsi="Verdana"/>
                <w:color w:val="000000" w:themeColor="text1"/>
                <w:sz w:val="24"/>
                <w:szCs w:val="24"/>
              </w:rPr>
              <w:t>3</w:t>
            </w:r>
          </w:p>
          <w:p w14:paraId="402E7BEC" w14:textId="2F6A4DD3" w:rsidR="00281835" w:rsidRDefault="00281835" w:rsidP="000A2715">
            <w:pPr>
              <w:pStyle w:val="Heading1"/>
              <w:spacing w:before="0" w:after="120" w:line="360" w:lineRule="atLeast"/>
              <w:rPr>
                <w:rFonts w:ascii="Verdana" w:hAnsi="Verdana"/>
                <w:sz w:val="22"/>
                <w:szCs w:val="22"/>
              </w:rPr>
            </w:pPr>
            <w:r w:rsidRPr="004E60C8">
              <w:rPr>
                <w:rFonts w:ascii="Verdana" w:hAnsi="Verdana"/>
                <w:color w:val="000000" w:themeColor="text1"/>
                <w:sz w:val="22"/>
                <w:szCs w:val="22"/>
              </w:rPr>
              <w:t>Mike Brown, Managing Director, etfSA.co.za</w:t>
            </w:r>
          </w:p>
        </w:tc>
      </w:tr>
    </w:tbl>
    <w:p w14:paraId="2766C2BF" w14:textId="77777777" w:rsidR="00960987" w:rsidRDefault="00960987" w:rsidP="006666EF">
      <w:pPr>
        <w:spacing w:after="120" w:line="320" w:lineRule="atLeast"/>
        <w:jc w:val="center"/>
        <w:rPr>
          <w:rFonts w:ascii="Verdana" w:hAnsi="Verdana"/>
          <w:sz w:val="21"/>
          <w:szCs w:val="21"/>
        </w:rPr>
      </w:pPr>
    </w:p>
    <w:p w14:paraId="74CAE3E7" w14:textId="77777777" w:rsidR="00A422C0" w:rsidRDefault="00A422C0" w:rsidP="006666EF">
      <w:pPr>
        <w:spacing w:after="120" w:line="320" w:lineRule="atLeast"/>
        <w:jc w:val="center"/>
        <w:rPr>
          <w:rFonts w:ascii="Verdana" w:hAnsi="Verdana"/>
          <w:sz w:val="21"/>
          <w:szCs w:val="21"/>
        </w:rPr>
      </w:pPr>
    </w:p>
    <w:p w14:paraId="7CDBBA02" w14:textId="7CFC08F8" w:rsidR="00E159E7" w:rsidRPr="0012529E" w:rsidRDefault="00E159E7" w:rsidP="00960987">
      <w:pPr>
        <w:spacing w:after="120" w:line="320" w:lineRule="atLeast"/>
        <w:jc w:val="center"/>
        <w:rPr>
          <w:rFonts w:ascii="Verdana" w:hAnsi="Verdana"/>
          <w:b/>
          <w:bCs/>
          <w:color w:val="C00000"/>
        </w:rPr>
      </w:pPr>
      <w:r w:rsidRPr="0012529E">
        <w:rPr>
          <w:rFonts w:ascii="Verdana" w:hAnsi="Verdana"/>
          <w:b/>
          <w:bCs/>
          <w:color w:val="C00000"/>
        </w:rPr>
        <w:t>INDUSTRY OVERVIEW</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819"/>
        <w:gridCol w:w="284"/>
        <w:gridCol w:w="4394"/>
        <w:gridCol w:w="425"/>
      </w:tblGrid>
      <w:tr w:rsidR="00E159E7" w14:paraId="3415E687" w14:textId="77777777" w:rsidTr="005269C6">
        <w:tc>
          <w:tcPr>
            <w:tcW w:w="5103" w:type="dxa"/>
            <w:gridSpan w:val="2"/>
          </w:tcPr>
          <w:p w14:paraId="45ED3D42" w14:textId="4DDB59EC" w:rsidR="004B1BB0" w:rsidRPr="00E159E7" w:rsidRDefault="00415026" w:rsidP="00A422C0">
            <w:pPr>
              <w:spacing w:after="240" w:line="360" w:lineRule="atLeast"/>
              <w:rPr>
                <w:rFonts w:ascii="Verdana" w:hAnsi="Verdana"/>
                <w:sz w:val="21"/>
                <w:szCs w:val="21"/>
              </w:rPr>
            </w:pPr>
            <w:r>
              <w:rPr>
                <w:rFonts w:ascii="Verdana" w:hAnsi="Verdana"/>
                <w:sz w:val="21"/>
                <w:szCs w:val="21"/>
              </w:rPr>
              <w:t xml:space="preserve">The total </w:t>
            </w:r>
            <w:r w:rsidR="00C63F43">
              <w:rPr>
                <w:rFonts w:ascii="Verdana" w:hAnsi="Verdana"/>
                <w:sz w:val="21"/>
                <w:szCs w:val="21"/>
              </w:rPr>
              <w:t xml:space="preserve">South African ETP industry has grown by R25,2 billion in </w:t>
            </w:r>
            <w:r w:rsidR="00A422C0">
              <w:rPr>
                <w:rFonts w:ascii="Verdana" w:hAnsi="Verdana"/>
                <w:sz w:val="21"/>
                <w:szCs w:val="21"/>
              </w:rPr>
              <w:t>t</w:t>
            </w:r>
            <w:r w:rsidR="00C63F43">
              <w:rPr>
                <w:rFonts w:ascii="Verdana" w:hAnsi="Verdana"/>
                <w:sz w:val="21"/>
                <w:szCs w:val="21"/>
              </w:rPr>
              <w:t xml:space="preserve">he first 9 months of 2023 and the total </w:t>
            </w:r>
            <w:r>
              <w:rPr>
                <w:rFonts w:ascii="Verdana" w:hAnsi="Verdana"/>
                <w:sz w:val="21"/>
                <w:szCs w:val="21"/>
              </w:rPr>
              <w:t xml:space="preserve">market capitalisation of </w:t>
            </w:r>
            <w:r w:rsidR="00C63F43">
              <w:rPr>
                <w:rFonts w:ascii="Verdana" w:hAnsi="Verdana"/>
                <w:sz w:val="21"/>
                <w:szCs w:val="21"/>
              </w:rPr>
              <w:t>the industry sta</w:t>
            </w:r>
            <w:r w:rsidR="00A422C0">
              <w:rPr>
                <w:rFonts w:ascii="Verdana" w:hAnsi="Verdana"/>
                <w:sz w:val="21"/>
                <w:szCs w:val="21"/>
              </w:rPr>
              <w:t>nds</w:t>
            </w:r>
            <w:r w:rsidR="00C63F43">
              <w:rPr>
                <w:rFonts w:ascii="Verdana" w:hAnsi="Verdana"/>
                <w:sz w:val="21"/>
                <w:szCs w:val="21"/>
              </w:rPr>
              <w:t xml:space="preserve"> at R1</w:t>
            </w:r>
            <w:r w:rsidR="00A422C0">
              <w:rPr>
                <w:rFonts w:ascii="Verdana" w:hAnsi="Verdana"/>
                <w:sz w:val="21"/>
                <w:szCs w:val="21"/>
              </w:rPr>
              <w:t>54,6</w:t>
            </w:r>
            <w:r w:rsidR="00C63F43">
              <w:rPr>
                <w:rFonts w:ascii="Verdana" w:hAnsi="Verdana"/>
                <w:sz w:val="21"/>
                <w:szCs w:val="21"/>
              </w:rPr>
              <w:t xml:space="preserve"> billion, as at 29 September 2023.  </w:t>
            </w:r>
          </w:p>
        </w:tc>
        <w:tc>
          <w:tcPr>
            <w:tcW w:w="284" w:type="dxa"/>
          </w:tcPr>
          <w:p w14:paraId="3953F9A0" w14:textId="265BA484" w:rsidR="00E159E7" w:rsidRDefault="005269C6" w:rsidP="00A422C0">
            <w:pPr>
              <w:spacing w:line="360" w:lineRule="atLeast"/>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7936" behindDoc="0" locked="0" layoutInCell="1" allowOverlap="1" wp14:anchorId="24C32DED" wp14:editId="66A1FABC">
                      <wp:simplePos x="0" y="0"/>
                      <wp:positionH relativeFrom="column">
                        <wp:posOffset>30480</wp:posOffset>
                      </wp:positionH>
                      <wp:positionV relativeFrom="paragraph">
                        <wp:posOffset>123825</wp:posOffset>
                      </wp:positionV>
                      <wp:extent cx="0" cy="895350"/>
                      <wp:effectExtent l="0" t="0" r="38100" b="19050"/>
                      <wp:wrapNone/>
                      <wp:docPr id="2" name="Straight Connector 2"/>
                      <wp:cNvGraphicFramePr/>
                      <a:graphic xmlns:a="http://schemas.openxmlformats.org/drawingml/2006/main">
                        <a:graphicData uri="http://schemas.microsoft.com/office/word/2010/wordprocessingShape">
                          <wps:wsp>
                            <wps:cNvCnPr/>
                            <wps:spPr>
                              <a:xfrm flipH="1">
                                <a:off x="0" y="0"/>
                                <a:ext cx="0" cy="8953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E167D" id="Straight Connector 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75pt" to="2.4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9IvwEAAN4DAAAOAAAAZHJzL2Uyb0RvYy54bWysU02P2yAQvVfqf0DcG5xdbbW14uwhq20P&#10;Vbvqxw8geIiRgEFAY+ffd8CJd9VWlVqtDwiGeW/mPcabu8lZdoSYDPqOr1cNZ+AV9sYfOv7928Ob&#10;W85Slr6XFj10/ASJ321fv9qMoYUrHND2EBmR+NSOoeNDzqEVIqkBnEwrDODpUmN0MtMxHkQf5Ujs&#10;zoqrpnkrRox9iKggJYrez5d8W/m1BpU/a50gM9tx6i3XNdZ1X1ax3cj2EGUYjDq3If+jCyeNp6IL&#10;1b3Mkv2I5jcqZ1TEhDqvFDqBWhsFVQOpWTe/qPk6yABVC5mTwmJTejla9em484+RbBhDalN4jEXF&#10;pKNj2prwgd606qJO2VRtOy22wZSZmoOKorfvbq5vqqNiZihMIab8HtCxsum4Nb4Ikq08fkyZqlLq&#10;JaWErS9rQmv6B2NtPcTDfmcjO0p6wl1TvvJqBHyWRqcCFU8i6i6fLMy0X0Az01Ozs5w6X7DQSqXA&#10;5/WZ13rKLjBNLSzApvb9V+A5v0Chzt6/gBdErYw+L2BnPMY/Vc/TpWU9518cmHUXC/bYn+rzVmto&#10;iKpz54EvU/r8XOFPv+X2JwAAAP//AwBQSwMEFAAGAAgAAAAhADU5OHrbAAAABgEAAA8AAABkcnMv&#10;ZG93bnJldi54bWxMjkFLw0AQhe+C/2EZwUuwGzUtbcymSKEXkRSr9LzNTpNgdjbsbtP4752e9PjN&#10;e7z5ivVkezGiD50jBY+zFARS7UxHjYKvz+3DEkSImozuHaGCHwywLm9vCp0bd6EPHPexETxCIdcK&#10;2hiHXMpQt2h1mLkBibOT81ZHRt9I4/WFx20vn9J0Ia3uiD+0esBNi/X3/mwVJON7kyWb1VuVVYfE&#10;LT1un3eVUvd30+sLiIhT/CvDVZ/VoWSnozuTCaJXkLF45PNqDoLjKx4ZF+kcZFnI//rlLwAAAP//&#10;AwBQSwECLQAUAAYACAAAACEAtoM4kv4AAADhAQAAEwAAAAAAAAAAAAAAAAAAAAAAW0NvbnRlbnRf&#10;VHlwZXNdLnhtbFBLAQItABQABgAIAAAAIQA4/SH/1gAAAJQBAAALAAAAAAAAAAAAAAAAAC8BAABf&#10;cmVscy8ucmVsc1BLAQItABQABgAIAAAAIQCNtT9IvwEAAN4DAAAOAAAAAAAAAAAAAAAAAC4CAABk&#10;cnMvZTJvRG9jLnhtbFBLAQItABQABgAIAAAAIQA1OTh62wAAAAYBAAAPAAAAAAAAAAAAAAAAABkE&#10;AABkcnMvZG93bnJldi54bWxQSwUGAAAAAAQABADzAAAAIQUAAAAA&#10;" strokecolor="#c00000" strokeweight=".5pt">
                      <v:stroke joinstyle="miter"/>
                    </v:line>
                  </w:pict>
                </mc:Fallback>
              </mc:AlternateContent>
            </w:r>
          </w:p>
        </w:tc>
        <w:tc>
          <w:tcPr>
            <w:tcW w:w="4819" w:type="dxa"/>
            <w:gridSpan w:val="2"/>
          </w:tcPr>
          <w:p w14:paraId="34CB5CF6" w14:textId="78BA0A54" w:rsidR="00A422C0" w:rsidRPr="001B3A67" w:rsidRDefault="00A422C0" w:rsidP="00A422C0">
            <w:pPr>
              <w:spacing w:line="360" w:lineRule="atLeast"/>
              <w:rPr>
                <w:rFonts w:ascii="Verdana" w:hAnsi="Verdana"/>
                <w:bCs/>
                <w:color w:val="000000" w:themeColor="text1"/>
                <w:sz w:val="21"/>
                <w:szCs w:val="21"/>
              </w:rPr>
            </w:pPr>
            <w:r>
              <w:rPr>
                <w:rFonts w:ascii="Verdana" w:hAnsi="Verdana"/>
                <w:bCs/>
                <w:color w:val="000000" w:themeColor="text1"/>
                <w:sz w:val="21"/>
                <w:szCs w:val="21"/>
              </w:rPr>
              <w:t xml:space="preserve">Even allowing for market volatility, the growth in index tracking Exchange Traded Products has been impressive, to date, this year. </w:t>
            </w:r>
          </w:p>
          <w:p w14:paraId="659C3123" w14:textId="5D4A76B2" w:rsidR="00960987" w:rsidRDefault="00960987" w:rsidP="00A422C0">
            <w:pPr>
              <w:spacing w:line="360" w:lineRule="atLeast"/>
              <w:rPr>
                <w:rFonts w:ascii="Verdana" w:hAnsi="Verdana"/>
                <w:sz w:val="21"/>
                <w:szCs w:val="21"/>
              </w:rPr>
            </w:pPr>
          </w:p>
        </w:tc>
      </w:tr>
      <w:tr w:rsidR="00A422C0" w14:paraId="65EFF768" w14:textId="77777777" w:rsidTr="005269C6">
        <w:tc>
          <w:tcPr>
            <w:tcW w:w="5103" w:type="dxa"/>
            <w:gridSpan w:val="2"/>
          </w:tcPr>
          <w:p w14:paraId="575D2DCA" w14:textId="77777777" w:rsidR="00A422C0" w:rsidRDefault="00A422C0" w:rsidP="00A422C0">
            <w:pPr>
              <w:spacing w:after="240" w:line="360" w:lineRule="atLeast"/>
              <w:rPr>
                <w:rFonts w:ascii="Verdana" w:hAnsi="Verdana"/>
                <w:sz w:val="21"/>
                <w:szCs w:val="21"/>
              </w:rPr>
            </w:pPr>
          </w:p>
        </w:tc>
        <w:tc>
          <w:tcPr>
            <w:tcW w:w="284" w:type="dxa"/>
          </w:tcPr>
          <w:p w14:paraId="2CB29479" w14:textId="77777777" w:rsidR="00A422C0" w:rsidRPr="00C72345" w:rsidRDefault="00A422C0" w:rsidP="00A422C0">
            <w:pPr>
              <w:spacing w:line="360" w:lineRule="atLeast"/>
              <w:rPr>
                <w:rFonts w:ascii="Verdana" w:hAnsi="Verdana"/>
                <w:noProof/>
                <w:sz w:val="21"/>
                <w:szCs w:val="21"/>
              </w:rPr>
            </w:pPr>
          </w:p>
        </w:tc>
        <w:tc>
          <w:tcPr>
            <w:tcW w:w="4819" w:type="dxa"/>
            <w:gridSpan w:val="2"/>
          </w:tcPr>
          <w:p w14:paraId="59F6A39F" w14:textId="77777777" w:rsidR="00A422C0" w:rsidRDefault="00A422C0" w:rsidP="00A422C0">
            <w:pPr>
              <w:spacing w:line="360" w:lineRule="atLeast"/>
              <w:rPr>
                <w:rFonts w:ascii="Verdana" w:hAnsi="Verdana"/>
                <w:bCs/>
                <w:color w:val="000000" w:themeColor="text1"/>
                <w:sz w:val="21"/>
                <w:szCs w:val="21"/>
              </w:rPr>
            </w:pPr>
          </w:p>
        </w:tc>
      </w:tr>
      <w:tr w:rsidR="00E00161" w14:paraId="1F965989" w14:textId="77777777" w:rsidTr="001B3A67">
        <w:trPr>
          <w:gridAfter w:val="1"/>
          <w:wAfter w:w="425" w:type="dxa"/>
        </w:trPr>
        <w:tc>
          <w:tcPr>
            <w:tcW w:w="284" w:type="dxa"/>
          </w:tcPr>
          <w:p w14:paraId="1F293369" w14:textId="6ED72F79" w:rsidR="00E00161" w:rsidRDefault="00E00161" w:rsidP="00467DA9">
            <w:pPr>
              <w:spacing w:line="360" w:lineRule="atLeast"/>
              <w:jc w:val="both"/>
              <w:rPr>
                <w:rFonts w:ascii="Verdana" w:hAnsi="Verdana"/>
                <w:sz w:val="21"/>
                <w:szCs w:val="21"/>
              </w:rPr>
            </w:pPr>
          </w:p>
        </w:tc>
        <w:tc>
          <w:tcPr>
            <w:tcW w:w="9497" w:type="dxa"/>
            <w:gridSpan w:val="3"/>
          </w:tcPr>
          <w:p w14:paraId="0AA60EE7" w14:textId="04EBCDF6" w:rsidR="00E00161" w:rsidRDefault="001B3A67" w:rsidP="002C05CF">
            <w:pPr>
              <w:spacing w:before="240" w:line="360" w:lineRule="atLeast"/>
              <w:jc w:val="center"/>
              <w:rPr>
                <w:rFonts w:ascii="Verdana" w:hAnsi="Verdana"/>
                <w:sz w:val="21"/>
                <w:szCs w:val="21"/>
              </w:rPr>
            </w:pPr>
            <w:r>
              <w:rPr>
                <w:noProof/>
              </w:rPr>
              <w:drawing>
                <wp:inline distT="0" distB="0" distL="0" distR="0" wp14:anchorId="654910F6" wp14:editId="3F1C88DB">
                  <wp:extent cx="4921251" cy="3168650"/>
                  <wp:effectExtent l="0" t="0" r="12700" b="12700"/>
                  <wp:docPr id="547870180" name="Chart 1">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6630C92" w14:textId="3539BCDE" w:rsidR="00A422C0" w:rsidRDefault="00A422C0" w:rsidP="004544E3">
      <w:pPr>
        <w:spacing w:after="0" w:line="320" w:lineRule="atLeast"/>
        <w:rPr>
          <w:rFonts w:ascii="Verdana" w:hAnsi="Verdana"/>
          <w:bCs/>
          <w:color w:val="000000" w:themeColor="text1"/>
          <w:sz w:val="21"/>
          <w:szCs w:val="21"/>
        </w:rPr>
      </w:pPr>
    </w:p>
    <w:p w14:paraId="030F70EF" w14:textId="77777777" w:rsidR="00A422C0" w:rsidRDefault="00A422C0">
      <w:pPr>
        <w:rPr>
          <w:rFonts w:ascii="Verdana" w:hAnsi="Verdana"/>
          <w:bCs/>
          <w:color w:val="000000" w:themeColor="text1"/>
          <w:sz w:val="21"/>
          <w:szCs w:val="21"/>
        </w:rPr>
      </w:pPr>
      <w:r>
        <w:rPr>
          <w:rFonts w:ascii="Verdana" w:hAnsi="Verdana"/>
          <w:bCs/>
          <w:color w:val="000000" w:themeColor="text1"/>
          <w:sz w:val="21"/>
          <w:szCs w:val="21"/>
        </w:rPr>
        <w:br w:type="page"/>
      </w:r>
    </w:p>
    <w:p w14:paraId="7E506960" w14:textId="07F361D9" w:rsidR="00BC654E" w:rsidRPr="001B3A67" w:rsidRDefault="001B3A67" w:rsidP="00375ADA">
      <w:pPr>
        <w:spacing w:after="120" w:line="320" w:lineRule="atLeast"/>
        <w:ind w:left="357"/>
        <w:jc w:val="center"/>
        <w:rPr>
          <w:rFonts w:ascii="Verdana" w:hAnsi="Verdana"/>
          <w:b/>
          <w:bCs/>
          <w:color w:val="C00000"/>
        </w:rPr>
      </w:pPr>
      <w:r>
        <w:rPr>
          <w:rFonts w:ascii="Verdana" w:hAnsi="Verdana"/>
          <w:b/>
          <w:bCs/>
          <w:color w:val="C00000"/>
        </w:rPr>
        <w:lastRenderedPageBreak/>
        <w:t>N</w:t>
      </w:r>
      <w:r w:rsidR="004544E3" w:rsidRPr="001B3A67">
        <w:rPr>
          <w:rFonts w:ascii="Verdana" w:hAnsi="Verdana"/>
          <w:b/>
          <w:bCs/>
          <w:color w:val="C00000"/>
        </w:rPr>
        <w:t xml:space="preserve">UMBER OF ETPs IN </w:t>
      </w:r>
      <w:r w:rsidR="00BC654E" w:rsidRPr="001B3A67">
        <w:rPr>
          <w:rFonts w:ascii="Verdana" w:hAnsi="Verdana"/>
          <w:b/>
          <w:bCs/>
          <w:color w:val="C00000"/>
        </w:rPr>
        <w:t>ISSUE</w:t>
      </w:r>
    </w:p>
    <w:p w14:paraId="75C29C7D" w14:textId="4AD417B3" w:rsidR="00415026" w:rsidRDefault="004544E3" w:rsidP="00A422C0">
      <w:pPr>
        <w:spacing w:after="0" w:line="320" w:lineRule="atLeast"/>
        <w:rPr>
          <w:rFonts w:ascii="Verdana" w:hAnsi="Verdana"/>
          <w:sz w:val="21"/>
          <w:szCs w:val="21"/>
        </w:rPr>
      </w:pPr>
      <w:r>
        <w:rPr>
          <w:rFonts w:ascii="Verdana" w:hAnsi="Verdana"/>
          <w:sz w:val="21"/>
          <w:szCs w:val="21"/>
        </w:rPr>
        <w:t xml:space="preserve">The </w:t>
      </w:r>
      <w:r w:rsidR="00C16C3A">
        <w:rPr>
          <w:rFonts w:ascii="Verdana" w:hAnsi="Verdana"/>
          <w:sz w:val="21"/>
          <w:szCs w:val="21"/>
        </w:rPr>
        <w:t xml:space="preserve">total </w:t>
      </w:r>
      <w:r>
        <w:rPr>
          <w:rFonts w:ascii="Verdana" w:hAnsi="Verdana"/>
          <w:sz w:val="21"/>
          <w:szCs w:val="21"/>
        </w:rPr>
        <w:t xml:space="preserve">number of ETPs </w:t>
      </w:r>
      <w:r w:rsidR="00C16C3A">
        <w:rPr>
          <w:rFonts w:ascii="Verdana" w:hAnsi="Verdana"/>
          <w:sz w:val="21"/>
          <w:szCs w:val="21"/>
        </w:rPr>
        <w:t>listed on the JSE has increased from 183 at the end of 2022, to 212 at the end of September 2023</w:t>
      </w:r>
      <w:r>
        <w:rPr>
          <w:rFonts w:ascii="Verdana" w:hAnsi="Verdana"/>
          <w:sz w:val="21"/>
          <w:szCs w:val="21"/>
        </w:rPr>
        <w:t xml:space="preserve"> </w:t>
      </w:r>
    </w:p>
    <w:p w14:paraId="7EF1E16E" w14:textId="0DCFE6E0" w:rsidR="00ED30AE" w:rsidRDefault="004544E3" w:rsidP="00A422C0">
      <w:pPr>
        <w:spacing w:before="120" w:after="0" w:line="320" w:lineRule="atLeast"/>
        <w:rPr>
          <w:rFonts w:ascii="Verdana" w:hAnsi="Verdana"/>
          <w:sz w:val="21"/>
          <w:szCs w:val="21"/>
        </w:rPr>
      </w:pPr>
      <w:r>
        <w:rPr>
          <w:rFonts w:ascii="Verdana" w:hAnsi="Verdana"/>
          <w:sz w:val="21"/>
          <w:szCs w:val="21"/>
        </w:rPr>
        <w:t xml:space="preserve">A </w:t>
      </w:r>
      <w:r w:rsidR="00580F19">
        <w:rPr>
          <w:rFonts w:ascii="Verdana" w:hAnsi="Verdana"/>
          <w:sz w:val="21"/>
          <w:szCs w:val="21"/>
        </w:rPr>
        <w:t xml:space="preserve">breakdown </w:t>
      </w:r>
      <w:r w:rsidR="00960987">
        <w:rPr>
          <w:rFonts w:ascii="Verdana" w:hAnsi="Verdana"/>
          <w:sz w:val="21"/>
          <w:szCs w:val="21"/>
        </w:rPr>
        <w:t>of the ETP</w:t>
      </w:r>
      <w:r>
        <w:rPr>
          <w:rFonts w:ascii="Verdana" w:hAnsi="Verdana"/>
          <w:sz w:val="21"/>
          <w:szCs w:val="21"/>
        </w:rPr>
        <w:t xml:space="preserve"> product types is shown below in Table A. </w:t>
      </w:r>
    </w:p>
    <w:p w14:paraId="2075297F" w14:textId="77777777" w:rsidR="00B5674F" w:rsidRPr="00375ADA" w:rsidRDefault="00B5674F" w:rsidP="00375ADA">
      <w:pPr>
        <w:spacing w:after="0" w:line="240" w:lineRule="auto"/>
        <w:rPr>
          <w:rFonts w:ascii="Verdana" w:hAnsi="Verdana"/>
          <w:sz w:val="16"/>
          <w:szCs w:val="16"/>
        </w:rPr>
      </w:pPr>
    </w:p>
    <w:p w14:paraId="7C527D37" w14:textId="6D3E201F" w:rsidR="002C05CF" w:rsidRPr="002C05CF" w:rsidRDefault="002C05CF" w:rsidP="00580F19">
      <w:pPr>
        <w:spacing w:after="120" w:line="320" w:lineRule="atLeast"/>
        <w:rPr>
          <w:rFonts w:ascii="Verdana" w:hAnsi="Verdana"/>
          <w:b/>
          <w:bCs/>
          <w:sz w:val="21"/>
          <w:szCs w:val="21"/>
        </w:rPr>
      </w:pPr>
      <w:r>
        <w:rPr>
          <w:rFonts w:ascii="Verdana" w:hAnsi="Verdana"/>
          <w:b/>
          <w:bCs/>
          <w:sz w:val="21"/>
          <w:szCs w:val="21"/>
        </w:rPr>
        <w:t>Table A</w:t>
      </w:r>
    </w:p>
    <w:tbl>
      <w:tblPr>
        <w:tblW w:w="94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134"/>
        <w:gridCol w:w="993"/>
        <w:gridCol w:w="1275"/>
        <w:gridCol w:w="1275"/>
      </w:tblGrid>
      <w:tr w:rsidR="00B5674F" w:rsidRPr="003B4F95" w14:paraId="66DD5DCA" w14:textId="028A619E" w:rsidTr="00082439">
        <w:trPr>
          <w:trHeight w:val="360"/>
        </w:trPr>
        <w:tc>
          <w:tcPr>
            <w:tcW w:w="9496" w:type="dxa"/>
            <w:gridSpan w:val="6"/>
            <w:shd w:val="clear" w:color="auto" w:fill="C00000"/>
            <w:vAlign w:val="center"/>
          </w:tcPr>
          <w:p w14:paraId="528289EB" w14:textId="77777777" w:rsidR="00B5674F" w:rsidRDefault="00B5674F"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Number of Exchange Traded Products in Issue</w:t>
            </w:r>
          </w:p>
          <w:p w14:paraId="11CF91F7" w14:textId="74F1D383" w:rsidR="00B5674F" w:rsidRDefault="00B5674F"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(end of period)</w:t>
            </w:r>
          </w:p>
        </w:tc>
      </w:tr>
      <w:tr w:rsidR="00B5674F" w:rsidRPr="003B4F95" w14:paraId="1E959807" w14:textId="631F609C" w:rsidTr="00B5674F">
        <w:trPr>
          <w:trHeight w:val="360"/>
        </w:trPr>
        <w:tc>
          <w:tcPr>
            <w:tcW w:w="3685" w:type="dxa"/>
            <w:shd w:val="clear" w:color="auto" w:fill="4C4C4C"/>
          </w:tcPr>
          <w:p w14:paraId="2D3569C9" w14:textId="33720006" w:rsidR="00B5674F" w:rsidRPr="003B4F95" w:rsidRDefault="00B5674F" w:rsidP="00A422C0">
            <w:pPr>
              <w:spacing w:before="40" w:after="40" w:line="300" w:lineRule="atLeast"/>
              <w:rPr>
                <w:rFonts w:ascii="Verdana" w:hAnsi="Verdana"/>
                <w:b/>
                <w:color w:val="FFFFFF"/>
                <w:sz w:val="18"/>
                <w:szCs w:val="18"/>
              </w:rPr>
            </w:pPr>
          </w:p>
        </w:tc>
        <w:tc>
          <w:tcPr>
            <w:tcW w:w="1134" w:type="dxa"/>
            <w:shd w:val="clear" w:color="auto" w:fill="4C4C4C"/>
            <w:vAlign w:val="center"/>
          </w:tcPr>
          <w:p w14:paraId="75281AB5" w14:textId="3AA1F13D" w:rsidR="00B5674F" w:rsidRPr="003B4F95" w:rsidRDefault="00B5674F"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2019</w:t>
            </w:r>
          </w:p>
        </w:tc>
        <w:tc>
          <w:tcPr>
            <w:tcW w:w="1134" w:type="dxa"/>
            <w:shd w:val="clear" w:color="auto" w:fill="4C4C4C"/>
            <w:vAlign w:val="center"/>
          </w:tcPr>
          <w:p w14:paraId="198B912A" w14:textId="5A12873B" w:rsidR="00B5674F" w:rsidRPr="003B4F95" w:rsidRDefault="00B5674F"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2020</w:t>
            </w:r>
          </w:p>
        </w:tc>
        <w:tc>
          <w:tcPr>
            <w:tcW w:w="993" w:type="dxa"/>
            <w:shd w:val="clear" w:color="auto" w:fill="4C4C4C"/>
            <w:vAlign w:val="center"/>
          </w:tcPr>
          <w:p w14:paraId="56E61AE9" w14:textId="2A923A34" w:rsidR="00B5674F" w:rsidRPr="003B4F95" w:rsidRDefault="00B5674F"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2021</w:t>
            </w:r>
          </w:p>
        </w:tc>
        <w:tc>
          <w:tcPr>
            <w:tcW w:w="1275" w:type="dxa"/>
            <w:shd w:val="clear" w:color="auto" w:fill="4C4C4C"/>
            <w:vAlign w:val="center"/>
          </w:tcPr>
          <w:p w14:paraId="22E3257A" w14:textId="2E86FB34" w:rsidR="00B5674F" w:rsidRPr="003B4F95" w:rsidRDefault="00B5674F"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2022</w:t>
            </w:r>
          </w:p>
        </w:tc>
        <w:tc>
          <w:tcPr>
            <w:tcW w:w="1275" w:type="dxa"/>
            <w:shd w:val="clear" w:color="auto" w:fill="4C4C4C"/>
          </w:tcPr>
          <w:p w14:paraId="45CA3423" w14:textId="04C43BC2" w:rsidR="00B5674F" w:rsidRDefault="00C16C3A" w:rsidP="00A422C0">
            <w:pPr>
              <w:spacing w:before="40" w:after="40" w:line="300" w:lineRule="atLeast"/>
              <w:jc w:val="center"/>
              <w:rPr>
                <w:rFonts w:ascii="Verdana" w:hAnsi="Verdana"/>
                <w:b/>
                <w:color w:val="FFFFFF"/>
                <w:sz w:val="18"/>
                <w:szCs w:val="18"/>
              </w:rPr>
            </w:pPr>
            <w:r>
              <w:rPr>
                <w:rFonts w:ascii="Verdana" w:hAnsi="Verdana"/>
                <w:b/>
                <w:color w:val="FFFFFF"/>
                <w:sz w:val="18"/>
                <w:szCs w:val="18"/>
              </w:rPr>
              <w:t>Sep</w:t>
            </w:r>
            <w:r w:rsidR="0097094A">
              <w:rPr>
                <w:rFonts w:ascii="Verdana" w:hAnsi="Verdana"/>
                <w:b/>
                <w:color w:val="FFFFFF"/>
                <w:sz w:val="18"/>
                <w:szCs w:val="18"/>
              </w:rPr>
              <w:t xml:space="preserve"> </w:t>
            </w:r>
            <w:r w:rsidR="00B5674F">
              <w:rPr>
                <w:rFonts w:ascii="Verdana" w:hAnsi="Verdana"/>
                <w:b/>
                <w:color w:val="FFFFFF"/>
                <w:sz w:val="18"/>
                <w:szCs w:val="18"/>
              </w:rPr>
              <w:t>2023</w:t>
            </w:r>
          </w:p>
        </w:tc>
      </w:tr>
      <w:tr w:rsidR="00B5674F" w14:paraId="1D34DDF6" w14:textId="793EF907" w:rsidTr="00B5674F">
        <w:tc>
          <w:tcPr>
            <w:tcW w:w="3685" w:type="dxa"/>
            <w:shd w:val="clear" w:color="auto" w:fill="auto"/>
          </w:tcPr>
          <w:p w14:paraId="6BF60B33" w14:textId="7EA8772B" w:rsidR="00B5674F" w:rsidRDefault="00B5674F" w:rsidP="00A422C0">
            <w:pPr>
              <w:spacing w:before="40" w:after="40" w:line="300" w:lineRule="atLeast"/>
              <w:rPr>
                <w:rFonts w:ascii="Verdana" w:hAnsi="Verdana"/>
                <w:color w:val="000000"/>
                <w:sz w:val="18"/>
                <w:szCs w:val="18"/>
              </w:rPr>
            </w:pPr>
            <w:r>
              <w:rPr>
                <w:rFonts w:ascii="Verdana" w:hAnsi="Verdana"/>
                <w:color w:val="000000"/>
                <w:sz w:val="18"/>
                <w:szCs w:val="18"/>
              </w:rPr>
              <w:t>Exchange Traded Funds (ETFs)</w:t>
            </w:r>
          </w:p>
        </w:tc>
        <w:tc>
          <w:tcPr>
            <w:tcW w:w="1134" w:type="dxa"/>
            <w:vAlign w:val="center"/>
          </w:tcPr>
          <w:p w14:paraId="59188861" w14:textId="66A563AD"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73</w:t>
            </w:r>
          </w:p>
        </w:tc>
        <w:tc>
          <w:tcPr>
            <w:tcW w:w="1134" w:type="dxa"/>
            <w:vAlign w:val="center"/>
          </w:tcPr>
          <w:p w14:paraId="0CB82234" w14:textId="2739B6F3"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78</w:t>
            </w:r>
          </w:p>
        </w:tc>
        <w:tc>
          <w:tcPr>
            <w:tcW w:w="993" w:type="dxa"/>
            <w:vAlign w:val="center"/>
          </w:tcPr>
          <w:p w14:paraId="145425E3" w14:textId="4CFC9C43"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86</w:t>
            </w:r>
          </w:p>
        </w:tc>
        <w:tc>
          <w:tcPr>
            <w:tcW w:w="1275" w:type="dxa"/>
            <w:vAlign w:val="center"/>
          </w:tcPr>
          <w:p w14:paraId="4029A1DA" w14:textId="1D3E510F"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95</w:t>
            </w:r>
          </w:p>
        </w:tc>
        <w:tc>
          <w:tcPr>
            <w:tcW w:w="1275" w:type="dxa"/>
          </w:tcPr>
          <w:p w14:paraId="7FE48B55" w14:textId="4E1533A2"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9</w:t>
            </w:r>
            <w:r w:rsidR="00C16C3A">
              <w:rPr>
                <w:rFonts w:ascii="Verdana" w:hAnsi="Verdana"/>
                <w:color w:val="000000"/>
                <w:sz w:val="18"/>
                <w:szCs w:val="18"/>
              </w:rPr>
              <w:t>4</w:t>
            </w:r>
          </w:p>
        </w:tc>
      </w:tr>
      <w:tr w:rsidR="00B5674F" w14:paraId="2B4CE8AA" w14:textId="7DC23D94" w:rsidTr="00B5674F">
        <w:tc>
          <w:tcPr>
            <w:tcW w:w="3685" w:type="dxa"/>
            <w:shd w:val="clear" w:color="auto" w:fill="auto"/>
          </w:tcPr>
          <w:p w14:paraId="747A4394" w14:textId="10903854" w:rsidR="00B5674F" w:rsidRDefault="00B5674F" w:rsidP="00A422C0">
            <w:pPr>
              <w:spacing w:before="40" w:after="40" w:line="300" w:lineRule="atLeast"/>
              <w:rPr>
                <w:rFonts w:ascii="Verdana" w:hAnsi="Verdana"/>
                <w:color w:val="000000"/>
                <w:sz w:val="18"/>
                <w:szCs w:val="18"/>
              </w:rPr>
            </w:pPr>
            <w:r>
              <w:rPr>
                <w:rFonts w:ascii="Verdana" w:hAnsi="Verdana"/>
                <w:color w:val="000000"/>
                <w:sz w:val="18"/>
                <w:szCs w:val="18"/>
              </w:rPr>
              <w:t>Exchange Traded Notes (ETNs)</w:t>
            </w:r>
          </w:p>
        </w:tc>
        <w:tc>
          <w:tcPr>
            <w:tcW w:w="1134" w:type="dxa"/>
            <w:vAlign w:val="center"/>
          </w:tcPr>
          <w:p w14:paraId="117F7B15" w14:textId="49D1EC41"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29</w:t>
            </w:r>
          </w:p>
        </w:tc>
        <w:tc>
          <w:tcPr>
            <w:tcW w:w="1134" w:type="dxa"/>
            <w:vAlign w:val="center"/>
          </w:tcPr>
          <w:p w14:paraId="62A180E9" w14:textId="7A2AD3B1"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59</w:t>
            </w:r>
          </w:p>
        </w:tc>
        <w:tc>
          <w:tcPr>
            <w:tcW w:w="993" w:type="dxa"/>
            <w:vAlign w:val="center"/>
          </w:tcPr>
          <w:p w14:paraId="68DB51E5" w14:textId="2C2C987D"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82</w:t>
            </w:r>
          </w:p>
        </w:tc>
        <w:tc>
          <w:tcPr>
            <w:tcW w:w="1275" w:type="dxa"/>
            <w:vAlign w:val="center"/>
          </w:tcPr>
          <w:p w14:paraId="40E1A392" w14:textId="21B3852F"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66</w:t>
            </w:r>
          </w:p>
        </w:tc>
        <w:tc>
          <w:tcPr>
            <w:tcW w:w="1275" w:type="dxa"/>
          </w:tcPr>
          <w:p w14:paraId="1FC140CB" w14:textId="42FE7122" w:rsidR="00B5674F" w:rsidRDefault="004544E3" w:rsidP="00A422C0">
            <w:pPr>
              <w:spacing w:before="40" w:after="40" w:line="300" w:lineRule="atLeast"/>
              <w:jc w:val="center"/>
              <w:rPr>
                <w:rFonts w:ascii="Verdana" w:hAnsi="Verdana"/>
                <w:color w:val="000000"/>
                <w:sz w:val="18"/>
                <w:szCs w:val="18"/>
              </w:rPr>
            </w:pPr>
            <w:r>
              <w:rPr>
                <w:rFonts w:ascii="Verdana" w:hAnsi="Verdana"/>
                <w:color w:val="000000"/>
                <w:sz w:val="18"/>
                <w:szCs w:val="18"/>
              </w:rPr>
              <w:t>71</w:t>
            </w:r>
          </w:p>
        </w:tc>
      </w:tr>
      <w:tr w:rsidR="00B5674F" w14:paraId="4A92A83B" w14:textId="53DF601F" w:rsidTr="00B5674F">
        <w:tc>
          <w:tcPr>
            <w:tcW w:w="3685" w:type="dxa"/>
            <w:shd w:val="clear" w:color="auto" w:fill="auto"/>
          </w:tcPr>
          <w:p w14:paraId="53C939F8" w14:textId="4F494D8E" w:rsidR="00B5674F" w:rsidRDefault="00B5674F" w:rsidP="00A422C0">
            <w:pPr>
              <w:spacing w:before="40" w:after="40" w:line="300" w:lineRule="atLeast"/>
              <w:rPr>
                <w:rFonts w:ascii="Verdana" w:hAnsi="Verdana"/>
                <w:color w:val="000000"/>
                <w:sz w:val="18"/>
                <w:szCs w:val="18"/>
              </w:rPr>
            </w:pPr>
            <w:r>
              <w:rPr>
                <w:rFonts w:ascii="Verdana" w:hAnsi="Verdana"/>
                <w:color w:val="000000"/>
                <w:sz w:val="18"/>
                <w:szCs w:val="18"/>
              </w:rPr>
              <w:t>Actively Managed Certificates (AMCs)</w:t>
            </w:r>
          </w:p>
        </w:tc>
        <w:tc>
          <w:tcPr>
            <w:tcW w:w="1134" w:type="dxa"/>
            <w:vAlign w:val="center"/>
          </w:tcPr>
          <w:p w14:paraId="69C1C2BF" w14:textId="7BC89627"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134" w:type="dxa"/>
            <w:vAlign w:val="center"/>
          </w:tcPr>
          <w:p w14:paraId="4959098E" w14:textId="593545F6"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3" w:type="dxa"/>
            <w:vAlign w:val="center"/>
          </w:tcPr>
          <w:p w14:paraId="77D06333" w14:textId="6BC9C881"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275" w:type="dxa"/>
            <w:vAlign w:val="center"/>
          </w:tcPr>
          <w:p w14:paraId="107A9AD5" w14:textId="11B68734" w:rsidR="00B5674F" w:rsidRDefault="00B5674F" w:rsidP="00A422C0">
            <w:pPr>
              <w:spacing w:before="40" w:after="40" w:line="300" w:lineRule="atLeast"/>
              <w:jc w:val="center"/>
              <w:rPr>
                <w:rFonts w:ascii="Verdana" w:hAnsi="Verdana"/>
                <w:color w:val="000000"/>
                <w:sz w:val="18"/>
                <w:szCs w:val="18"/>
              </w:rPr>
            </w:pPr>
            <w:r>
              <w:rPr>
                <w:rFonts w:ascii="Verdana" w:hAnsi="Verdana"/>
                <w:color w:val="000000"/>
                <w:sz w:val="18"/>
                <w:szCs w:val="18"/>
              </w:rPr>
              <w:t>22</w:t>
            </w:r>
          </w:p>
        </w:tc>
        <w:tc>
          <w:tcPr>
            <w:tcW w:w="1275" w:type="dxa"/>
          </w:tcPr>
          <w:p w14:paraId="3B775DD4" w14:textId="7D007F59" w:rsidR="00B5674F" w:rsidRDefault="00C16C3A" w:rsidP="00A422C0">
            <w:pPr>
              <w:spacing w:before="40" w:after="40" w:line="300" w:lineRule="atLeast"/>
              <w:jc w:val="center"/>
              <w:rPr>
                <w:rFonts w:ascii="Verdana" w:hAnsi="Verdana"/>
                <w:color w:val="000000"/>
                <w:sz w:val="18"/>
                <w:szCs w:val="18"/>
              </w:rPr>
            </w:pPr>
            <w:r>
              <w:rPr>
                <w:rFonts w:ascii="Verdana" w:hAnsi="Verdana"/>
                <w:color w:val="000000"/>
                <w:sz w:val="18"/>
                <w:szCs w:val="18"/>
              </w:rPr>
              <w:t>4</w:t>
            </w:r>
            <w:r w:rsidR="004544E3">
              <w:rPr>
                <w:rFonts w:ascii="Verdana" w:hAnsi="Verdana"/>
                <w:color w:val="000000"/>
                <w:sz w:val="18"/>
                <w:szCs w:val="18"/>
              </w:rPr>
              <w:t>3</w:t>
            </w:r>
          </w:p>
        </w:tc>
      </w:tr>
      <w:tr w:rsidR="004544E3" w14:paraId="2AFF8A4F" w14:textId="77777777" w:rsidTr="00B5674F">
        <w:tc>
          <w:tcPr>
            <w:tcW w:w="3685" w:type="dxa"/>
            <w:shd w:val="clear" w:color="auto" w:fill="auto"/>
          </w:tcPr>
          <w:p w14:paraId="183175D2" w14:textId="1C0A5EBF" w:rsidR="004544E3" w:rsidRDefault="004544E3" w:rsidP="00A422C0">
            <w:pPr>
              <w:spacing w:before="40" w:after="40" w:line="300" w:lineRule="atLeast"/>
              <w:rPr>
                <w:rFonts w:ascii="Verdana" w:hAnsi="Verdana"/>
                <w:color w:val="000000"/>
                <w:sz w:val="18"/>
                <w:szCs w:val="18"/>
              </w:rPr>
            </w:pPr>
            <w:r>
              <w:rPr>
                <w:rFonts w:ascii="Verdana" w:hAnsi="Verdana"/>
                <w:color w:val="000000"/>
                <w:sz w:val="18"/>
                <w:szCs w:val="18"/>
              </w:rPr>
              <w:t>Actively Managed ETFs (AMETFs)</w:t>
            </w:r>
          </w:p>
        </w:tc>
        <w:tc>
          <w:tcPr>
            <w:tcW w:w="1134" w:type="dxa"/>
            <w:vAlign w:val="center"/>
          </w:tcPr>
          <w:p w14:paraId="3C81BB4D" w14:textId="54E19110" w:rsidR="004544E3" w:rsidRDefault="004544E3"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134" w:type="dxa"/>
            <w:vAlign w:val="center"/>
          </w:tcPr>
          <w:p w14:paraId="57FB53C9" w14:textId="6C86FE2F" w:rsidR="004544E3" w:rsidRDefault="004544E3"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3" w:type="dxa"/>
            <w:vAlign w:val="center"/>
          </w:tcPr>
          <w:p w14:paraId="5FCA258D" w14:textId="4318A24F" w:rsidR="004544E3" w:rsidRDefault="004544E3"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275" w:type="dxa"/>
            <w:vAlign w:val="center"/>
          </w:tcPr>
          <w:p w14:paraId="690F82C3" w14:textId="23179062" w:rsidR="004544E3" w:rsidRDefault="004544E3" w:rsidP="00A422C0">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275" w:type="dxa"/>
          </w:tcPr>
          <w:p w14:paraId="13186C4D" w14:textId="20808FD0" w:rsidR="004544E3" w:rsidRDefault="00C16C3A" w:rsidP="00A422C0">
            <w:pPr>
              <w:spacing w:before="40" w:after="40" w:line="300" w:lineRule="atLeast"/>
              <w:jc w:val="center"/>
              <w:rPr>
                <w:rFonts w:ascii="Verdana" w:hAnsi="Verdana"/>
                <w:color w:val="000000"/>
                <w:sz w:val="18"/>
                <w:szCs w:val="18"/>
              </w:rPr>
            </w:pPr>
            <w:r>
              <w:rPr>
                <w:rFonts w:ascii="Verdana" w:hAnsi="Verdana"/>
                <w:color w:val="000000"/>
                <w:sz w:val="18"/>
                <w:szCs w:val="18"/>
              </w:rPr>
              <w:t>4</w:t>
            </w:r>
          </w:p>
        </w:tc>
      </w:tr>
      <w:tr w:rsidR="00B5674F" w14:paraId="5E6C99D8" w14:textId="6D575C50" w:rsidTr="00B5674F">
        <w:tc>
          <w:tcPr>
            <w:tcW w:w="3685" w:type="dxa"/>
            <w:shd w:val="clear" w:color="auto" w:fill="auto"/>
          </w:tcPr>
          <w:p w14:paraId="3DCA2438" w14:textId="7BFD7FBF" w:rsidR="00B5674F" w:rsidRPr="00ED30AE" w:rsidRDefault="00B5674F" w:rsidP="00A422C0">
            <w:pPr>
              <w:spacing w:before="40" w:after="40" w:line="300" w:lineRule="atLeast"/>
              <w:rPr>
                <w:rFonts w:ascii="Verdana" w:hAnsi="Verdana"/>
                <w:b/>
                <w:bCs/>
                <w:color w:val="000000"/>
                <w:sz w:val="18"/>
                <w:szCs w:val="18"/>
              </w:rPr>
            </w:pPr>
            <w:r w:rsidRPr="00ED30AE">
              <w:rPr>
                <w:rFonts w:ascii="Verdana" w:hAnsi="Verdana"/>
                <w:b/>
                <w:bCs/>
                <w:color w:val="000000"/>
                <w:sz w:val="18"/>
                <w:szCs w:val="18"/>
              </w:rPr>
              <w:t>Totals</w:t>
            </w:r>
          </w:p>
        </w:tc>
        <w:tc>
          <w:tcPr>
            <w:tcW w:w="1134" w:type="dxa"/>
            <w:vAlign w:val="center"/>
          </w:tcPr>
          <w:p w14:paraId="0EDC5E53" w14:textId="26C1C73D" w:rsidR="00B5674F" w:rsidRPr="00ED30AE" w:rsidRDefault="00B5674F" w:rsidP="00A422C0">
            <w:pPr>
              <w:spacing w:before="40" w:after="40" w:line="300" w:lineRule="atLeast"/>
              <w:jc w:val="center"/>
              <w:rPr>
                <w:rFonts w:ascii="Verdana" w:hAnsi="Verdana"/>
                <w:b/>
                <w:bCs/>
                <w:color w:val="000000"/>
                <w:sz w:val="18"/>
                <w:szCs w:val="18"/>
              </w:rPr>
            </w:pPr>
            <w:r>
              <w:rPr>
                <w:rFonts w:ascii="Verdana" w:hAnsi="Verdana"/>
                <w:b/>
                <w:bCs/>
                <w:color w:val="000000"/>
                <w:sz w:val="18"/>
                <w:szCs w:val="18"/>
              </w:rPr>
              <w:t>102</w:t>
            </w:r>
          </w:p>
        </w:tc>
        <w:tc>
          <w:tcPr>
            <w:tcW w:w="1134" w:type="dxa"/>
            <w:vAlign w:val="center"/>
          </w:tcPr>
          <w:p w14:paraId="371B51CC" w14:textId="3301D3B9" w:rsidR="00B5674F" w:rsidRPr="00ED30AE" w:rsidRDefault="00B5674F" w:rsidP="00A422C0">
            <w:pPr>
              <w:spacing w:before="40" w:after="40" w:line="300" w:lineRule="atLeast"/>
              <w:jc w:val="center"/>
              <w:rPr>
                <w:rFonts w:ascii="Verdana" w:hAnsi="Verdana"/>
                <w:b/>
                <w:bCs/>
                <w:color w:val="000000"/>
                <w:sz w:val="18"/>
                <w:szCs w:val="18"/>
              </w:rPr>
            </w:pPr>
            <w:r>
              <w:rPr>
                <w:rFonts w:ascii="Verdana" w:hAnsi="Verdana"/>
                <w:b/>
                <w:bCs/>
                <w:color w:val="000000"/>
                <w:sz w:val="18"/>
                <w:szCs w:val="18"/>
              </w:rPr>
              <w:t>137</w:t>
            </w:r>
          </w:p>
        </w:tc>
        <w:tc>
          <w:tcPr>
            <w:tcW w:w="993" w:type="dxa"/>
            <w:vAlign w:val="center"/>
          </w:tcPr>
          <w:p w14:paraId="2E1DC911" w14:textId="1109BE99" w:rsidR="00B5674F" w:rsidRPr="00ED30AE" w:rsidRDefault="00B5674F" w:rsidP="00A422C0">
            <w:pPr>
              <w:spacing w:before="40" w:after="40" w:line="300" w:lineRule="atLeast"/>
              <w:jc w:val="center"/>
              <w:rPr>
                <w:rFonts w:ascii="Verdana" w:hAnsi="Verdana"/>
                <w:b/>
                <w:bCs/>
                <w:color w:val="000000"/>
                <w:sz w:val="18"/>
                <w:szCs w:val="18"/>
              </w:rPr>
            </w:pPr>
            <w:r>
              <w:rPr>
                <w:rFonts w:ascii="Verdana" w:hAnsi="Verdana"/>
                <w:b/>
                <w:bCs/>
                <w:color w:val="000000"/>
                <w:sz w:val="18"/>
                <w:szCs w:val="18"/>
              </w:rPr>
              <w:t>168</w:t>
            </w:r>
          </w:p>
        </w:tc>
        <w:tc>
          <w:tcPr>
            <w:tcW w:w="1275" w:type="dxa"/>
            <w:vAlign w:val="center"/>
          </w:tcPr>
          <w:p w14:paraId="47B74F5E" w14:textId="5E5054C7" w:rsidR="00B5674F" w:rsidRPr="00ED30AE" w:rsidRDefault="00B5674F" w:rsidP="00A422C0">
            <w:pPr>
              <w:spacing w:before="40" w:after="40" w:line="300" w:lineRule="atLeast"/>
              <w:jc w:val="center"/>
              <w:rPr>
                <w:rFonts w:ascii="Verdana" w:hAnsi="Verdana"/>
                <w:b/>
                <w:bCs/>
                <w:color w:val="000000"/>
                <w:sz w:val="18"/>
                <w:szCs w:val="18"/>
              </w:rPr>
            </w:pPr>
            <w:r>
              <w:rPr>
                <w:rFonts w:ascii="Verdana" w:hAnsi="Verdana"/>
                <w:b/>
                <w:bCs/>
                <w:color w:val="000000"/>
                <w:sz w:val="18"/>
                <w:szCs w:val="18"/>
              </w:rPr>
              <w:t>183</w:t>
            </w:r>
          </w:p>
        </w:tc>
        <w:tc>
          <w:tcPr>
            <w:tcW w:w="1275" w:type="dxa"/>
          </w:tcPr>
          <w:p w14:paraId="4B7D6225" w14:textId="1E02EB24" w:rsidR="00B5674F" w:rsidRDefault="004544E3" w:rsidP="00A422C0">
            <w:pPr>
              <w:spacing w:before="40" w:after="40" w:line="300" w:lineRule="atLeast"/>
              <w:jc w:val="center"/>
              <w:rPr>
                <w:rFonts w:ascii="Verdana" w:hAnsi="Verdana"/>
                <w:b/>
                <w:bCs/>
                <w:color w:val="000000"/>
                <w:sz w:val="18"/>
                <w:szCs w:val="18"/>
              </w:rPr>
            </w:pPr>
            <w:r>
              <w:rPr>
                <w:rFonts w:ascii="Verdana" w:hAnsi="Verdana"/>
                <w:b/>
                <w:bCs/>
                <w:color w:val="000000"/>
                <w:sz w:val="18"/>
                <w:szCs w:val="18"/>
              </w:rPr>
              <w:t>2</w:t>
            </w:r>
            <w:r w:rsidR="00B5674F">
              <w:rPr>
                <w:rFonts w:ascii="Verdana" w:hAnsi="Verdana"/>
                <w:b/>
                <w:bCs/>
                <w:color w:val="000000"/>
                <w:sz w:val="18"/>
                <w:szCs w:val="18"/>
              </w:rPr>
              <w:t>1</w:t>
            </w:r>
            <w:r w:rsidR="00C16C3A">
              <w:rPr>
                <w:rFonts w:ascii="Verdana" w:hAnsi="Verdana"/>
                <w:b/>
                <w:bCs/>
                <w:color w:val="000000"/>
                <w:sz w:val="18"/>
                <w:szCs w:val="18"/>
              </w:rPr>
              <w:t>2</w:t>
            </w:r>
          </w:p>
        </w:tc>
      </w:tr>
      <w:tr w:rsidR="00A422C0" w:rsidRPr="00340453" w14:paraId="5BD5C88F" w14:textId="242B13AA" w:rsidTr="00DB0A8A">
        <w:tc>
          <w:tcPr>
            <w:tcW w:w="9496" w:type="dxa"/>
            <w:gridSpan w:val="6"/>
            <w:shd w:val="clear" w:color="auto" w:fill="auto"/>
          </w:tcPr>
          <w:p w14:paraId="239E1BA7" w14:textId="67D36F53" w:rsidR="00A422C0" w:rsidRPr="004544E3" w:rsidRDefault="00A422C0" w:rsidP="00BC654E">
            <w:pPr>
              <w:spacing w:before="40" w:after="40" w:line="240" w:lineRule="auto"/>
              <w:rPr>
                <w:rFonts w:ascii="Verdana" w:hAnsi="Verdana"/>
                <w:i/>
                <w:iCs/>
                <w:color w:val="000000"/>
                <w:sz w:val="18"/>
                <w:szCs w:val="18"/>
                <w:lang w:val="fr-FR"/>
              </w:rPr>
            </w:pPr>
            <w:r w:rsidRPr="004544E3">
              <w:rPr>
                <w:rFonts w:ascii="Verdana" w:hAnsi="Verdana"/>
                <w:i/>
                <w:iCs/>
                <w:color w:val="000000"/>
                <w:sz w:val="18"/>
                <w:szCs w:val="18"/>
                <w:lang w:val="fr-FR"/>
              </w:rPr>
              <w:t>Source: etfSA.co.za (</w:t>
            </w:r>
            <w:r>
              <w:rPr>
                <w:rFonts w:ascii="Verdana" w:hAnsi="Verdana"/>
                <w:i/>
                <w:iCs/>
                <w:color w:val="000000"/>
                <w:sz w:val="18"/>
                <w:szCs w:val="18"/>
                <w:lang w:val="fr-FR"/>
              </w:rPr>
              <w:t>Sep</w:t>
            </w:r>
            <w:r w:rsidRPr="004544E3">
              <w:rPr>
                <w:rFonts w:ascii="Verdana" w:hAnsi="Verdana"/>
                <w:i/>
                <w:iCs/>
                <w:color w:val="000000"/>
                <w:sz w:val="18"/>
                <w:szCs w:val="18"/>
                <w:lang w:val="fr-FR"/>
              </w:rPr>
              <w:t xml:space="preserve"> 2023)</w:t>
            </w:r>
          </w:p>
        </w:tc>
      </w:tr>
    </w:tbl>
    <w:p w14:paraId="79A07EBE" w14:textId="4091970A" w:rsidR="000A6521" w:rsidRDefault="000A6521" w:rsidP="00DC256C">
      <w:pPr>
        <w:spacing w:after="0" w:line="240" w:lineRule="auto"/>
        <w:jc w:val="both"/>
        <w:rPr>
          <w:rFonts w:ascii="Verdana" w:hAnsi="Verdana"/>
          <w:bCs/>
          <w:color w:val="000000" w:themeColor="text1"/>
          <w:sz w:val="21"/>
          <w:szCs w:val="21"/>
          <w:lang w:val="fr-FR"/>
        </w:rPr>
      </w:pPr>
    </w:p>
    <w:p w14:paraId="4A590B71" w14:textId="3343F805" w:rsidR="00C16C3A" w:rsidRDefault="00C16C3A" w:rsidP="00375ADA">
      <w:pPr>
        <w:spacing w:after="40" w:line="320" w:lineRule="atLeast"/>
        <w:jc w:val="both"/>
        <w:rPr>
          <w:rFonts w:ascii="Verdana" w:hAnsi="Verdana"/>
          <w:bCs/>
          <w:color w:val="000000" w:themeColor="text1"/>
          <w:sz w:val="21"/>
          <w:szCs w:val="21"/>
        </w:rPr>
      </w:pPr>
      <w:r w:rsidRPr="00C16C3A">
        <w:rPr>
          <w:rFonts w:ascii="Verdana" w:hAnsi="Verdana"/>
          <w:bCs/>
          <w:color w:val="000000" w:themeColor="text1"/>
          <w:sz w:val="21"/>
          <w:szCs w:val="21"/>
        </w:rPr>
        <w:t>The significant increase in ET</w:t>
      </w:r>
      <w:r>
        <w:rPr>
          <w:rFonts w:ascii="Verdana" w:hAnsi="Verdana"/>
          <w:bCs/>
          <w:color w:val="000000" w:themeColor="text1"/>
          <w:sz w:val="21"/>
          <w:szCs w:val="21"/>
        </w:rPr>
        <w:t xml:space="preserve">F products in issue during the course of this year, has been driven largely by actively managed products.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819"/>
      </w:tblGrid>
      <w:tr w:rsidR="00DC256C" w14:paraId="34747FD7" w14:textId="77777777" w:rsidTr="00A578EF">
        <w:tc>
          <w:tcPr>
            <w:tcW w:w="5103" w:type="dxa"/>
          </w:tcPr>
          <w:p w14:paraId="4B9E738D" w14:textId="18C3BD45" w:rsidR="00375ADA" w:rsidRDefault="00375ADA" w:rsidP="00375ADA">
            <w:pPr>
              <w:spacing w:before="80" w:after="40" w:line="300" w:lineRule="atLeast"/>
              <w:jc w:val="both"/>
              <w:rPr>
                <w:rFonts w:ascii="Verdana" w:hAnsi="Verdana"/>
                <w:sz w:val="21"/>
                <w:szCs w:val="21"/>
              </w:rPr>
            </w:pPr>
            <w:r w:rsidRPr="00C16C3A">
              <w:rPr>
                <w:rFonts w:ascii="Verdana" w:hAnsi="Verdana"/>
                <w:b/>
                <w:color w:val="C00000"/>
                <w:sz w:val="21"/>
                <w:szCs w:val="21"/>
              </w:rPr>
              <w:t>Actively Managed Certificates (AMCs)</w:t>
            </w:r>
          </w:p>
          <w:p w14:paraId="10FF58CC" w14:textId="765F932F" w:rsidR="00DC256C" w:rsidRDefault="009E0A31" w:rsidP="00375ADA">
            <w:pPr>
              <w:spacing w:before="80" w:after="40" w:line="300" w:lineRule="atLeast"/>
              <w:jc w:val="both"/>
              <w:rPr>
                <w:rFonts w:ascii="Verdana" w:hAnsi="Verdana"/>
                <w:sz w:val="21"/>
                <w:szCs w:val="21"/>
              </w:rPr>
            </w:pPr>
            <w:r>
              <w:rPr>
                <w:rFonts w:ascii="Verdana" w:hAnsi="Verdana"/>
                <w:sz w:val="21"/>
                <w:szCs w:val="21"/>
              </w:rPr>
              <w:t xml:space="preserve">The JSE amended its Listing Requirements in October 2022, to allow for actively managed products to be listed on the Exchange under Section 19 (asset backed products) of the JSE Listing Requirements.  AMCs are notes issued to back a portfolio of securities that can be actively managed, rather than passively tracking an index, although the issuer will normally benchmark an index, in order to report </w:t>
            </w:r>
            <w:r w:rsidR="00A422C0">
              <w:rPr>
                <w:rFonts w:ascii="Verdana" w:hAnsi="Verdana"/>
                <w:sz w:val="21"/>
                <w:szCs w:val="21"/>
              </w:rPr>
              <w:t xml:space="preserve">back </w:t>
            </w:r>
            <w:r>
              <w:rPr>
                <w:rFonts w:ascii="Verdana" w:hAnsi="Verdana"/>
                <w:sz w:val="21"/>
                <w:szCs w:val="21"/>
              </w:rPr>
              <w:t xml:space="preserve">on the value created. </w:t>
            </w:r>
          </w:p>
          <w:p w14:paraId="3D045625" w14:textId="77777777" w:rsidR="009E0A31" w:rsidRDefault="009E0A31" w:rsidP="00375ADA">
            <w:pPr>
              <w:spacing w:before="80" w:after="40" w:line="300" w:lineRule="atLeast"/>
              <w:jc w:val="both"/>
              <w:rPr>
                <w:rFonts w:ascii="Verdana" w:hAnsi="Verdana"/>
                <w:sz w:val="21"/>
                <w:szCs w:val="21"/>
              </w:rPr>
            </w:pPr>
            <w:r>
              <w:rPr>
                <w:rFonts w:ascii="Verdana" w:hAnsi="Verdana"/>
                <w:sz w:val="21"/>
                <w:szCs w:val="21"/>
              </w:rPr>
              <w:t xml:space="preserve">AMCs are debt-type instruments. So require </w:t>
            </w:r>
            <w:r w:rsidR="0099591D">
              <w:rPr>
                <w:rFonts w:ascii="Verdana" w:hAnsi="Verdana"/>
                <w:sz w:val="21"/>
                <w:szCs w:val="21"/>
              </w:rPr>
              <w:t>t</w:t>
            </w:r>
            <w:r>
              <w:rPr>
                <w:rFonts w:ascii="Verdana" w:hAnsi="Verdana"/>
                <w:sz w:val="21"/>
                <w:szCs w:val="21"/>
              </w:rPr>
              <w:t xml:space="preserve">he backing </w:t>
            </w:r>
            <w:r w:rsidR="00A422C0">
              <w:rPr>
                <w:rFonts w:ascii="Verdana" w:hAnsi="Verdana"/>
                <w:sz w:val="21"/>
                <w:szCs w:val="21"/>
              </w:rPr>
              <w:t>of</w:t>
            </w:r>
            <w:r>
              <w:rPr>
                <w:rFonts w:ascii="Verdana" w:hAnsi="Verdana"/>
                <w:sz w:val="21"/>
                <w:szCs w:val="21"/>
              </w:rPr>
              <w:t xml:space="preserve"> an investment bank to ensure the creditworthiness of the product.  To date, only the Union Bank of Switzerland (UBS) and Standard Bank of South Africa, have backed the issue of AMCs on the South African market. </w:t>
            </w:r>
          </w:p>
          <w:p w14:paraId="28C8A7FB" w14:textId="6B41504B" w:rsidR="00375ADA" w:rsidRPr="00E159E7" w:rsidRDefault="00375ADA" w:rsidP="00375ADA">
            <w:pPr>
              <w:spacing w:before="80" w:after="40" w:line="300" w:lineRule="atLeast"/>
              <w:jc w:val="both"/>
              <w:rPr>
                <w:rFonts w:ascii="Verdana" w:hAnsi="Verdana"/>
                <w:sz w:val="21"/>
                <w:szCs w:val="21"/>
              </w:rPr>
            </w:pPr>
            <w:r>
              <w:rPr>
                <w:rFonts w:ascii="Verdana" w:hAnsi="Verdana"/>
                <w:sz w:val="21"/>
                <w:szCs w:val="21"/>
              </w:rPr>
              <w:t>This sector of the market was given a head start by UBS converting 19 of its actively managed ETNs into AMCs in late-2022, but it has subsequently added 13 more AMCs to the selection of products available</w:t>
            </w:r>
            <w:r w:rsidR="009C65B3">
              <w:rPr>
                <w:rFonts w:ascii="Verdana" w:hAnsi="Verdana"/>
                <w:sz w:val="21"/>
                <w:szCs w:val="21"/>
              </w:rPr>
              <w:t>.</w:t>
            </w:r>
            <w:r>
              <w:rPr>
                <w:rFonts w:ascii="Verdana" w:hAnsi="Verdana"/>
                <w:sz w:val="21"/>
                <w:szCs w:val="21"/>
              </w:rPr>
              <w:t xml:space="preserve"> Standard Bank has now issued 11 AMCs and a total 43 products are listed under this category of ETPs. </w:t>
            </w:r>
          </w:p>
        </w:tc>
        <w:tc>
          <w:tcPr>
            <w:tcW w:w="284" w:type="dxa"/>
          </w:tcPr>
          <w:p w14:paraId="34E11FDA" w14:textId="77777777" w:rsidR="00DC256C" w:rsidRDefault="00DC256C" w:rsidP="00375ADA">
            <w:pPr>
              <w:spacing w:before="80" w:after="40" w:line="30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92032" behindDoc="0" locked="0" layoutInCell="1" allowOverlap="1" wp14:anchorId="745919E4" wp14:editId="6AB50E98">
                      <wp:simplePos x="0" y="0"/>
                      <wp:positionH relativeFrom="column">
                        <wp:posOffset>17780</wp:posOffset>
                      </wp:positionH>
                      <wp:positionV relativeFrom="paragraph">
                        <wp:posOffset>121285</wp:posOffset>
                      </wp:positionV>
                      <wp:extent cx="25400" cy="5289550"/>
                      <wp:effectExtent l="0" t="0" r="31750" b="25400"/>
                      <wp:wrapNone/>
                      <wp:docPr id="1428695245" name="Straight Connector 1428695245"/>
                      <wp:cNvGraphicFramePr/>
                      <a:graphic xmlns:a="http://schemas.openxmlformats.org/drawingml/2006/main">
                        <a:graphicData uri="http://schemas.microsoft.com/office/word/2010/wordprocessingShape">
                          <wps:wsp>
                            <wps:cNvCnPr/>
                            <wps:spPr>
                              <a:xfrm>
                                <a:off x="0" y="0"/>
                                <a:ext cx="25400" cy="52895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186F7" id="Straight Connector 142869524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9.55pt" to="3.4pt,4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ehugEAANkDAAAOAAAAZHJzL2Uyb0RvYy54bWysU8GO0zAQvSPxD5bv1GlF0RI13UNXywXB&#10;CtgPcJ1xY8n2WLZp0r9n7LbpCpAQiBwmsT3vzZvnyeZ+cpYdISaDvuPLRcMZeIW98YeOP397fHPH&#10;WcrS99Kih46fIPH77etXmzG0sMIBbQ+REYlP7Rg6PuQcWiGSGsDJtMAAng41RiczLeNB9FGOxO6s&#10;WDXNOzFi7ENEBSnR7sP5kG8rv9ag8metE2RmO07aco2xxn2JYruR7SHKMBh1kSH/QYWTxlPRmepB&#10;Zsm+R/MLlTMqYkKdFwqdQK2NgtoDdbNsfurm6yAD1F7InBRmm9L/o1Wfjjv/FMmGMaQ2hadYuph0&#10;dOVN+thUzTrNZsGUmaLN1fptQ44qOlmv7t6v19VMcQOHmPIHQMfKR8et8aUX2crjx5SpIKVeU8q2&#10;9SUmtKZ/NNbWRTzsdzayo6Tb2zXlKRdGwBdptCpQcdNfv/LJwpn2C2hmelK8rOXraMFMK5UCn5cX&#10;Xuspu8A0SZiBzZ+Bl/wChTp2fwOeEbUy+jyDnfEYf1c9T1fJ+px/deDcd7Fgj/2p3my1huanOneZ&#10;9TKgL9cVfvsjtz8AAAD//wMAUEsDBBQABgAIAAAAIQD50iVA2QAAAAYBAAAPAAAAZHJzL2Rvd25y&#10;ZXYueG1sTI5PT4NAEMXvJn6HzZh4swsEm4osjdGY2JvWHjwO7BRI2VnCLi1+e8eTHt+fvPcrt4sb&#10;1Jmm0Hs2kK4SUMSNtz23Bg6fr3cbUCEiWxw8k4FvCrCtrq9KLKy/8Aed97FVMsKhQANdjGOhdWg6&#10;chhWfiSW7Ognh1Hk1Go74UXG3aCzJFlrhz3LQ4cjPXfUnPazM9DsjvqUv+9sfsgdzn39texe3oy5&#10;vVmeHkFFWuJfGX7xBR0qYar9zDaowUAm4FHshxSUxGuRtYHNfZaCrkr9H7/6AQAA//8DAFBLAQIt&#10;ABQABgAIAAAAIQC2gziS/gAAAOEBAAATAAAAAAAAAAAAAAAAAAAAAABbQ29udGVudF9UeXBlc10u&#10;eG1sUEsBAi0AFAAGAAgAAAAhADj9If/WAAAAlAEAAAsAAAAAAAAAAAAAAAAALwEAAF9yZWxzLy5y&#10;ZWxzUEsBAi0AFAAGAAgAAAAhAMUIF6G6AQAA2QMAAA4AAAAAAAAAAAAAAAAALgIAAGRycy9lMm9E&#10;b2MueG1sUEsBAi0AFAAGAAgAAAAhAPnSJUDZAAAABgEAAA8AAAAAAAAAAAAAAAAAFAQAAGRycy9k&#10;b3ducmV2LnhtbFBLBQYAAAAABAAEAPMAAAAaBQAAAAA=&#10;" strokecolor="#c00000" strokeweight=".5pt">
                      <v:stroke joinstyle="miter"/>
                    </v:line>
                  </w:pict>
                </mc:Fallback>
              </mc:AlternateContent>
            </w:r>
          </w:p>
        </w:tc>
        <w:tc>
          <w:tcPr>
            <w:tcW w:w="4819" w:type="dxa"/>
          </w:tcPr>
          <w:p w14:paraId="03351A96" w14:textId="1E3201BC" w:rsidR="00E133D0" w:rsidRDefault="00E133D0" w:rsidP="00375ADA">
            <w:pPr>
              <w:spacing w:before="80" w:after="40" w:line="300" w:lineRule="atLeast"/>
              <w:jc w:val="both"/>
              <w:rPr>
                <w:rFonts w:ascii="Verdana" w:hAnsi="Verdana"/>
                <w:sz w:val="21"/>
                <w:szCs w:val="21"/>
              </w:rPr>
            </w:pPr>
            <w:r>
              <w:rPr>
                <w:rFonts w:ascii="Verdana" w:hAnsi="Verdana"/>
                <w:sz w:val="21"/>
                <w:szCs w:val="21"/>
              </w:rPr>
              <w:t>The AMC list</w:t>
            </w:r>
            <w:r w:rsidR="00340453">
              <w:rPr>
                <w:rFonts w:ascii="Verdana" w:hAnsi="Verdana"/>
                <w:sz w:val="21"/>
                <w:szCs w:val="21"/>
              </w:rPr>
              <w:t>ing</w:t>
            </w:r>
            <w:r>
              <w:rPr>
                <w:rFonts w:ascii="Verdana" w:hAnsi="Verdana"/>
                <w:sz w:val="21"/>
                <w:szCs w:val="21"/>
              </w:rPr>
              <w:t xml:space="preserve"> requirement</w:t>
            </w:r>
            <w:r w:rsidR="00340453">
              <w:rPr>
                <w:rFonts w:ascii="Verdana" w:hAnsi="Verdana"/>
                <w:sz w:val="21"/>
                <w:szCs w:val="21"/>
              </w:rPr>
              <w:t>s</w:t>
            </w:r>
            <w:r>
              <w:rPr>
                <w:rFonts w:ascii="Verdana" w:hAnsi="Verdana"/>
                <w:sz w:val="21"/>
                <w:szCs w:val="21"/>
              </w:rPr>
              <w:t xml:space="preserve"> require that “third party” asset managers be utilised by the issuer of the AMC notes.  This creates an opportunity for asset managers to list “white label” products, which can then trade on the JSE as actively managed portfolio</w:t>
            </w:r>
            <w:r w:rsidR="009C65B3">
              <w:rPr>
                <w:rFonts w:ascii="Verdana" w:hAnsi="Verdana"/>
                <w:sz w:val="21"/>
                <w:szCs w:val="21"/>
              </w:rPr>
              <w:t>s</w:t>
            </w:r>
            <w:r>
              <w:rPr>
                <w:rFonts w:ascii="Verdana" w:hAnsi="Verdana"/>
                <w:sz w:val="21"/>
                <w:szCs w:val="21"/>
              </w:rPr>
              <w:t xml:space="preserve">. </w:t>
            </w:r>
          </w:p>
          <w:p w14:paraId="75C9EA59" w14:textId="77777777" w:rsidR="00375ADA" w:rsidRDefault="00375ADA" w:rsidP="00375ADA">
            <w:pPr>
              <w:spacing w:before="80" w:after="40" w:line="300" w:lineRule="atLeast"/>
              <w:jc w:val="both"/>
              <w:rPr>
                <w:rFonts w:ascii="Verdana" w:hAnsi="Verdana"/>
                <w:bCs/>
                <w:color w:val="000000" w:themeColor="text1"/>
                <w:sz w:val="21"/>
                <w:szCs w:val="21"/>
              </w:rPr>
            </w:pPr>
            <w:r>
              <w:rPr>
                <w:rFonts w:ascii="Verdana" w:hAnsi="Verdana"/>
                <w:bCs/>
                <w:color w:val="000000" w:themeColor="text1"/>
                <w:sz w:val="21"/>
                <w:szCs w:val="21"/>
              </w:rPr>
              <w:t>The asset manager of the portfolio is then able to use the JSE with its electronic trading, settlement and custodian systems, at a very low cost to have these products traded on a secondary market, which extends the potential client base for them</w:t>
            </w:r>
          </w:p>
          <w:p w14:paraId="545DCF8D" w14:textId="77777777" w:rsidR="00375ADA" w:rsidRPr="00C16C3A" w:rsidRDefault="00375ADA" w:rsidP="00375ADA">
            <w:pPr>
              <w:spacing w:before="120" w:after="40" w:line="300" w:lineRule="atLeast"/>
              <w:rPr>
                <w:rFonts w:ascii="Verdana" w:hAnsi="Verdana"/>
                <w:b/>
                <w:color w:val="C00000"/>
                <w:sz w:val="21"/>
                <w:szCs w:val="21"/>
              </w:rPr>
            </w:pPr>
            <w:r w:rsidRPr="00C16C3A">
              <w:rPr>
                <w:rFonts w:ascii="Verdana" w:hAnsi="Verdana"/>
                <w:b/>
                <w:color w:val="C00000"/>
                <w:sz w:val="21"/>
                <w:szCs w:val="21"/>
              </w:rPr>
              <w:t>Actively Man</w:t>
            </w:r>
            <w:r>
              <w:rPr>
                <w:rFonts w:ascii="Verdana" w:hAnsi="Verdana"/>
                <w:b/>
                <w:color w:val="C00000"/>
                <w:sz w:val="21"/>
                <w:szCs w:val="21"/>
              </w:rPr>
              <w:t>aged Exchange Traded Funds (AMETFs)</w:t>
            </w:r>
          </w:p>
          <w:p w14:paraId="0A8F7972" w14:textId="79B27A29" w:rsidR="00375ADA" w:rsidRDefault="00375ADA" w:rsidP="00375ADA">
            <w:pPr>
              <w:spacing w:before="80" w:after="40" w:line="300" w:lineRule="atLeast"/>
              <w:jc w:val="both"/>
              <w:rPr>
                <w:rFonts w:ascii="Verdana" w:hAnsi="Verdana"/>
                <w:bCs/>
                <w:color w:val="000000" w:themeColor="text1"/>
                <w:sz w:val="21"/>
                <w:szCs w:val="21"/>
              </w:rPr>
            </w:pPr>
            <w:r>
              <w:rPr>
                <w:rFonts w:ascii="Verdana" w:hAnsi="Verdana"/>
                <w:bCs/>
                <w:color w:val="000000" w:themeColor="text1"/>
                <w:sz w:val="21"/>
                <w:szCs w:val="21"/>
              </w:rPr>
              <w:t xml:space="preserve">These products are more rigorously structured, as the underlying assets have to be held physically as the collateral for the AMCETF to trade at its NAV or fair value.  Like any ETF, the products are open-ended, with securities created, or redeemed, at any time, market making is required and the underlying portfolios need to be disclosed and transparent. </w:t>
            </w:r>
          </w:p>
          <w:p w14:paraId="1336B2C2" w14:textId="201B6761" w:rsidR="00375ADA" w:rsidRDefault="00375ADA" w:rsidP="00375ADA">
            <w:pPr>
              <w:spacing w:before="80" w:after="40" w:line="300" w:lineRule="atLeast"/>
              <w:jc w:val="both"/>
              <w:rPr>
                <w:rFonts w:ascii="Verdana" w:hAnsi="Verdana"/>
                <w:sz w:val="21"/>
                <w:szCs w:val="21"/>
              </w:rPr>
            </w:pPr>
            <w:r>
              <w:rPr>
                <w:rFonts w:ascii="Verdana" w:hAnsi="Verdana"/>
                <w:bCs/>
                <w:color w:val="000000" w:themeColor="text1"/>
                <w:sz w:val="21"/>
                <w:szCs w:val="21"/>
              </w:rPr>
              <w:t xml:space="preserve">To date, only 4 AMETFs have been issued, but it is believed that many more such products are likely to be listed in due course. </w:t>
            </w:r>
          </w:p>
        </w:tc>
      </w:tr>
    </w:tbl>
    <w:p w14:paraId="795860E2" w14:textId="77777777" w:rsidR="00227D20" w:rsidRPr="00DC256C" w:rsidRDefault="00227D20" w:rsidP="00C72A43">
      <w:pPr>
        <w:spacing w:after="0" w:line="240" w:lineRule="auto"/>
        <w:jc w:val="both"/>
        <w:rPr>
          <w:rFonts w:ascii="Verdana" w:hAnsi="Verdana"/>
          <w:b/>
          <w:color w:val="C00000"/>
          <w:sz w:val="16"/>
          <w:szCs w:val="16"/>
        </w:rPr>
      </w:pPr>
    </w:p>
    <w:p w14:paraId="0F2A783F" w14:textId="76E100C0" w:rsidR="004F60D3" w:rsidRPr="001D0D90" w:rsidRDefault="004F60D3" w:rsidP="001D0D90">
      <w:pPr>
        <w:spacing w:after="120" w:line="240" w:lineRule="auto"/>
        <w:jc w:val="center"/>
        <w:rPr>
          <w:rFonts w:ascii="Verdana" w:hAnsi="Verdana"/>
          <w:b/>
          <w:caps/>
          <w:color w:val="C00000"/>
          <w:sz w:val="24"/>
          <w:szCs w:val="24"/>
        </w:rPr>
      </w:pPr>
      <w:r w:rsidRPr="001D0D90">
        <w:rPr>
          <w:rFonts w:ascii="Verdana" w:hAnsi="Verdana"/>
          <w:b/>
          <w:caps/>
          <w:color w:val="C00000"/>
          <w:sz w:val="24"/>
          <w:szCs w:val="24"/>
        </w:rPr>
        <w:t>New Capital Raised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819"/>
      </w:tblGrid>
      <w:tr w:rsidR="00DC256C" w14:paraId="6A13F7AD" w14:textId="77777777" w:rsidTr="00A578EF">
        <w:tc>
          <w:tcPr>
            <w:tcW w:w="5103" w:type="dxa"/>
          </w:tcPr>
          <w:p w14:paraId="0BD815AF" w14:textId="00A258AE" w:rsidR="008B346F" w:rsidRPr="00E159E7" w:rsidRDefault="001D0D90" w:rsidP="009C65B3">
            <w:pPr>
              <w:spacing w:before="80" w:after="120" w:line="340" w:lineRule="atLeast"/>
              <w:jc w:val="both"/>
              <w:rPr>
                <w:rFonts w:ascii="Verdana" w:hAnsi="Verdana"/>
                <w:sz w:val="21"/>
                <w:szCs w:val="21"/>
              </w:rPr>
            </w:pPr>
            <w:r>
              <w:rPr>
                <w:rFonts w:ascii="Verdana" w:hAnsi="Verdana"/>
                <w:sz w:val="21"/>
                <w:szCs w:val="21"/>
              </w:rPr>
              <w:t>Not only has higher market prices for</w:t>
            </w:r>
            <w:r w:rsidR="00375ADA">
              <w:rPr>
                <w:rFonts w:ascii="Verdana" w:hAnsi="Verdana"/>
                <w:sz w:val="21"/>
                <w:szCs w:val="21"/>
              </w:rPr>
              <w:t xml:space="preserve"> many</w:t>
            </w:r>
            <w:r>
              <w:rPr>
                <w:rFonts w:ascii="Verdana" w:hAnsi="Verdana"/>
                <w:sz w:val="21"/>
                <w:szCs w:val="21"/>
              </w:rPr>
              <w:t xml:space="preserve"> ETP </w:t>
            </w:r>
            <w:r w:rsidR="00375ADA">
              <w:rPr>
                <w:rFonts w:ascii="Verdana" w:hAnsi="Verdana"/>
                <w:sz w:val="21"/>
                <w:szCs w:val="21"/>
              </w:rPr>
              <w:t>s</w:t>
            </w:r>
            <w:r w:rsidR="008B346F">
              <w:rPr>
                <w:rFonts w:ascii="Verdana" w:hAnsi="Verdana"/>
                <w:sz w:val="21"/>
                <w:szCs w:val="21"/>
              </w:rPr>
              <w:t>ecurities, particularly in offshore markets</w:t>
            </w:r>
            <w:r w:rsidR="00375ADA">
              <w:rPr>
                <w:rFonts w:ascii="Verdana" w:hAnsi="Verdana"/>
                <w:sz w:val="21"/>
                <w:szCs w:val="21"/>
              </w:rPr>
              <w:t>,</w:t>
            </w:r>
            <w:r w:rsidR="008B346F">
              <w:rPr>
                <w:rFonts w:ascii="Verdana" w:hAnsi="Verdana"/>
                <w:sz w:val="21"/>
                <w:szCs w:val="21"/>
              </w:rPr>
              <w:t xml:space="preserve"> helped increase</w:t>
            </w:r>
            <w:r w:rsidR="009C65B3">
              <w:rPr>
                <w:rFonts w:ascii="Verdana" w:hAnsi="Verdana"/>
                <w:sz w:val="21"/>
                <w:szCs w:val="21"/>
              </w:rPr>
              <w:t xml:space="preserve"> </w:t>
            </w:r>
            <w:r w:rsidR="008B346F">
              <w:rPr>
                <w:rFonts w:ascii="Verdana" w:hAnsi="Verdana"/>
                <w:sz w:val="21"/>
                <w:szCs w:val="21"/>
              </w:rPr>
              <w:t xml:space="preserve">the market capitalisation of the ETP industry in South Africa, </w:t>
            </w:r>
            <w:r w:rsidR="00375ADA">
              <w:rPr>
                <w:rFonts w:ascii="Verdana" w:hAnsi="Verdana"/>
                <w:sz w:val="21"/>
                <w:szCs w:val="21"/>
              </w:rPr>
              <w:t xml:space="preserve">but also </w:t>
            </w:r>
            <w:r w:rsidR="008B346F">
              <w:rPr>
                <w:rFonts w:ascii="Verdana" w:hAnsi="Verdana"/>
                <w:sz w:val="21"/>
                <w:szCs w:val="21"/>
              </w:rPr>
              <w:t>the capital raised fr</w:t>
            </w:r>
            <w:r w:rsidR="00375ADA">
              <w:rPr>
                <w:rFonts w:ascii="Verdana" w:hAnsi="Verdana"/>
                <w:sz w:val="21"/>
                <w:szCs w:val="21"/>
              </w:rPr>
              <w:t>om</w:t>
            </w:r>
            <w:r w:rsidR="008B346F">
              <w:rPr>
                <w:rFonts w:ascii="Verdana" w:hAnsi="Verdana"/>
                <w:sz w:val="21"/>
                <w:szCs w:val="21"/>
              </w:rPr>
              <w:t xml:space="preserve"> new ETP listings as well as the creati</w:t>
            </w:r>
            <w:r w:rsidR="00375ADA">
              <w:rPr>
                <w:rFonts w:ascii="Verdana" w:hAnsi="Verdana"/>
                <w:sz w:val="21"/>
                <w:szCs w:val="21"/>
              </w:rPr>
              <w:t>o</w:t>
            </w:r>
            <w:r w:rsidR="008B346F">
              <w:rPr>
                <w:rFonts w:ascii="Verdana" w:hAnsi="Verdana"/>
                <w:sz w:val="21"/>
                <w:szCs w:val="21"/>
              </w:rPr>
              <w:t xml:space="preserve">n of </w:t>
            </w:r>
            <w:r w:rsidR="00375ADA">
              <w:rPr>
                <w:rFonts w:ascii="Verdana" w:hAnsi="Verdana"/>
                <w:sz w:val="21"/>
                <w:szCs w:val="21"/>
              </w:rPr>
              <w:t>additional</w:t>
            </w:r>
            <w:r w:rsidR="008B346F">
              <w:rPr>
                <w:rFonts w:ascii="Verdana" w:hAnsi="Verdana"/>
                <w:sz w:val="21"/>
                <w:szCs w:val="21"/>
              </w:rPr>
              <w:t xml:space="preserve"> securities for already listed ETPs, has help</w:t>
            </w:r>
            <w:r w:rsidR="00375ADA">
              <w:rPr>
                <w:rFonts w:ascii="Verdana" w:hAnsi="Verdana"/>
                <w:sz w:val="21"/>
                <w:szCs w:val="21"/>
              </w:rPr>
              <w:t>ed to</w:t>
            </w:r>
            <w:r w:rsidR="008B346F">
              <w:rPr>
                <w:rFonts w:ascii="Verdana" w:hAnsi="Verdana"/>
                <w:sz w:val="21"/>
                <w:szCs w:val="21"/>
              </w:rPr>
              <w:t xml:space="preserve"> grow the size of the industry.</w:t>
            </w:r>
          </w:p>
        </w:tc>
        <w:tc>
          <w:tcPr>
            <w:tcW w:w="284" w:type="dxa"/>
          </w:tcPr>
          <w:p w14:paraId="7BC49EFB" w14:textId="77777777" w:rsidR="00DC256C" w:rsidRDefault="00DC256C" w:rsidP="00A578EF">
            <w:pPr>
              <w:spacing w:before="80" w:after="80" w:line="34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94080" behindDoc="0" locked="0" layoutInCell="1" allowOverlap="1" wp14:anchorId="1B11A3B5" wp14:editId="4D5DF929">
                      <wp:simplePos x="0" y="0"/>
                      <wp:positionH relativeFrom="column">
                        <wp:posOffset>30480</wp:posOffset>
                      </wp:positionH>
                      <wp:positionV relativeFrom="paragraph">
                        <wp:posOffset>122555</wp:posOffset>
                      </wp:positionV>
                      <wp:extent cx="12700" cy="1638300"/>
                      <wp:effectExtent l="0" t="0" r="25400" b="19050"/>
                      <wp:wrapNone/>
                      <wp:docPr id="569539715" name="Straight Connector 569539715"/>
                      <wp:cNvGraphicFramePr/>
                      <a:graphic xmlns:a="http://schemas.openxmlformats.org/drawingml/2006/main">
                        <a:graphicData uri="http://schemas.microsoft.com/office/word/2010/wordprocessingShape">
                          <wps:wsp>
                            <wps:cNvCnPr/>
                            <wps:spPr>
                              <a:xfrm>
                                <a:off x="0" y="0"/>
                                <a:ext cx="12700" cy="16383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78500" id="Straight Connector 5695397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65pt" to="3.4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nQtwEAANkDAAAOAAAAZHJzL2Uyb0RvYy54bWysU8tu2zAQvAfoPxC815QcIA0Eyzk4SC5F&#10;GzTJB9DU0iLAF0jWkv++S0qWg6ZA0SI6rERyZ3Z2uNrcjUaTI4SonG1pvaooAStcp+yhpa8vD59v&#10;KYmJ245rZ6GlJ4j0bvvpajP4Btaud7qDQJDExmbwLe1T8g1jUfRgeFw5DxYPpQuGJ1yGA+sCH5Dd&#10;aLauqhs2uND54ATEiLv30yHdFn4pQaTvUkZIRLcUtaUSQ4n7HNl2w5tD4L5XYpbB/0OF4cpi0YXq&#10;nidOfgb1jsooEVx0Mq2EM8xJqQSUHrCbuvqtm+eeeyi9oDnRLzbFj6MV3447+xTQhsHHJvqnkLsY&#10;ZTD5jfrIWMw6LWbBmIjAzXr9pUJHBZ7UN9e317hAFnYB+xDTIzhD8kdLtbK5F97w49eYptRzSt7W&#10;NsfotOoelNZlEQ77nQ7kyPH2dlV+5hpv0rBihrKL/vKVThom2h8gieqy4lK+jBYstFwIsKmeebXF&#10;7AyTKGEBVn8HzvkZCmXs/gW8IEplZ9MCNsq68KfqaTxLllP+2YGp72zB3nWncrPFGpyfcjvzrOcB&#10;fbsu8Msfuf0FAAD//wMAUEsDBBQABgAIAAAAIQB3UnHU2gAAAAYBAAAPAAAAZHJzL2Rvd25yZXYu&#10;eG1sTI5PT4NAEMXvJn6HzZh4s4staRVZGqMxkZvWHjwO7BRI2VnCLi1+e8eTPb4/ee+Xb2fXqxON&#10;ofNs4H6RgCKuve24MbD/ert7ABUissXeMxn4oQDb4voqx8z6M3/SaRcbJSMcMjTQxjhkWoe6JYdh&#10;4QdiyQ5+dBhFjo22I55l3PV6mSRr7bBjeWhxoJeW6uNucgbq8qCP6Udp033qcOqq77l8fTfm9mZ+&#10;fgIVaY7/ZfjDF3QohKnyE9ugegOpgEexH1egJF6LrAwsN5sV6CLXl/jFLwAAAP//AwBQSwECLQAU&#10;AAYACAAAACEAtoM4kv4AAADhAQAAEwAAAAAAAAAAAAAAAAAAAAAAW0NvbnRlbnRfVHlwZXNdLnht&#10;bFBLAQItABQABgAIAAAAIQA4/SH/1gAAAJQBAAALAAAAAAAAAAAAAAAAAC8BAABfcmVscy8ucmVs&#10;c1BLAQItABQABgAIAAAAIQALHsnQtwEAANkDAAAOAAAAAAAAAAAAAAAAAC4CAABkcnMvZTJvRG9j&#10;LnhtbFBLAQItABQABgAIAAAAIQB3UnHU2gAAAAYBAAAPAAAAAAAAAAAAAAAAABEEAABkcnMvZG93&#10;bnJldi54bWxQSwUGAAAAAAQABADzAAAAGAUAAAAA&#10;" strokecolor="#c00000" strokeweight=".5pt">
                      <v:stroke joinstyle="miter"/>
                    </v:line>
                  </w:pict>
                </mc:Fallback>
              </mc:AlternateContent>
            </w:r>
          </w:p>
        </w:tc>
        <w:tc>
          <w:tcPr>
            <w:tcW w:w="4819" w:type="dxa"/>
          </w:tcPr>
          <w:p w14:paraId="7573BF00" w14:textId="04CFF38C" w:rsidR="008B346F" w:rsidRDefault="008B346F" w:rsidP="00A578EF">
            <w:pPr>
              <w:spacing w:before="80" w:after="80" w:line="340" w:lineRule="atLeast"/>
              <w:jc w:val="both"/>
              <w:rPr>
                <w:rFonts w:ascii="Verdana" w:hAnsi="Verdana"/>
                <w:sz w:val="21"/>
                <w:szCs w:val="21"/>
              </w:rPr>
            </w:pPr>
            <w:r>
              <w:rPr>
                <w:rFonts w:ascii="Verdana" w:hAnsi="Verdana"/>
                <w:sz w:val="21"/>
                <w:szCs w:val="21"/>
              </w:rPr>
              <w:t xml:space="preserve">In the first 9 months of 2023, R10,76 billion new capital was raised by the ETF industry through the JSE from the net creation of ETP securities. </w:t>
            </w:r>
          </w:p>
          <w:p w14:paraId="36E4295F" w14:textId="6429A635" w:rsidR="00644501" w:rsidRDefault="008B346F" w:rsidP="00A578EF">
            <w:pPr>
              <w:spacing w:before="80" w:after="80" w:line="340" w:lineRule="atLeast"/>
              <w:jc w:val="both"/>
              <w:rPr>
                <w:rFonts w:ascii="Verdana" w:hAnsi="Verdana"/>
                <w:sz w:val="21"/>
                <w:szCs w:val="21"/>
              </w:rPr>
            </w:pPr>
            <w:r>
              <w:rPr>
                <w:rFonts w:ascii="Verdana" w:hAnsi="Verdana"/>
                <w:sz w:val="21"/>
                <w:szCs w:val="21"/>
              </w:rPr>
              <w:t xml:space="preserve">Table B, below, shows the amount of capital raised /or redeemed per issuing house for the 9 month period, ending 29 September 2023. </w:t>
            </w:r>
          </w:p>
        </w:tc>
      </w:tr>
    </w:tbl>
    <w:p w14:paraId="520ED480" w14:textId="77777777" w:rsidR="003622B9" w:rsidRDefault="003622B9" w:rsidP="003622B9">
      <w:pPr>
        <w:rPr>
          <w:rFonts w:ascii="Verdana" w:hAnsi="Verdana"/>
          <w:b/>
          <w:bCs/>
          <w:color w:val="000000"/>
          <w:sz w:val="21"/>
          <w:szCs w:val="21"/>
        </w:rPr>
      </w:pPr>
    </w:p>
    <w:p w14:paraId="2C3C0373" w14:textId="07408A85" w:rsidR="00B42190" w:rsidRPr="00B42190" w:rsidRDefault="00B42190" w:rsidP="003622B9">
      <w:pPr>
        <w:rPr>
          <w:rFonts w:ascii="Verdana" w:hAnsi="Verdana"/>
          <w:b/>
          <w:bCs/>
          <w:color w:val="000000"/>
          <w:sz w:val="21"/>
          <w:szCs w:val="21"/>
        </w:rPr>
      </w:pPr>
      <w:r w:rsidRPr="00B42190">
        <w:rPr>
          <w:rFonts w:ascii="Verdana" w:hAnsi="Verdana"/>
          <w:b/>
          <w:bCs/>
          <w:color w:val="000000"/>
          <w:sz w:val="21"/>
          <w:szCs w:val="21"/>
        </w:rPr>
        <w:t xml:space="preserve">Table </w:t>
      </w:r>
      <w:r w:rsidR="00F8317A">
        <w:rPr>
          <w:rFonts w:ascii="Verdana" w:hAnsi="Verdana"/>
          <w:b/>
          <w:bCs/>
          <w:color w:val="000000"/>
          <w:sz w:val="21"/>
          <w:szCs w:val="21"/>
        </w:rPr>
        <w:t>B</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3"/>
        <w:gridCol w:w="1843"/>
      </w:tblGrid>
      <w:tr w:rsidR="004F60D3" w:rsidRPr="00AB6CBE" w14:paraId="374698FD" w14:textId="77777777" w:rsidTr="006666EF">
        <w:tc>
          <w:tcPr>
            <w:tcW w:w="7654" w:type="dxa"/>
            <w:gridSpan w:val="3"/>
            <w:shd w:val="clear" w:color="auto" w:fill="C00000"/>
          </w:tcPr>
          <w:p w14:paraId="5C8361AA" w14:textId="711C1D0D" w:rsidR="001D53A8" w:rsidRPr="003B4F95" w:rsidRDefault="00C72A43" w:rsidP="006B40F7">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Net </w:t>
            </w:r>
            <w:r w:rsidR="004F60D3">
              <w:rPr>
                <w:rFonts w:ascii="Verdana" w:hAnsi="Verdana"/>
                <w:b/>
                <w:color w:val="FFFFFF"/>
                <w:sz w:val="18"/>
                <w:szCs w:val="18"/>
              </w:rPr>
              <w:t xml:space="preserve">New Capital Raised / </w:t>
            </w:r>
            <w:r>
              <w:rPr>
                <w:rFonts w:ascii="Verdana" w:hAnsi="Verdana"/>
                <w:b/>
                <w:color w:val="FFFFFF"/>
                <w:sz w:val="18"/>
                <w:szCs w:val="18"/>
              </w:rPr>
              <w:t>(</w:t>
            </w:r>
            <w:r w:rsidR="004F60D3">
              <w:rPr>
                <w:rFonts w:ascii="Verdana" w:hAnsi="Verdana"/>
                <w:b/>
                <w:color w:val="FFFFFF"/>
                <w:sz w:val="18"/>
                <w:szCs w:val="18"/>
              </w:rPr>
              <w:t>Redeemed</w:t>
            </w:r>
            <w:r>
              <w:rPr>
                <w:rFonts w:ascii="Verdana" w:hAnsi="Verdana"/>
                <w:b/>
                <w:color w:val="FFFFFF"/>
                <w:sz w:val="18"/>
                <w:szCs w:val="18"/>
              </w:rPr>
              <w:t>)</w:t>
            </w:r>
            <w:r w:rsidR="001D53A8">
              <w:rPr>
                <w:rFonts w:ascii="Verdana" w:hAnsi="Verdana"/>
                <w:b/>
                <w:color w:val="FFFFFF"/>
                <w:sz w:val="18"/>
                <w:szCs w:val="18"/>
              </w:rPr>
              <w:t xml:space="preserve"> - South African ETP</w:t>
            </w:r>
            <w:r w:rsidR="004F60D3">
              <w:rPr>
                <w:rFonts w:ascii="Verdana" w:hAnsi="Verdana"/>
                <w:b/>
                <w:color w:val="FFFFFF"/>
                <w:sz w:val="18"/>
                <w:szCs w:val="18"/>
              </w:rPr>
              <w:t xml:space="preserve"> Issuing House</w:t>
            </w:r>
            <w:r w:rsidR="001D53A8">
              <w:rPr>
                <w:rFonts w:ascii="Verdana" w:hAnsi="Verdana"/>
                <w:b/>
                <w:color w:val="FFFFFF"/>
                <w:sz w:val="18"/>
                <w:szCs w:val="18"/>
              </w:rPr>
              <w:t>s</w:t>
            </w:r>
            <w:r>
              <w:rPr>
                <w:rFonts w:ascii="Verdana" w:hAnsi="Verdana"/>
                <w:b/>
                <w:color w:val="FFFFFF"/>
                <w:sz w:val="18"/>
                <w:szCs w:val="18"/>
              </w:rPr>
              <w:t xml:space="preserve"> </w:t>
            </w:r>
            <w:r w:rsidR="00197B1E">
              <w:rPr>
                <w:rFonts w:ascii="Verdana" w:hAnsi="Verdana"/>
                <w:b/>
                <w:color w:val="FFFFFF"/>
                <w:sz w:val="18"/>
                <w:szCs w:val="18"/>
              </w:rPr>
              <w:t>–</w:t>
            </w:r>
            <w:r>
              <w:rPr>
                <w:rFonts w:ascii="Verdana" w:hAnsi="Verdana"/>
                <w:b/>
                <w:color w:val="FFFFFF"/>
                <w:sz w:val="18"/>
                <w:szCs w:val="18"/>
              </w:rPr>
              <w:t xml:space="preserve"> </w:t>
            </w:r>
            <w:r w:rsidR="00197B1E">
              <w:rPr>
                <w:rFonts w:ascii="Verdana" w:hAnsi="Verdana"/>
                <w:b/>
                <w:color w:val="FFFFFF"/>
                <w:sz w:val="18"/>
                <w:szCs w:val="18"/>
              </w:rPr>
              <w:t xml:space="preserve">First </w:t>
            </w:r>
            <w:r w:rsidR="008B346F">
              <w:rPr>
                <w:rFonts w:ascii="Verdana" w:hAnsi="Verdana"/>
                <w:b/>
                <w:color w:val="FFFFFF"/>
                <w:sz w:val="18"/>
                <w:szCs w:val="18"/>
              </w:rPr>
              <w:t xml:space="preserve">Nine Months </w:t>
            </w:r>
            <w:r w:rsidR="00197B1E">
              <w:rPr>
                <w:rFonts w:ascii="Verdana" w:hAnsi="Verdana"/>
                <w:b/>
                <w:color w:val="FFFFFF"/>
                <w:sz w:val="18"/>
                <w:szCs w:val="18"/>
              </w:rPr>
              <w:t>2023</w:t>
            </w:r>
          </w:p>
        </w:tc>
      </w:tr>
      <w:tr w:rsidR="004F60D3" w:rsidRPr="00AB6CBE" w14:paraId="5703AD4C" w14:textId="77777777" w:rsidTr="00C72A43">
        <w:trPr>
          <w:trHeight w:val="360"/>
        </w:trPr>
        <w:tc>
          <w:tcPr>
            <w:tcW w:w="5811" w:type="dxa"/>
            <w:gridSpan w:val="2"/>
            <w:shd w:val="clear" w:color="auto" w:fill="4C4C4C"/>
          </w:tcPr>
          <w:p w14:paraId="2A6800C5" w14:textId="127D1062" w:rsidR="004F60D3" w:rsidRPr="003B4F95" w:rsidRDefault="004F60D3" w:rsidP="006B40F7">
            <w:pPr>
              <w:spacing w:before="40" w:after="40" w:line="320" w:lineRule="atLeast"/>
              <w:rPr>
                <w:rFonts w:ascii="Verdana" w:hAnsi="Verdana"/>
                <w:b/>
                <w:color w:val="FFFFFF"/>
                <w:sz w:val="18"/>
                <w:szCs w:val="18"/>
              </w:rPr>
            </w:pPr>
            <w:r>
              <w:rPr>
                <w:rFonts w:ascii="Verdana" w:hAnsi="Verdana"/>
                <w:b/>
                <w:color w:val="FFFFFF"/>
                <w:sz w:val="18"/>
                <w:szCs w:val="18"/>
              </w:rPr>
              <w:t xml:space="preserve">Issuing </w:t>
            </w:r>
            <w:r w:rsidR="001D53A8">
              <w:rPr>
                <w:rFonts w:ascii="Verdana" w:hAnsi="Verdana"/>
                <w:b/>
                <w:color w:val="FFFFFF"/>
                <w:sz w:val="18"/>
                <w:szCs w:val="18"/>
              </w:rPr>
              <w:t>House</w:t>
            </w:r>
          </w:p>
        </w:tc>
        <w:tc>
          <w:tcPr>
            <w:tcW w:w="1843" w:type="dxa"/>
            <w:shd w:val="clear" w:color="auto" w:fill="4C4C4C"/>
            <w:vAlign w:val="center"/>
          </w:tcPr>
          <w:p w14:paraId="72F25DC1" w14:textId="211D93B5" w:rsidR="004F60D3" w:rsidRPr="003B4F95" w:rsidRDefault="001D53A8" w:rsidP="006B40F7">
            <w:pPr>
              <w:spacing w:before="40" w:after="40" w:line="320" w:lineRule="atLeast"/>
              <w:jc w:val="right"/>
              <w:rPr>
                <w:rFonts w:ascii="Verdana" w:hAnsi="Verdana"/>
                <w:b/>
                <w:color w:val="FFFFFF"/>
                <w:sz w:val="18"/>
                <w:szCs w:val="18"/>
              </w:rPr>
            </w:pPr>
            <w:r>
              <w:rPr>
                <w:rFonts w:ascii="Verdana" w:hAnsi="Verdana"/>
                <w:b/>
                <w:color w:val="FFFFFF"/>
                <w:sz w:val="18"/>
                <w:szCs w:val="18"/>
              </w:rPr>
              <w:t xml:space="preserve">Total Capital </w:t>
            </w:r>
            <w:r w:rsidR="004F60D3">
              <w:rPr>
                <w:rFonts w:ascii="Verdana" w:hAnsi="Verdana"/>
                <w:b/>
                <w:color w:val="FFFFFF"/>
                <w:sz w:val="18"/>
                <w:szCs w:val="18"/>
              </w:rPr>
              <w:t>(R million)</w:t>
            </w:r>
          </w:p>
        </w:tc>
      </w:tr>
      <w:tr w:rsidR="00644501" w:rsidRPr="00AB6CBE" w14:paraId="165280EF" w14:textId="77777777" w:rsidTr="00C72A43">
        <w:tc>
          <w:tcPr>
            <w:tcW w:w="708" w:type="dxa"/>
            <w:shd w:val="clear" w:color="auto" w:fill="auto"/>
          </w:tcPr>
          <w:p w14:paraId="06F8F28E" w14:textId="77777777" w:rsidR="00644501" w:rsidRPr="00DD1C15" w:rsidRDefault="00644501" w:rsidP="006B40F7">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177DDDDF" w14:textId="387E7DDA" w:rsidR="00644501" w:rsidRDefault="00644501" w:rsidP="006B40F7">
            <w:pPr>
              <w:spacing w:before="40" w:after="40" w:line="320" w:lineRule="atLeast"/>
              <w:rPr>
                <w:rFonts w:ascii="Verdana" w:hAnsi="Verdana"/>
                <w:color w:val="000000"/>
                <w:sz w:val="18"/>
                <w:szCs w:val="18"/>
              </w:rPr>
            </w:pPr>
            <w:r>
              <w:rPr>
                <w:rFonts w:ascii="Verdana" w:hAnsi="Verdana"/>
                <w:color w:val="000000"/>
                <w:sz w:val="18"/>
                <w:szCs w:val="18"/>
              </w:rPr>
              <w:t>1nvest (ETFs)</w:t>
            </w:r>
          </w:p>
        </w:tc>
        <w:tc>
          <w:tcPr>
            <w:tcW w:w="1843" w:type="dxa"/>
            <w:vAlign w:val="center"/>
          </w:tcPr>
          <w:p w14:paraId="52B574E6" w14:textId="4834C423" w:rsidR="00644501" w:rsidRDefault="008B346F" w:rsidP="006B40F7">
            <w:pPr>
              <w:spacing w:before="40" w:after="40" w:line="320" w:lineRule="atLeast"/>
              <w:jc w:val="right"/>
              <w:rPr>
                <w:rFonts w:ascii="Verdana" w:hAnsi="Verdana"/>
                <w:color w:val="000000"/>
                <w:sz w:val="18"/>
                <w:szCs w:val="18"/>
              </w:rPr>
            </w:pPr>
            <w:r>
              <w:rPr>
                <w:rFonts w:ascii="Verdana" w:hAnsi="Verdana"/>
                <w:color w:val="000000"/>
                <w:sz w:val="18"/>
                <w:szCs w:val="18"/>
              </w:rPr>
              <w:t>4 302,3</w:t>
            </w:r>
          </w:p>
        </w:tc>
      </w:tr>
      <w:tr w:rsidR="00644501" w:rsidRPr="00AB6CBE" w14:paraId="4C194DC9" w14:textId="77777777" w:rsidTr="00C72A43">
        <w:tc>
          <w:tcPr>
            <w:tcW w:w="708" w:type="dxa"/>
            <w:shd w:val="clear" w:color="auto" w:fill="auto"/>
          </w:tcPr>
          <w:p w14:paraId="0691FC71" w14:textId="77777777" w:rsidR="00644501" w:rsidRPr="00DD1C15" w:rsidRDefault="00644501" w:rsidP="006B40F7">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298E3DAA" w14:textId="479AF717" w:rsidR="00644501" w:rsidRDefault="00644501" w:rsidP="006B40F7">
            <w:pPr>
              <w:spacing w:before="40" w:after="40" w:line="320" w:lineRule="atLeast"/>
              <w:rPr>
                <w:rFonts w:ascii="Verdana" w:hAnsi="Verdana"/>
                <w:color w:val="000000"/>
                <w:sz w:val="18"/>
                <w:szCs w:val="18"/>
              </w:rPr>
            </w:pPr>
            <w:r>
              <w:rPr>
                <w:rFonts w:ascii="Verdana" w:hAnsi="Verdana"/>
                <w:color w:val="000000"/>
                <w:sz w:val="18"/>
                <w:szCs w:val="18"/>
              </w:rPr>
              <w:t>CoreShares/10X (ETFs)</w:t>
            </w:r>
          </w:p>
        </w:tc>
        <w:tc>
          <w:tcPr>
            <w:tcW w:w="1843" w:type="dxa"/>
            <w:vAlign w:val="center"/>
          </w:tcPr>
          <w:p w14:paraId="50E06897" w14:textId="34AE1011" w:rsidR="00644501" w:rsidRDefault="008B346F" w:rsidP="006B40F7">
            <w:pPr>
              <w:spacing w:before="40" w:after="40" w:line="320" w:lineRule="atLeast"/>
              <w:jc w:val="right"/>
              <w:rPr>
                <w:rFonts w:ascii="Verdana" w:hAnsi="Verdana"/>
                <w:color w:val="000000"/>
                <w:sz w:val="18"/>
                <w:szCs w:val="18"/>
              </w:rPr>
            </w:pPr>
            <w:r>
              <w:rPr>
                <w:rFonts w:ascii="Verdana" w:hAnsi="Verdana"/>
                <w:color w:val="000000"/>
                <w:sz w:val="18"/>
                <w:szCs w:val="18"/>
              </w:rPr>
              <w:t>4 219,7</w:t>
            </w:r>
          </w:p>
        </w:tc>
      </w:tr>
      <w:tr w:rsidR="00644501" w:rsidRPr="00AB6CBE" w14:paraId="42A293BC" w14:textId="77777777" w:rsidTr="00C72A43">
        <w:tc>
          <w:tcPr>
            <w:tcW w:w="708" w:type="dxa"/>
            <w:shd w:val="clear" w:color="auto" w:fill="auto"/>
          </w:tcPr>
          <w:p w14:paraId="60D8317F" w14:textId="77777777" w:rsidR="00644501" w:rsidRPr="00DD1C15" w:rsidRDefault="00644501" w:rsidP="006B40F7">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60EFBDA9" w14:textId="07F0393A" w:rsidR="00644501" w:rsidRDefault="008B346F" w:rsidP="006B40F7">
            <w:pPr>
              <w:spacing w:before="40" w:after="40" w:line="320" w:lineRule="atLeast"/>
              <w:rPr>
                <w:rFonts w:ascii="Verdana" w:hAnsi="Verdana"/>
                <w:color w:val="000000"/>
                <w:sz w:val="18"/>
                <w:szCs w:val="18"/>
              </w:rPr>
            </w:pPr>
            <w:r>
              <w:rPr>
                <w:rFonts w:ascii="Verdana" w:hAnsi="Verdana"/>
                <w:color w:val="000000"/>
                <w:sz w:val="18"/>
                <w:szCs w:val="18"/>
              </w:rPr>
              <w:t>Satrix Managers (ETFs)</w:t>
            </w:r>
          </w:p>
        </w:tc>
        <w:tc>
          <w:tcPr>
            <w:tcW w:w="1843" w:type="dxa"/>
            <w:vAlign w:val="center"/>
          </w:tcPr>
          <w:p w14:paraId="684BE524" w14:textId="3A102094" w:rsidR="00644501" w:rsidRDefault="008B346F" w:rsidP="006B40F7">
            <w:pPr>
              <w:spacing w:before="40" w:after="40" w:line="320" w:lineRule="atLeast"/>
              <w:jc w:val="right"/>
              <w:rPr>
                <w:rFonts w:ascii="Verdana" w:hAnsi="Verdana"/>
                <w:color w:val="000000"/>
                <w:sz w:val="18"/>
                <w:szCs w:val="18"/>
              </w:rPr>
            </w:pPr>
            <w:r>
              <w:rPr>
                <w:rFonts w:ascii="Verdana" w:hAnsi="Verdana"/>
                <w:color w:val="000000"/>
                <w:sz w:val="18"/>
                <w:szCs w:val="18"/>
              </w:rPr>
              <w:t>2 207,1</w:t>
            </w:r>
          </w:p>
        </w:tc>
      </w:tr>
      <w:tr w:rsidR="008B346F" w:rsidRPr="00AB6CBE" w14:paraId="3223E5DF" w14:textId="77777777" w:rsidTr="00C72A43">
        <w:tc>
          <w:tcPr>
            <w:tcW w:w="708" w:type="dxa"/>
            <w:shd w:val="clear" w:color="auto" w:fill="auto"/>
          </w:tcPr>
          <w:p w14:paraId="18474ADB"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020F720E" w14:textId="20841706"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Union Bank of Switzerland (AMCs)</w:t>
            </w:r>
          </w:p>
        </w:tc>
        <w:tc>
          <w:tcPr>
            <w:tcW w:w="1843" w:type="dxa"/>
            <w:vAlign w:val="center"/>
          </w:tcPr>
          <w:p w14:paraId="259722EF" w14:textId="2A3FA284" w:rsidR="008B346F" w:rsidRDefault="008B346F" w:rsidP="008B346F">
            <w:pPr>
              <w:spacing w:before="40" w:after="40" w:line="320" w:lineRule="atLeast"/>
              <w:jc w:val="right"/>
              <w:rPr>
                <w:rFonts w:ascii="Verdana" w:hAnsi="Verdana"/>
                <w:color w:val="000000"/>
                <w:sz w:val="18"/>
                <w:szCs w:val="18"/>
              </w:rPr>
            </w:pPr>
            <w:r>
              <w:rPr>
                <w:rFonts w:ascii="Verdana" w:hAnsi="Verdana"/>
                <w:color w:val="000000"/>
                <w:sz w:val="18"/>
                <w:szCs w:val="18"/>
              </w:rPr>
              <w:t>1 973,6</w:t>
            </w:r>
          </w:p>
        </w:tc>
      </w:tr>
      <w:tr w:rsidR="008B346F" w:rsidRPr="00AB6CBE" w14:paraId="4AE58FA3" w14:textId="77777777" w:rsidTr="00C72A43">
        <w:tc>
          <w:tcPr>
            <w:tcW w:w="708" w:type="dxa"/>
            <w:shd w:val="clear" w:color="auto" w:fill="auto"/>
          </w:tcPr>
          <w:p w14:paraId="701246EF"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08382EFF" w14:textId="14A03B5D"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Standard Bank (AMCs)</w:t>
            </w:r>
          </w:p>
        </w:tc>
        <w:tc>
          <w:tcPr>
            <w:tcW w:w="1843" w:type="dxa"/>
            <w:vAlign w:val="center"/>
          </w:tcPr>
          <w:p w14:paraId="6E6F9CF7" w14:textId="255C919B" w:rsidR="008B346F" w:rsidRDefault="008B346F" w:rsidP="008B346F">
            <w:pPr>
              <w:spacing w:before="40" w:after="40" w:line="320" w:lineRule="atLeast"/>
              <w:jc w:val="right"/>
              <w:rPr>
                <w:rFonts w:ascii="Verdana" w:hAnsi="Verdana"/>
                <w:color w:val="000000"/>
                <w:sz w:val="18"/>
                <w:szCs w:val="18"/>
              </w:rPr>
            </w:pPr>
            <w:r>
              <w:rPr>
                <w:rFonts w:ascii="Verdana" w:hAnsi="Verdana"/>
                <w:color w:val="000000"/>
                <w:sz w:val="18"/>
                <w:szCs w:val="18"/>
              </w:rPr>
              <w:t>850,0</w:t>
            </w:r>
          </w:p>
        </w:tc>
      </w:tr>
      <w:tr w:rsidR="008B346F" w:rsidRPr="00AB6CBE" w14:paraId="4E075996" w14:textId="77777777" w:rsidTr="00C72A43">
        <w:tc>
          <w:tcPr>
            <w:tcW w:w="708" w:type="dxa"/>
            <w:shd w:val="clear" w:color="auto" w:fill="auto"/>
          </w:tcPr>
          <w:p w14:paraId="1FAA5C65"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65A75DD1" w14:textId="17783BD4"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FNB (ETFs)</w:t>
            </w:r>
          </w:p>
        </w:tc>
        <w:tc>
          <w:tcPr>
            <w:tcW w:w="1843" w:type="dxa"/>
            <w:vAlign w:val="center"/>
          </w:tcPr>
          <w:p w14:paraId="60C70493" w14:textId="7104BAFF" w:rsidR="008B346F" w:rsidRDefault="008B346F" w:rsidP="008B346F">
            <w:pPr>
              <w:spacing w:before="40" w:after="40" w:line="320" w:lineRule="atLeast"/>
              <w:jc w:val="right"/>
              <w:rPr>
                <w:rFonts w:ascii="Verdana" w:hAnsi="Verdana"/>
                <w:color w:val="000000"/>
                <w:sz w:val="18"/>
                <w:szCs w:val="18"/>
              </w:rPr>
            </w:pPr>
            <w:r>
              <w:rPr>
                <w:rFonts w:ascii="Verdana" w:hAnsi="Verdana"/>
                <w:color w:val="000000"/>
                <w:sz w:val="18"/>
                <w:szCs w:val="18"/>
              </w:rPr>
              <w:t>579,7</w:t>
            </w:r>
          </w:p>
        </w:tc>
      </w:tr>
      <w:tr w:rsidR="008B346F" w:rsidRPr="00AB6CBE" w14:paraId="0FD2AD27" w14:textId="77777777" w:rsidTr="00C72A43">
        <w:tc>
          <w:tcPr>
            <w:tcW w:w="708" w:type="dxa"/>
            <w:shd w:val="clear" w:color="auto" w:fill="auto"/>
          </w:tcPr>
          <w:p w14:paraId="766293D2"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3ECDD839" w14:textId="0E4A28A2"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Absa Capital (NewWave ETNs)</w:t>
            </w:r>
          </w:p>
        </w:tc>
        <w:tc>
          <w:tcPr>
            <w:tcW w:w="1843" w:type="dxa"/>
            <w:vAlign w:val="center"/>
          </w:tcPr>
          <w:p w14:paraId="79ECE323" w14:textId="6DA46899" w:rsidR="008B346F" w:rsidRDefault="008B346F" w:rsidP="008B346F">
            <w:pPr>
              <w:spacing w:before="40" w:after="40" w:line="320" w:lineRule="atLeast"/>
              <w:jc w:val="right"/>
              <w:rPr>
                <w:rFonts w:ascii="Verdana" w:hAnsi="Verdana"/>
                <w:color w:val="000000"/>
                <w:sz w:val="18"/>
                <w:szCs w:val="18"/>
              </w:rPr>
            </w:pPr>
            <w:r>
              <w:rPr>
                <w:rFonts w:ascii="Verdana" w:hAnsi="Verdana"/>
                <w:color w:val="000000"/>
                <w:sz w:val="18"/>
                <w:szCs w:val="18"/>
              </w:rPr>
              <w:t>126,6</w:t>
            </w:r>
          </w:p>
        </w:tc>
      </w:tr>
      <w:tr w:rsidR="008B346F" w:rsidRPr="00AB6CBE" w14:paraId="5FBEB32C" w14:textId="77777777" w:rsidTr="00C72A43">
        <w:tc>
          <w:tcPr>
            <w:tcW w:w="708" w:type="dxa"/>
            <w:shd w:val="clear" w:color="auto" w:fill="auto"/>
          </w:tcPr>
          <w:p w14:paraId="51C510D4"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102378E6" w14:textId="7912FC2D" w:rsidR="008B346F" w:rsidRDefault="00BF6A40" w:rsidP="008B346F">
            <w:pPr>
              <w:spacing w:before="40" w:after="40" w:line="320" w:lineRule="atLeast"/>
              <w:rPr>
                <w:rFonts w:ascii="Verdana" w:hAnsi="Verdana"/>
                <w:color w:val="000000"/>
                <w:sz w:val="18"/>
                <w:szCs w:val="18"/>
              </w:rPr>
            </w:pPr>
            <w:r>
              <w:rPr>
                <w:rFonts w:ascii="Verdana" w:hAnsi="Verdana"/>
                <w:color w:val="000000"/>
                <w:sz w:val="18"/>
                <w:szCs w:val="18"/>
              </w:rPr>
              <w:t>Union Bank of Switzerland (ETNs)</w:t>
            </w:r>
          </w:p>
        </w:tc>
        <w:tc>
          <w:tcPr>
            <w:tcW w:w="1843" w:type="dxa"/>
            <w:vAlign w:val="center"/>
          </w:tcPr>
          <w:p w14:paraId="3BE1C7E7" w14:textId="4481FB7C" w:rsidR="008B346F" w:rsidRDefault="00BF6A40" w:rsidP="008B346F">
            <w:pPr>
              <w:spacing w:before="40" w:after="40" w:line="320" w:lineRule="atLeast"/>
              <w:jc w:val="right"/>
              <w:rPr>
                <w:rFonts w:ascii="Verdana" w:hAnsi="Verdana"/>
                <w:color w:val="000000"/>
                <w:sz w:val="18"/>
                <w:szCs w:val="18"/>
              </w:rPr>
            </w:pPr>
            <w:r>
              <w:rPr>
                <w:rFonts w:ascii="Verdana" w:hAnsi="Verdana"/>
                <w:color w:val="000000"/>
                <w:sz w:val="18"/>
                <w:szCs w:val="18"/>
              </w:rPr>
              <w:t>125,0</w:t>
            </w:r>
          </w:p>
        </w:tc>
      </w:tr>
      <w:tr w:rsidR="008B346F" w:rsidRPr="00AB6CBE" w14:paraId="126228F4" w14:textId="77777777" w:rsidTr="00C72A43">
        <w:tc>
          <w:tcPr>
            <w:tcW w:w="708" w:type="dxa"/>
            <w:shd w:val="clear" w:color="auto" w:fill="auto"/>
          </w:tcPr>
          <w:p w14:paraId="21817462"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7E5A8A4C" w14:textId="5AFC64CB" w:rsidR="008B346F" w:rsidRDefault="00BF6A40" w:rsidP="008B346F">
            <w:pPr>
              <w:spacing w:before="40" w:after="40" w:line="320" w:lineRule="atLeast"/>
              <w:rPr>
                <w:rFonts w:ascii="Verdana" w:hAnsi="Verdana"/>
                <w:color w:val="000000"/>
                <w:sz w:val="18"/>
                <w:szCs w:val="18"/>
              </w:rPr>
            </w:pPr>
            <w:r>
              <w:rPr>
                <w:rFonts w:ascii="Verdana" w:hAnsi="Verdana"/>
                <w:color w:val="000000"/>
                <w:sz w:val="18"/>
                <w:szCs w:val="18"/>
              </w:rPr>
              <w:t>Prescient Management Company (ETFs)</w:t>
            </w:r>
          </w:p>
        </w:tc>
        <w:tc>
          <w:tcPr>
            <w:tcW w:w="1843" w:type="dxa"/>
            <w:vAlign w:val="center"/>
          </w:tcPr>
          <w:p w14:paraId="72787660" w14:textId="3A0CB2BF" w:rsidR="008B346F" w:rsidRDefault="00BF6A40" w:rsidP="008B346F">
            <w:pPr>
              <w:spacing w:before="40" w:after="40" w:line="320" w:lineRule="atLeast"/>
              <w:jc w:val="right"/>
              <w:rPr>
                <w:rFonts w:ascii="Verdana" w:hAnsi="Verdana"/>
                <w:color w:val="000000"/>
                <w:sz w:val="18"/>
                <w:szCs w:val="18"/>
              </w:rPr>
            </w:pPr>
            <w:r>
              <w:rPr>
                <w:rFonts w:ascii="Verdana" w:hAnsi="Verdana"/>
                <w:color w:val="000000"/>
                <w:sz w:val="18"/>
                <w:szCs w:val="18"/>
              </w:rPr>
              <w:t>116,0</w:t>
            </w:r>
          </w:p>
        </w:tc>
      </w:tr>
      <w:tr w:rsidR="008B346F" w:rsidRPr="00AB6CBE" w14:paraId="19C3801B" w14:textId="77777777" w:rsidTr="00C72A43">
        <w:tc>
          <w:tcPr>
            <w:tcW w:w="708" w:type="dxa"/>
            <w:shd w:val="clear" w:color="auto" w:fill="auto"/>
          </w:tcPr>
          <w:p w14:paraId="2BF0E972"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5438803F" w14:textId="7DAB6585" w:rsidR="008B346F" w:rsidRDefault="00BF6A40" w:rsidP="008B346F">
            <w:pPr>
              <w:spacing w:before="40" w:after="40" w:line="320" w:lineRule="atLeast"/>
              <w:rPr>
                <w:rFonts w:ascii="Verdana" w:hAnsi="Verdana"/>
                <w:color w:val="000000"/>
                <w:sz w:val="18"/>
                <w:szCs w:val="18"/>
              </w:rPr>
            </w:pPr>
            <w:r>
              <w:rPr>
                <w:rFonts w:ascii="Verdana" w:hAnsi="Verdana"/>
                <w:color w:val="000000"/>
                <w:sz w:val="18"/>
                <w:szCs w:val="18"/>
              </w:rPr>
              <w:t>FNB (ETNs)</w:t>
            </w:r>
          </w:p>
        </w:tc>
        <w:tc>
          <w:tcPr>
            <w:tcW w:w="1843" w:type="dxa"/>
            <w:vAlign w:val="center"/>
          </w:tcPr>
          <w:p w14:paraId="169CD5D1" w14:textId="1DD534C9" w:rsidR="008B346F" w:rsidRDefault="00BF6A40" w:rsidP="008B346F">
            <w:pPr>
              <w:spacing w:before="40" w:after="40" w:line="320" w:lineRule="atLeast"/>
              <w:jc w:val="right"/>
              <w:rPr>
                <w:rFonts w:ascii="Verdana" w:hAnsi="Verdana"/>
                <w:color w:val="000000"/>
                <w:sz w:val="18"/>
                <w:szCs w:val="18"/>
              </w:rPr>
            </w:pPr>
            <w:r>
              <w:rPr>
                <w:rFonts w:ascii="Verdana" w:hAnsi="Verdana"/>
                <w:color w:val="000000"/>
                <w:sz w:val="18"/>
                <w:szCs w:val="18"/>
              </w:rPr>
              <w:t>50,0</w:t>
            </w:r>
          </w:p>
        </w:tc>
      </w:tr>
      <w:tr w:rsidR="008B346F" w:rsidRPr="00AB6CBE" w14:paraId="430DCB56" w14:textId="77777777" w:rsidTr="00C72A43">
        <w:tc>
          <w:tcPr>
            <w:tcW w:w="708" w:type="dxa"/>
            <w:shd w:val="clear" w:color="auto" w:fill="auto"/>
          </w:tcPr>
          <w:p w14:paraId="32EA4EFF"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61E56B7F" w14:textId="4D031DC7" w:rsidR="008B346F" w:rsidRDefault="00BF6A40" w:rsidP="008B346F">
            <w:pPr>
              <w:spacing w:before="40" w:after="40" w:line="320" w:lineRule="atLeast"/>
              <w:rPr>
                <w:rFonts w:ascii="Verdana" w:hAnsi="Verdana"/>
                <w:color w:val="000000"/>
                <w:sz w:val="18"/>
                <w:szCs w:val="18"/>
              </w:rPr>
            </w:pPr>
            <w:r>
              <w:rPr>
                <w:rFonts w:ascii="Verdana" w:hAnsi="Verdana"/>
                <w:color w:val="000000"/>
                <w:sz w:val="18"/>
                <w:szCs w:val="18"/>
              </w:rPr>
              <w:t>Absa Capital (NewFunds ETFs, NewGold ETFs)</w:t>
            </w:r>
          </w:p>
        </w:tc>
        <w:tc>
          <w:tcPr>
            <w:tcW w:w="1843" w:type="dxa"/>
            <w:vAlign w:val="center"/>
          </w:tcPr>
          <w:p w14:paraId="3959BF54" w14:textId="0088F9BE" w:rsidR="008B346F" w:rsidRDefault="00BF6A40" w:rsidP="008B346F">
            <w:pPr>
              <w:spacing w:before="40" w:after="40" w:line="320" w:lineRule="atLeast"/>
              <w:jc w:val="right"/>
              <w:rPr>
                <w:rFonts w:ascii="Verdana" w:hAnsi="Verdana"/>
                <w:color w:val="000000"/>
                <w:sz w:val="18"/>
                <w:szCs w:val="18"/>
              </w:rPr>
            </w:pPr>
            <w:r>
              <w:rPr>
                <w:rFonts w:ascii="Verdana" w:hAnsi="Verdana"/>
                <w:color w:val="000000"/>
                <w:sz w:val="18"/>
                <w:szCs w:val="18"/>
              </w:rPr>
              <w:t>(1 690,2</w:t>
            </w:r>
            <w:r w:rsidR="00692B83">
              <w:rPr>
                <w:rFonts w:ascii="Verdana" w:hAnsi="Verdana"/>
                <w:color w:val="000000"/>
                <w:sz w:val="18"/>
                <w:szCs w:val="18"/>
              </w:rPr>
              <w:t>)</w:t>
            </w:r>
          </w:p>
        </w:tc>
      </w:tr>
      <w:tr w:rsidR="008B346F" w:rsidRPr="00AB6CBE" w14:paraId="3EB767D8" w14:textId="77777777" w:rsidTr="00C72A43">
        <w:tc>
          <w:tcPr>
            <w:tcW w:w="708" w:type="dxa"/>
            <w:shd w:val="clear" w:color="auto" w:fill="auto"/>
          </w:tcPr>
          <w:p w14:paraId="3E50F4FD" w14:textId="77777777" w:rsidR="008B346F" w:rsidRPr="00DD1C15" w:rsidRDefault="008B346F" w:rsidP="008B346F">
            <w:pPr>
              <w:pStyle w:val="ListParagraph"/>
              <w:numPr>
                <w:ilvl w:val="0"/>
                <w:numId w:val="21"/>
              </w:numPr>
              <w:spacing w:before="40" w:after="40" w:line="320" w:lineRule="atLeast"/>
              <w:ind w:left="357" w:hanging="357"/>
              <w:rPr>
                <w:rFonts w:ascii="Verdana" w:hAnsi="Verdana"/>
                <w:color w:val="000000"/>
                <w:sz w:val="18"/>
                <w:szCs w:val="18"/>
              </w:rPr>
            </w:pPr>
          </w:p>
        </w:tc>
        <w:tc>
          <w:tcPr>
            <w:tcW w:w="5103" w:type="dxa"/>
            <w:shd w:val="clear" w:color="auto" w:fill="auto"/>
          </w:tcPr>
          <w:p w14:paraId="42D36C65" w14:textId="68E4268A" w:rsidR="008B346F" w:rsidRDefault="008B346F" w:rsidP="008B346F">
            <w:pPr>
              <w:spacing w:before="40" w:after="40" w:line="320" w:lineRule="atLeast"/>
              <w:rPr>
                <w:rFonts w:ascii="Verdana" w:hAnsi="Verdana"/>
                <w:color w:val="000000"/>
                <w:sz w:val="18"/>
                <w:szCs w:val="18"/>
              </w:rPr>
            </w:pPr>
            <w:r>
              <w:rPr>
                <w:rFonts w:ascii="Verdana" w:hAnsi="Verdana"/>
                <w:color w:val="000000"/>
                <w:sz w:val="18"/>
                <w:szCs w:val="18"/>
              </w:rPr>
              <w:t>Sygnia Itrix (ETFs)</w:t>
            </w:r>
          </w:p>
        </w:tc>
        <w:tc>
          <w:tcPr>
            <w:tcW w:w="1843" w:type="dxa"/>
            <w:vAlign w:val="center"/>
          </w:tcPr>
          <w:p w14:paraId="43F23A67" w14:textId="5B90D69F" w:rsidR="008B346F" w:rsidRDefault="00BF6A40" w:rsidP="008B346F">
            <w:pPr>
              <w:spacing w:before="40" w:after="40" w:line="320" w:lineRule="atLeast"/>
              <w:jc w:val="right"/>
              <w:rPr>
                <w:rFonts w:ascii="Verdana" w:hAnsi="Verdana"/>
                <w:color w:val="000000"/>
                <w:sz w:val="18"/>
                <w:szCs w:val="18"/>
              </w:rPr>
            </w:pPr>
            <w:r>
              <w:rPr>
                <w:rFonts w:ascii="Verdana" w:hAnsi="Verdana"/>
                <w:color w:val="000000"/>
                <w:sz w:val="18"/>
                <w:szCs w:val="18"/>
              </w:rPr>
              <w:t>(2 096,5)</w:t>
            </w:r>
          </w:p>
        </w:tc>
      </w:tr>
      <w:tr w:rsidR="008B346F" w:rsidRPr="00DD1C15" w14:paraId="37C1C93E" w14:textId="77777777" w:rsidTr="00C72A43">
        <w:tc>
          <w:tcPr>
            <w:tcW w:w="5811" w:type="dxa"/>
            <w:gridSpan w:val="2"/>
            <w:shd w:val="clear" w:color="auto" w:fill="auto"/>
          </w:tcPr>
          <w:p w14:paraId="0BD42997" w14:textId="77777777" w:rsidR="008B346F" w:rsidRPr="00DD1C15" w:rsidRDefault="008B346F" w:rsidP="008B346F">
            <w:pPr>
              <w:spacing w:before="40" w:after="40" w:line="320" w:lineRule="atLeast"/>
              <w:rPr>
                <w:rFonts w:ascii="Verdana" w:hAnsi="Verdana"/>
                <w:b/>
                <w:bCs/>
                <w:color w:val="000000"/>
                <w:sz w:val="18"/>
                <w:szCs w:val="18"/>
              </w:rPr>
            </w:pPr>
            <w:r>
              <w:rPr>
                <w:rFonts w:ascii="Verdana" w:hAnsi="Verdana"/>
                <w:b/>
                <w:bCs/>
                <w:color w:val="000000"/>
                <w:sz w:val="18"/>
                <w:szCs w:val="18"/>
              </w:rPr>
              <w:t>Total</w:t>
            </w:r>
          </w:p>
        </w:tc>
        <w:tc>
          <w:tcPr>
            <w:tcW w:w="1843" w:type="dxa"/>
            <w:vAlign w:val="center"/>
          </w:tcPr>
          <w:p w14:paraId="654C3608" w14:textId="557247F8" w:rsidR="008B346F" w:rsidRPr="00DD1C15" w:rsidRDefault="00BF6A40" w:rsidP="008B346F">
            <w:pPr>
              <w:spacing w:before="40" w:after="40" w:line="320" w:lineRule="atLeast"/>
              <w:jc w:val="right"/>
              <w:rPr>
                <w:rFonts w:ascii="Verdana" w:hAnsi="Verdana"/>
                <w:b/>
                <w:bCs/>
                <w:color w:val="000000"/>
                <w:sz w:val="18"/>
                <w:szCs w:val="18"/>
              </w:rPr>
            </w:pPr>
            <w:r>
              <w:rPr>
                <w:rFonts w:ascii="Verdana" w:hAnsi="Verdana"/>
                <w:b/>
                <w:bCs/>
                <w:color w:val="000000"/>
                <w:sz w:val="18"/>
                <w:szCs w:val="18"/>
              </w:rPr>
              <w:t>10 763,3</w:t>
            </w:r>
          </w:p>
        </w:tc>
      </w:tr>
      <w:tr w:rsidR="008B346F" w:rsidRPr="006015AB" w14:paraId="0965F958" w14:textId="77777777" w:rsidTr="006666EF">
        <w:trPr>
          <w:trHeight w:val="217"/>
        </w:trPr>
        <w:tc>
          <w:tcPr>
            <w:tcW w:w="7654" w:type="dxa"/>
            <w:gridSpan w:val="3"/>
            <w:shd w:val="clear" w:color="auto" w:fill="auto"/>
            <w:vAlign w:val="center"/>
          </w:tcPr>
          <w:p w14:paraId="20521E6D" w14:textId="2FFBFDF3" w:rsidR="008B346F" w:rsidRPr="006015AB" w:rsidRDefault="008B346F" w:rsidP="008B346F">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(Sep 2023).</w:t>
            </w:r>
          </w:p>
        </w:tc>
      </w:tr>
    </w:tbl>
    <w:p w14:paraId="03987C62" w14:textId="77777777" w:rsidR="00197B1E" w:rsidRDefault="00197B1E" w:rsidP="006B40F7">
      <w:pPr>
        <w:spacing w:after="0" w:line="340" w:lineRule="atLeast"/>
        <w:rPr>
          <w:rFonts w:ascii="Verdana" w:hAnsi="Verdana"/>
          <w:sz w:val="21"/>
          <w:szCs w:val="21"/>
        </w:rPr>
      </w:pPr>
    </w:p>
    <w:p w14:paraId="0BA4C997" w14:textId="75D14026" w:rsidR="006B40F7" w:rsidRDefault="00BF6A40" w:rsidP="00E24417">
      <w:pPr>
        <w:spacing w:before="120" w:after="0" w:line="340" w:lineRule="atLeast"/>
        <w:rPr>
          <w:rFonts w:ascii="Verdana" w:hAnsi="Verdana"/>
          <w:sz w:val="21"/>
          <w:szCs w:val="21"/>
        </w:rPr>
      </w:pPr>
      <w:r>
        <w:rPr>
          <w:rFonts w:ascii="Verdana" w:hAnsi="Verdana"/>
          <w:sz w:val="21"/>
          <w:szCs w:val="21"/>
        </w:rPr>
        <w:t xml:space="preserve">1nvest (Standard Bank) and CoreShares/10X are top of the </w:t>
      </w:r>
      <w:r w:rsidR="00692B83">
        <w:rPr>
          <w:rFonts w:ascii="Verdana" w:hAnsi="Verdana"/>
          <w:sz w:val="21"/>
          <w:szCs w:val="21"/>
        </w:rPr>
        <w:t xml:space="preserve">capital raising </w:t>
      </w:r>
      <w:r>
        <w:rPr>
          <w:rFonts w:ascii="Verdana" w:hAnsi="Verdana"/>
          <w:sz w:val="21"/>
          <w:szCs w:val="21"/>
        </w:rPr>
        <w:t>table</w:t>
      </w:r>
      <w:r w:rsidR="00E24417">
        <w:rPr>
          <w:rFonts w:ascii="Verdana" w:hAnsi="Verdana"/>
          <w:sz w:val="21"/>
          <w:szCs w:val="21"/>
        </w:rPr>
        <w:t xml:space="preserve">, with both houses </w:t>
      </w:r>
      <w:r w:rsidR="006D66CE">
        <w:rPr>
          <w:rFonts w:ascii="Verdana" w:hAnsi="Verdana"/>
          <w:sz w:val="21"/>
          <w:szCs w:val="21"/>
        </w:rPr>
        <w:t>attracting</w:t>
      </w:r>
      <w:r w:rsidR="00E24417">
        <w:rPr>
          <w:rFonts w:ascii="Verdana" w:hAnsi="Verdana"/>
          <w:sz w:val="21"/>
          <w:szCs w:val="21"/>
        </w:rPr>
        <w:t xml:space="preserve"> more than R4 billion in new capital for the first three quarters of 2023. </w:t>
      </w:r>
    </w:p>
    <w:p w14:paraId="71E90EFA" w14:textId="77777777" w:rsidR="00692B83" w:rsidRDefault="00E24417" w:rsidP="00E24417">
      <w:pPr>
        <w:spacing w:before="120" w:after="0" w:line="340" w:lineRule="atLeast"/>
        <w:rPr>
          <w:rFonts w:ascii="Verdana" w:hAnsi="Verdana"/>
          <w:sz w:val="21"/>
          <w:szCs w:val="21"/>
        </w:rPr>
      </w:pPr>
      <w:r>
        <w:rPr>
          <w:rFonts w:ascii="Verdana" w:hAnsi="Verdana"/>
          <w:sz w:val="21"/>
          <w:szCs w:val="21"/>
        </w:rPr>
        <w:t xml:space="preserve">Invest benefitted, in early 2023, by raising nearly R4 billion </w:t>
      </w:r>
      <w:r w:rsidR="005D1E49">
        <w:rPr>
          <w:rFonts w:ascii="Verdana" w:hAnsi="Verdana"/>
          <w:sz w:val="21"/>
          <w:szCs w:val="21"/>
        </w:rPr>
        <w:t xml:space="preserve">from the issue of additional securities in the 1nvest Platinum ETF, which </w:t>
      </w:r>
      <w:r w:rsidR="00692B83">
        <w:rPr>
          <w:rFonts w:ascii="Verdana" w:hAnsi="Verdana"/>
          <w:sz w:val="21"/>
          <w:szCs w:val="21"/>
        </w:rPr>
        <w:t>t</w:t>
      </w:r>
      <w:r w:rsidR="005D1E49">
        <w:rPr>
          <w:rFonts w:ascii="Verdana" w:hAnsi="Verdana"/>
          <w:sz w:val="21"/>
          <w:szCs w:val="21"/>
        </w:rPr>
        <w:t xml:space="preserve">racks the US dollar price of platinum bullion.  </w:t>
      </w:r>
    </w:p>
    <w:p w14:paraId="06A38B43" w14:textId="0BCFAA79" w:rsidR="00E24417" w:rsidRDefault="005D1E49" w:rsidP="00E24417">
      <w:pPr>
        <w:spacing w:before="120" w:after="0" w:line="340" w:lineRule="atLeast"/>
        <w:rPr>
          <w:rFonts w:ascii="Verdana" w:hAnsi="Verdana"/>
          <w:sz w:val="21"/>
          <w:szCs w:val="21"/>
        </w:rPr>
      </w:pPr>
      <w:r>
        <w:rPr>
          <w:rFonts w:ascii="Verdana" w:hAnsi="Verdana"/>
          <w:sz w:val="21"/>
          <w:szCs w:val="21"/>
        </w:rPr>
        <w:t xml:space="preserve">There were some redemptions of 1nvest Platinum ETFs in the third quarter of this year, as the platinum price ground to a halt, but the ETF continues to be widely supported by local investors. </w:t>
      </w:r>
    </w:p>
    <w:p w14:paraId="75637028" w14:textId="02D2AD04" w:rsidR="00692B83" w:rsidRDefault="00692B83">
      <w:pPr>
        <w:rPr>
          <w:rFonts w:ascii="Verdana" w:hAnsi="Verdana"/>
          <w:sz w:val="21"/>
          <w:szCs w:val="21"/>
        </w:rPr>
      </w:pPr>
      <w:r>
        <w:rPr>
          <w:rFonts w:ascii="Verdana" w:hAnsi="Verdana"/>
          <w:sz w:val="21"/>
          <w:szCs w:val="21"/>
        </w:rPr>
        <w:br w:type="page"/>
      </w:r>
    </w:p>
    <w:p w14:paraId="7281C30F" w14:textId="77777777" w:rsidR="006D66CE" w:rsidRDefault="006D66CE" w:rsidP="006D66CE">
      <w:pPr>
        <w:spacing w:before="240" w:after="0" w:line="340" w:lineRule="atLeast"/>
        <w:rPr>
          <w:rFonts w:ascii="Verdana" w:hAnsi="Verdana"/>
          <w:sz w:val="21"/>
          <w:szCs w:val="21"/>
        </w:rPr>
      </w:pPr>
    </w:p>
    <w:p w14:paraId="7B5ECD14" w14:textId="15DB696E" w:rsidR="005D1E49" w:rsidRDefault="005D1E49" w:rsidP="006D66CE">
      <w:pPr>
        <w:spacing w:before="240" w:after="0" w:line="340" w:lineRule="atLeast"/>
        <w:rPr>
          <w:rFonts w:ascii="Verdana" w:hAnsi="Verdana"/>
          <w:sz w:val="21"/>
          <w:szCs w:val="21"/>
        </w:rPr>
      </w:pPr>
      <w:r>
        <w:rPr>
          <w:rFonts w:ascii="Verdana" w:hAnsi="Verdana"/>
          <w:sz w:val="21"/>
          <w:szCs w:val="21"/>
        </w:rPr>
        <w:t xml:space="preserve">10X, which </w:t>
      </w:r>
      <w:r w:rsidR="006A3FC7">
        <w:rPr>
          <w:rFonts w:ascii="Verdana" w:hAnsi="Verdana"/>
          <w:sz w:val="21"/>
          <w:szCs w:val="21"/>
        </w:rPr>
        <w:t>purchased</w:t>
      </w:r>
      <w:r>
        <w:rPr>
          <w:rFonts w:ascii="Verdana" w:hAnsi="Verdana"/>
          <w:sz w:val="21"/>
          <w:szCs w:val="21"/>
        </w:rPr>
        <w:t xml:space="preserve"> the CoreShares ETF business during the course of this year, raised new capital from a number of its ETFs already in issue.  Old Mutual, South Africa’s largest asset manager, has a majority shareholding in 10X and the ETF issuer appears to be benefitting from the </w:t>
      </w:r>
      <w:r w:rsidR="006D66CE">
        <w:rPr>
          <w:rFonts w:ascii="Verdana" w:hAnsi="Verdana"/>
          <w:sz w:val="21"/>
          <w:szCs w:val="21"/>
        </w:rPr>
        <w:t>great</w:t>
      </w:r>
      <w:r>
        <w:rPr>
          <w:rFonts w:ascii="Verdana" w:hAnsi="Verdana"/>
          <w:sz w:val="21"/>
          <w:szCs w:val="21"/>
        </w:rPr>
        <w:t xml:space="preserve">er allocation by Old Mutual to passive investment products. </w:t>
      </w:r>
    </w:p>
    <w:p w14:paraId="1222C84E" w14:textId="2EB01895" w:rsidR="005D1E49" w:rsidRDefault="005D1E49" w:rsidP="00E24417">
      <w:pPr>
        <w:spacing w:before="120" w:after="0" w:line="340" w:lineRule="atLeast"/>
        <w:rPr>
          <w:rFonts w:ascii="Verdana" w:hAnsi="Verdana"/>
          <w:sz w:val="21"/>
          <w:szCs w:val="21"/>
        </w:rPr>
      </w:pPr>
      <w:r>
        <w:rPr>
          <w:rFonts w:ascii="Verdana" w:hAnsi="Verdana"/>
          <w:sz w:val="21"/>
          <w:szCs w:val="21"/>
        </w:rPr>
        <w:t xml:space="preserve">Sygnia Itrix, with R2,09 billion ETF securities delisted in 2023 to date, has felt the effect of some loss of business </w:t>
      </w:r>
      <w:r w:rsidR="006D66CE">
        <w:rPr>
          <w:rFonts w:ascii="Verdana" w:hAnsi="Verdana"/>
          <w:sz w:val="21"/>
          <w:szCs w:val="21"/>
        </w:rPr>
        <w:t>in</w:t>
      </w:r>
      <w:r>
        <w:rPr>
          <w:rFonts w:ascii="Verdana" w:hAnsi="Verdana"/>
          <w:sz w:val="21"/>
          <w:szCs w:val="21"/>
        </w:rPr>
        <w:t xml:space="preserve"> its foreign </w:t>
      </w:r>
      <w:r w:rsidR="00EA42A0">
        <w:rPr>
          <w:rFonts w:ascii="Verdana" w:hAnsi="Verdana"/>
          <w:sz w:val="21"/>
          <w:szCs w:val="21"/>
        </w:rPr>
        <w:t xml:space="preserve">referenced ETFs, but continues to be the second largest issuer of ETP products in South Africa. </w:t>
      </w:r>
    </w:p>
    <w:p w14:paraId="0A5CFF76" w14:textId="36624FB7" w:rsidR="00EA42A0" w:rsidRDefault="00EA42A0" w:rsidP="006D66CE">
      <w:pPr>
        <w:spacing w:before="120" w:after="240" w:line="340" w:lineRule="atLeast"/>
        <w:rPr>
          <w:rFonts w:ascii="Verdana" w:hAnsi="Verdana"/>
          <w:sz w:val="21"/>
          <w:szCs w:val="21"/>
        </w:rPr>
      </w:pPr>
      <w:r>
        <w:rPr>
          <w:rFonts w:ascii="Verdana" w:hAnsi="Verdana"/>
          <w:sz w:val="21"/>
          <w:szCs w:val="21"/>
        </w:rPr>
        <w:t xml:space="preserve">Absa Capital (NewGold), which sold its other ETF products to Satrix, continues to issue its ETFs that track precious metal bullion prices.  It suffered from profit-taking as investors withdrew from holdings of NewGold ETFs, as the US dollar gold price failed to follow through on the gains made in late-2022/early-2023,  when global inflation was still rising.  </w:t>
      </w:r>
    </w:p>
    <w:p w14:paraId="59AAECFC" w14:textId="510AF849" w:rsidR="00EA42A0" w:rsidRPr="00B42190" w:rsidRDefault="00EA42A0" w:rsidP="00EA42A0">
      <w:pPr>
        <w:spacing w:before="240"/>
        <w:ind w:firstLine="720"/>
        <w:rPr>
          <w:rFonts w:ascii="Verdana" w:hAnsi="Verdana"/>
          <w:b/>
          <w:bCs/>
          <w:color w:val="000000"/>
          <w:sz w:val="21"/>
          <w:szCs w:val="21"/>
        </w:rPr>
      </w:pPr>
      <w:r w:rsidRPr="00B42190">
        <w:rPr>
          <w:rFonts w:ascii="Verdana" w:hAnsi="Verdana"/>
          <w:b/>
          <w:bCs/>
          <w:color w:val="000000"/>
          <w:sz w:val="21"/>
          <w:szCs w:val="21"/>
        </w:rPr>
        <w:t xml:space="preserve">Table </w:t>
      </w:r>
      <w:r>
        <w:rPr>
          <w:rFonts w:ascii="Verdana" w:hAnsi="Verdana"/>
          <w:b/>
          <w:bCs/>
          <w:color w:val="000000"/>
          <w:sz w:val="21"/>
          <w:szCs w:val="21"/>
        </w:rPr>
        <w:t>C</w:t>
      </w:r>
    </w:p>
    <w:tbl>
      <w:tblPr>
        <w:tblW w:w="694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1418"/>
      </w:tblGrid>
      <w:tr w:rsidR="00EA42A0" w:rsidRPr="00AB6CBE" w14:paraId="2F3E2E78" w14:textId="77777777" w:rsidTr="00EA42A0">
        <w:tc>
          <w:tcPr>
            <w:tcW w:w="6946" w:type="dxa"/>
            <w:gridSpan w:val="2"/>
            <w:shd w:val="clear" w:color="auto" w:fill="C00000"/>
          </w:tcPr>
          <w:p w14:paraId="79B7F639" w14:textId="00DCA0FF" w:rsidR="00EA42A0" w:rsidRDefault="00EA42A0" w:rsidP="00F70D80">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Capital Raised/Redeemed for </w:t>
            </w:r>
            <w:r w:rsidR="006A3FC7">
              <w:rPr>
                <w:rFonts w:ascii="Verdana" w:hAnsi="Verdana"/>
                <w:b/>
                <w:color w:val="FFFFFF"/>
                <w:sz w:val="18"/>
                <w:szCs w:val="18"/>
              </w:rPr>
              <w:t>Individual</w:t>
            </w:r>
            <w:r>
              <w:rPr>
                <w:rFonts w:ascii="Verdana" w:hAnsi="Verdana"/>
                <w:b/>
                <w:color w:val="FFFFFF"/>
                <w:sz w:val="18"/>
                <w:szCs w:val="18"/>
              </w:rPr>
              <w:t xml:space="preserve"> Exchange Traded Products</w:t>
            </w:r>
          </w:p>
          <w:p w14:paraId="0D527424" w14:textId="2FB9FA74" w:rsidR="00EA42A0" w:rsidRPr="003B4F95" w:rsidRDefault="00EA42A0" w:rsidP="00F70D80">
            <w:pPr>
              <w:spacing w:before="40" w:after="40" w:line="320" w:lineRule="atLeast"/>
              <w:jc w:val="center"/>
              <w:rPr>
                <w:rFonts w:ascii="Verdana" w:hAnsi="Verdana"/>
                <w:b/>
                <w:color w:val="FFFFFF"/>
                <w:sz w:val="18"/>
                <w:szCs w:val="18"/>
              </w:rPr>
            </w:pPr>
            <w:r>
              <w:rPr>
                <w:rFonts w:ascii="Verdana" w:hAnsi="Verdana"/>
                <w:b/>
                <w:color w:val="FFFFFF"/>
                <w:sz w:val="18"/>
                <w:szCs w:val="18"/>
              </w:rPr>
              <w:t>(First 9 Months of 2023)</w:t>
            </w:r>
          </w:p>
        </w:tc>
      </w:tr>
      <w:tr w:rsidR="00EA42A0" w:rsidRPr="00AB6CBE" w14:paraId="06B27455" w14:textId="77777777" w:rsidTr="00EA42A0">
        <w:trPr>
          <w:trHeight w:val="360"/>
        </w:trPr>
        <w:tc>
          <w:tcPr>
            <w:tcW w:w="5528" w:type="dxa"/>
            <w:shd w:val="clear" w:color="auto" w:fill="4C4C4C"/>
          </w:tcPr>
          <w:p w14:paraId="7F897D91" w14:textId="636D9659" w:rsidR="00EA42A0" w:rsidRPr="003B4F95" w:rsidRDefault="00EA42A0" w:rsidP="00F70D80">
            <w:pPr>
              <w:spacing w:before="40" w:after="40" w:line="320" w:lineRule="atLeast"/>
              <w:rPr>
                <w:rFonts w:ascii="Verdana" w:hAnsi="Verdana"/>
                <w:b/>
                <w:color w:val="FFFFFF"/>
                <w:sz w:val="18"/>
                <w:szCs w:val="18"/>
              </w:rPr>
            </w:pPr>
            <w:r>
              <w:rPr>
                <w:rFonts w:ascii="Verdana" w:hAnsi="Verdana"/>
                <w:b/>
                <w:color w:val="FFFFFF"/>
                <w:sz w:val="18"/>
                <w:szCs w:val="18"/>
              </w:rPr>
              <w:t>ETF</w:t>
            </w:r>
          </w:p>
        </w:tc>
        <w:tc>
          <w:tcPr>
            <w:tcW w:w="1418" w:type="dxa"/>
            <w:shd w:val="clear" w:color="auto" w:fill="4C4C4C"/>
            <w:vAlign w:val="center"/>
          </w:tcPr>
          <w:p w14:paraId="58A32AEC" w14:textId="70735FE3" w:rsidR="00EA42A0" w:rsidRPr="003B4F95" w:rsidRDefault="00EA42A0" w:rsidP="00F70D80">
            <w:pPr>
              <w:spacing w:before="40" w:after="40" w:line="320" w:lineRule="atLeast"/>
              <w:jc w:val="right"/>
              <w:rPr>
                <w:rFonts w:ascii="Verdana" w:hAnsi="Verdana"/>
                <w:b/>
                <w:color w:val="FFFFFF"/>
                <w:sz w:val="18"/>
                <w:szCs w:val="18"/>
              </w:rPr>
            </w:pPr>
            <w:r>
              <w:rPr>
                <w:rFonts w:ascii="Verdana" w:hAnsi="Verdana"/>
                <w:b/>
                <w:color w:val="FFFFFF"/>
                <w:sz w:val="18"/>
                <w:szCs w:val="18"/>
              </w:rPr>
              <w:t>Amount (R million)</w:t>
            </w:r>
          </w:p>
        </w:tc>
      </w:tr>
      <w:tr w:rsidR="00EA42A0" w:rsidRPr="00AB6CBE" w14:paraId="22916C2D" w14:textId="77777777" w:rsidTr="00EA42A0">
        <w:tc>
          <w:tcPr>
            <w:tcW w:w="5528" w:type="dxa"/>
            <w:shd w:val="clear" w:color="auto" w:fill="auto"/>
          </w:tcPr>
          <w:p w14:paraId="7BBACCC9" w14:textId="5B5E6646"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1nvest Platinum ETF</w:t>
            </w:r>
          </w:p>
        </w:tc>
        <w:tc>
          <w:tcPr>
            <w:tcW w:w="1418" w:type="dxa"/>
            <w:vAlign w:val="center"/>
          </w:tcPr>
          <w:p w14:paraId="484F3AD9" w14:textId="0E7A28A7" w:rsidR="00EA42A0" w:rsidRDefault="00EA42A0" w:rsidP="00F70D80">
            <w:pPr>
              <w:spacing w:before="40" w:after="40" w:line="320" w:lineRule="atLeast"/>
              <w:jc w:val="right"/>
              <w:rPr>
                <w:rFonts w:ascii="Verdana" w:hAnsi="Verdana"/>
                <w:color w:val="000000"/>
                <w:sz w:val="18"/>
                <w:szCs w:val="18"/>
              </w:rPr>
            </w:pPr>
            <w:r>
              <w:rPr>
                <w:rFonts w:ascii="Verdana" w:hAnsi="Verdana"/>
                <w:color w:val="000000"/>
                <w:sz w:val="18"/>
                <w:szCs w:val="18"/>
              </w:rPr>
              <w:t>3 367,3</w:t>
            </w:r>
          </w:p>
        </w:tc>
      </w:tr>
      <w:tr w:rsidR="00EA42A0" w:rsidRPr="00AB6CBE" w14:paraId="5085772A" w14:textId="77777777" w:rsidTr="00EA42A0">
        <w:tc>
          <w:tcPr>
            <w:tcW w:w="5528" w:type="dxa"/>
            <w:shd w:val="clear" w:color="auto" w:fill="auto"/>
          </w:tcPr>
          <w:p w14:paraId="20F32D2D" w14:textId="324A3C3C"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Satrix MSCI World ETF</w:t>
            </w:r>
          </w:p>
        </w:tc>
        <w:tc>
          <w:tcPr>
            <w:tcW w:w="1418" w:type="dxa"/>
            <w:vAlign w:val="center"/>
          </w:tcPr>
          <w:p w14:paraId="2C18DA8F" w14:textId="0677E716" w:rsidR="00EA42A0" w:rsidRDefault="00EA42A0" w:rsidP="00F70D80">
            <w:pPr>
              <w:spacing w:before="40" w:after="40" w:line="320" w:lineRule="atLeast"/>
              <w:jc w:val="right"/>
              <w:rPr>
                <w:rFonts w:ascii="Verdana" w:hAnsi="Verdana"/>
                <w:color w:val="000000"/>
                <w:sz w:val="18"/>
                <w:szCs w:val="18"/>
              </w:rPr>
            </w:pPr>
            <w:r>
              <w:rPr>
                <w:rFonts w:ascii="Verdana" w:hAnsi="Verdana"/>
                <w:color w:val="000000"/>
                <w:sz w:val="18"/>
                <w:szCs w:val="18"/>
              </w:rPr>
              <w:t>2 545,6</w:t>
            </w:r>
          </w:p>
        </w:tc>
      </w:tr>
      <w:tr w:rsidR="00EA42A0" w:rsidRPr="00AB6CBE" w14:paraId="19AEE74A" w14:textId="77777777" w:rsidTr="00EA42A0">
        <w:tc>
          <w:tcPr>
            <w:tcW w:w="5528" w:type="dxa"/>
            <w:shd w:val="clear" w:color="auto" w:fill="auto"/>
          </w:tcPr>
          <w:p w14:paraId="15FD7574" w14:textId="246F10E8"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Sygnia Itrix MSCI World ETF</w:t>
            </w:r>
          </w:p>
        </w:tc>
        <w:tc>
          <w:tcPr>
            <w:tcW w:w="1418" w:type="dxa"/>
            <w:vAlign w:val="center"/>
          </w:tcPr>
          <w:p w14:paraId="378F90B3" w14:textId="5EB59E27" w:rsidR="00EA42A0" w:rsidRDefault="00EA42A0" w:rsidP="00F70D80">
            <w:pPr>
              <w:spacing w:before="40" w:after="40" w:line="320" w:lineRule="atLeast"/>
              <w:jc w:val="right"/>
              <w:rPr>
                <w:rFonts w:ascii="Verdana" w:hAnsi="Verdana"/>
                <w:color w:val="000000"/>
                <w:sz w:val="18"/>
                <w:szCs w:val="18"/>
              </w:rPr>
            </w:pPr>
            <w:r>
              <w:rPr>
                <w:rFonts w:ascii="Verdana" w:hAnsi="Verdana"/>
                <w:color w:val="000000"/>
                <w:sz w:val="18"/>
                <w:szCs w:val="18"/>
              </w:rPr>
              <w:t>1 759,0</w:t>
            </w:r>
          </w:p>
        </w:tc>
      </w:tr>
      <w:tr w:rsidR="00EA42A0" w:rsidRPr="00AB6CBE" w14:paraId="6FE7D178" w14:textId="77777777" w:rsidTr="00EA42A0">
        <w:tc>
          <w:tcPr>
            <w:tcW w:w="5528" w:type="dxa"/>
            <w:shd w:val="clear" w:color="auto" w:fill="auto"/>
          </w:tcPr>
          <w:p w14:paraId="2945618B" w14:textId="671736E2"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Absa NewGold Platinum ETF</w:t>
            </w:r>
          </w:p>
        </w:tc>
        <w:tc>
          <w:tcPr>
            <w:tcW w:w="1418" w:type="dxa"/>
            <w:vAlign w:val="center"/>
          </w:tcPr>
          <w:p w14:paraId="65BBC7AB" w14:textId="1548A6B2" w:rsidR="00EA42A0" w:rsidRDefault="00EA42A0" w:rsidP="00F70D80">
            <w:pPr>
              <w:spacing w:before="40" w:after="40" w:line="320" w:lineRule="atLeast"/>
              <w:jc w:val="right"/>
              <w:rPr>
                <w:rFonts w:ascii="Verdana" w:hAnsi="Verdana"/>
                <w:color w:val="000000"/>
                <w:sz w:val="18"/>
                <w:szCs w:val="18"/>
              </w:rPr>
            </w:pPr>
            <w:r>
              <w:rPr>
                <w:rFonts w:ascii="Verdana" w:hAnsi="Verdana"/>
                <w:color w:val="000000"/>
                <w:sz w:val="18"/>
                <w:szCs w:val="18"/>
              </w:rPr>
              <w:t>1 357,</w:t>
            </w:r>
            <w:r w:rsidR="009F4C0C">
              <w:rPr>
                <w:rFonts w:ascii="Verdana" w:hAnsi="Verdana"/>
                <w:color w:val="000000"/>
                <w:sz w:val="18"/>
                <w:szCs w:val="18"/>
              </w:rPr>
              <w:t>0</w:t>
            </w:r>
          </w:p>
        </w:tc>
      </w:tr>
      <w:tr w:rsidR="00EA42A0" w:rsidRPr="00AB6CBE" w14:paraId="3EC7F5D4" w14:textId="77777777" w:rsidTr="00EA42A0">
        <w:tc>
          <w:tcPr>
            <w:tcW w:w="5528" w:type="dxa"/>
            <w:shd w:val="clear" w:color="auto" w:fill="auto"/>
          </w:tcPr>
          <w:p w14:paraId="1D217624" w14:textId="08E1204A"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CoreShares/10X Global Dividend Aristocrat ETF</w:t>
            </w:r>
          </w:p>
        </w:tc>
        <w:tc>
          <w:tcPr>
            <w:tcW w:w="1418" w:type="dxa"/>
            <w:vAlign w:val="center"/>
          </w:tcPr>
          <w:p w14:paraId="27BDFE0D" w14:textId="2DEB2B63" w:rsidR="00EA42A0" w:rsidRDefault="009F4C0C" w:rsidP="00F70D80">
            <w:pPr>
              <w:spacing w:before="40" w:after="40" w:line="320" w:lineRule="atLeast"/>
              <w:jc w:val="right"/>
              <w:rPr>
                <w:rFonts w:ascii="Verdana" w:hAnsi="Verdana"/>
                <w:color w:val="000000"/>
                <w:sz w:val="18"/>
                <w:szCs w:val="18"/>
              </w:rPr>
            </w:pPr>
            <w:r>
              <w:rPr>
                <w:rFonts w:ascii="Verdana" w:hAnsi="Verdana"/>
                <w:color w:val="000000"/>
                <w:sz w:val="18"/>
                <w:szCs w:val="18"/>
              </w:rPr>
              <w:t>1 129,9</w:t>
            </w:r>
          </w:p>
        </w:tc>
      </w:tr>
      <w:tr w:rsidR="00EA42A0" w:rsidRPr="00AB6CBE" w14:paraId="648BD1CC" w14:textId="77777777" w:rsidTr="00EA42A0">
        <w:tc>
          <w:tcPr>
            <w:tcW w:w="5528" w:type="dxa"/>
            <w:shd w:val="clear" w:color="auto" w:fill="auto"/>
          </w:tcPr>
          <w:p w14:paraId="3A756296" w14:textId="0F65D1A1"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CoreShares/10X Wealth GOVI ETF</w:t>
            </w:r>
          </w:p>
        </w:tc>
        <w:tc>
          <w:tcPr>
            <w:tcW w:w="1418" w:type="dxa"/>
            <w:vAlign w:val="center"/>
          </w:tcPr>
          <w:p w14:paraId="4453F932" w14:textId="50EF5986" w:rsidR="00EA42A0" w:rsidRDefault="009F4C0C" w:rsidP="00F70D80">
            <w:pPr>
              <w:spacing w:before="40" w:after="40" w:line="320" w:lineRule="atLeast"/>
              <w:jc w:val="right"/>
              <w:rPr>
                <w:rFonts w:ascii="Verdana" w:hAnsi="Verdana"/>
                <w:color w:val="000000"/>
                <w:sz w:val="18"/>
                <w:szCs w:val="18"/>
              </w:rPr>
            </w:pPr>
            <w:r>
              <w:rPr>
                <w:rFonts w:ascii="Verdana" w:hAnsi="Verdana"/>
                <w:color w:val="000000"/>
                <w:sz w:val="18"/>
                <w:szCs w:val="18"/>
              </w:rPr>
              <w:t>1 039,9</w:t>
            </w:r>
          </w:p>
        </w:tc>
      </w:tr>
      <w:tr w:rsidR="00EA42A0" w:rsidRPr="00AB6CBE" w14:paraId="4E9434F1" w14:textId="77777777" w:rsidTr="00EA42A0">
        <w:tc>
          <w:tcPr>
            <w:tcW w:w="5528" w:type="dxa"/>
            <w:shd w:val="clear" w:color="auto" w:fill="auto"/>
          </w:tcPr>
          <w:p w14:paraId="5BF81198" w14:textId="1A665021" w:rsidR="00EA42A0" w:rsidRDefault="00EA42A0" w:rsidP="00F70D80">
            <w:pPr>
              <w:spacing w:before="40" w:after="40" w:line="320" w:lineRule="atLeast"/>
              <w:rPr>
                <w:rFonts w:ascii="Verdana" w:hAnsi="Verdana"/>
                <w:color w:val="000000"/>
                <w:sz w:val="18"/>
                <w:szCs w:val="18"/>
              </w:rPr>
            </w:pPr>
            <w:r>
              <w:rPr>
                <w:rFonts w:ascii="Verdana" w:hAnsi="Verdana"/>
                <w:color w:val="000000"/>
                <w:sz w:val="18"/>
                <w:szCs w:val="18"/>
              </w:rPr>
              <w:t>Sygnia Itrix Eurostoxx 50 ETF</w:t>
            </w:r>
          </w:p>
        </w:tc>
        <w:tc>
          <w:tcPr>
            <w:tcW w:w="1418" w:type="dxa"/>
            <w:vAlign w:val="center"/>
          </w:tcPr>
          <w:p w14:paraId="56C7EB21" w14:textId="402A7AC5" w:rsidR="00EA42A0" w:rsidRDefault="009F4C0C" w:rsidP="00F70D80">
            <w:pPr>
              <w:spacing w:before="40" w:after="40" w:line="320" w:lineRule="atLeast"/>
              <w:jc w:val="right"/>
              <w:rPr>
                <w:rFonts w:ascii="Verdana" w:hAnsi="Verdana"/>
                <w:color w:val="000000"/>
                <w:sz w:val="18"/>
                <w:szCs w:val="18"/>
              </w:rPr>
            </w:pPr>
            <w:r>
              <w:rPr>
                <w:rFonts w:ascii="Verdana" w:hAnsi="Verdana"/>
                <w:color w:val="000000"/>
                <w:sz w:val="18"/>
                <w:szCs w:val="18"/>
              </w:rPr>
              <w:t>636,4</w:t>
            </w:r>
          </w:p>
        </w:tc>
      </w:tr>
      <w:tr w:rsidR="00EA42A0" w:rsidRPr="00AB6CBE" w14:paraId="0A0093A5" w14:textId="77777777" w:rsidTr="00EA42A0">
        <w:tc>
          <w:tcPr>
            <w:tcW w:w="5528" w:type="dxa"/>
            <w:shd w:val="clear" w:color="auto" w:fill="auto"/>
          </w:tcPr>
          <w:p w14:paraId="1A81FD1E" w14:textId="0C60A496" w:rsidR="00EA42A0" w:rsidRDefault="007319EA" w:rsidP="00F70D80">
            <w:pPr>
              <w:spacing w:before="40" w:after="40" w:line="320" w:lineRule="atLeast"/>
              <w:rPr>
                <w:rFonts w:ascii="Verdana" w:hAnsi="Verdana"/>
                <w:color w:val="000000"/>
                <w:sz w:val="18"/>
                <w:szCs w:val="18"/>
              </w:rPr>
            </w:pPr>
            <w:r>
              <w:rPr>
                <w:rFonts w:ascii="Verdana" w:hAnsi="Verdana"/>
                <w:color w:val="000000"/>
                <w:sz w:val="18"/>
                <w:szCs w:val="18"/>
              </w:rPr>
              <w:t>Satrix GOVI ETF</w:t>
            </w:r>
          </w:p>
        </w:tc>
        <w:tc>
          <w:tcPr>
            <w:tcW w:w="1418" w:type="dxa"/>
            <w:vAlign w:val="center"/>
          </w:tcPr>
          <w:p w14:paraId="07D82498" w14:textId="659A8CCC" w:rsidR="00EA42A0" w:rsidRDefault="007319EA" w:rsidP="00F70D80">
            <w:pPr>
              <w:spacing w:before="40" w:after="40" w:line="320" w:lineRule="atLeast"/>
              <w:jc w:val="right"/>
              <w:rPr>
                <w:rFonts w:ascii="Verdana" w:hAnsi="Verdana"/>
                <w:color w:val="000000"/>
                <w:sz w:val="18"/>
                <w:szCs w:val="18"/>
              </w:rPr>
            </w:pPr>
            <w:r>
              <w:rPr>
                <w:rFonts w:ascii="Verdana" w:hAnsi="Verdana"/>
                <w:color w:val="000000"/>
                <w:sz w:val="18"/>
                <w:szCs w:val="18"/>
              </w:rPr>
              <w:t>(684,0)</w:t>
            </w:r>
          </w:p>
        </w:tc>
      </w:tr>
      <w:tr w:rsidR="00EA42A0" w:rsidRPr="00AB6CBE" w14:paraId="6209C75C" w14:textId="77777777" w:rsidTr="00EA42A0">
        <w:tc>
          <w:tcPr>
            <w:tcW w:w="5528" w:type="dxa"/>
            <w:shd w:val="clear" w:color="auto" w:fill="auto"/>
          </w:tcPr>
          <w:p w14:paraId="460DC276" w14:textId="5BC64F88" w:rsidR="00EA42A0" w:rsidRDefault="007319EA" w:rsidP="00F70D80">
            <w:pPr>
              <w:spacing w:before="40" w:after="40" w:line="320" w:lineRule="atLeast"/>
              <w:rPr>
                <w:rFonts w:ascii="Verdana" w:hAnsi="Verdana"/>
                <w:color w:val="000000"/>
                <w:sz w:val="18"/>
                <w:szCs w:val="18"/>
              </w:rPr>
            </w:pPr>
            <w:r>
              <w:rPr>
                <w:rFonts w:ascii="Verdana" w:hAnsi="Verdana"/>
                <w:color w:val="000000"/>
                <w:sz w:val="18"/>
                <w:szCs w:val="18"/>
              </w:rPr>
              <w:t>Sygnia Itrix Emerging Markets 50 ETF</w:t>
            </w:r>
          </w:p>
        </w:tc>
        <w:tc>
          <w:tcPr>
            <w:tcW w:w="1418" w:type="dxa"/>
            <w:vAlign w:val="center"/>
          </w:tcPr>
          <w:p w14:paraId="18E9F286" w14:textId="0AAC6D0B" w:rsidR="00EA42A0" w:rsidRDefault="007319EA" w:rsidP="00F70D80">
            <w:pPr>
              <w:spacing w:before="40" w:after="40" w:line="320" w:lineRule="atLeast"/>
              <w:jc w:val="right"/>
              <w:rPr>
                <w:rFonts w:ascii="Verdana" w:hAnsi="Verdana"/>
                <w:color w:val="000000"/>
                <w:sz w:val="18"/>
                <w:szCs w:val="18"/>
              </w:rPr>
            </w:pPr>
            <w:r>
              <w:rPr>
                <w:rFonts w:ascii="Verdana" w:hAnsi="Verdana"/>
                <w:color w:val="000000"/>
                <w:sz w:val="18"/>
                <w:szCs w:val="18"/>
              </w:rPr>
              <w:t>(2 271,9)</w:t>
            </w:r>
          </w:p>
        </w:tc>
      </w:tr>
      <w:tr w:rsidR="00EA42A0" w:rsidRPr="00AB6CBE" w14:paraId="07673A90" w14:textId="77777777" w:rsidTr="00EA42A0">
        <w:tc>
          <w:tcPr>
            <w:tcW w:w="5528" w:type="dxa"/>
            <w:shd w:val="clear" w:color="auto" w:fill="auto"/>
          </w:tcPr>
          <w:p w14:paraId="2FE19FC4" w14:textId="7E0FDE91" w:rsidR="00EA42A0" w:rsidRDefault="007319EA" w:rsidP="00F70D80">
            <w:pPr>
              <w:spacing w:before="40" w:after="40" w:line="320" w:lineRule="atLeast"/>
              <w:rPr>
                <w:rFonts w:ascii="Verdana" w:hAnsi="Verdana"/>
                <w:color w:val="000000"/>
                <w:sz w:val="18"/>
                <w:szCs w:val="18"/>
              </w:rPr>
            </w:pPr>
            <w:r>
              <w:rPr>
                <w:rFonts w:ascii="Verdana" w:hAnsi="Verdana"/>
                <w:color w:val="000000"/>
                <w:sz w:val="18"/>
                <w:szCs w:val="18"/>
              </w:rPr>
              <w:t>NewGold ETF</w:t>
            </w:r>
          </w:p>
        </w:tc>
        <w:tc>
          <w:tcPr>
            <w:tcW w:w="1418" w:type="dxa"/>
            <w:vAlign w:val="center"/>
          </w:tcPr>
          <w:p w14:paraId="7DBAEEC7" w14:textId="36D6D4D0" w:rsidR="00EA42A0" w:rsidRDefault="007319EA" w:rsidP="00F70D80">
            <w:pPr>
              <w:spacing w:before="40" w:after="40" w:line="320" w:lineRule="atLeast"/>
              <w:jc w:val="right"/>
              <w:rPr>
                <w:rFonts w:ascii="Verdana" w:hAnsi="Verdana"/>
                <w:color w:val="000000"/>
                <w:sz w:val="18"/>
                <w:szCs w:val="18"/>
              </w:rPr>
            </w:pPr>
            <w:r>
              <w:rPr>
                <w:rFonts w:ascii="Verdana" w:hAnsi="Verdana"/>
                <w:color w:val="000000"/>
                <w:sz w:val="18"/>
                <w:szCs w:val="18"/>
              </w:rPr>
              <w:t>(3 024,4)</w:t>
            </w:r>
          </w:p>
        </w:tc>
      </w:tr>
    </w:tbl>
    <w:p w14:paraId="725AC8C7" w14:textId="37D3C2FA" w:rsidR="006B40F7" w:rsidRDefault="007319EA" w:rsidP="007319EA">
      <w:pPr>
        <w:spacing w:before="240" w:after="0" w:line="340" w:lineRule="atLeast"/>
        <w:rPr>
          <w:rFonts w:ascii="Verdana" w:hAnsi="Verdana"/>
          <w:sz w:val="21"/>
          <w:szCs w:val="21"/>
        </w:rPr>
      </w:pPr>
      <w:r>
        <w:rPr>
          <w:rFonts w:ascii="Verdana" w:hAnsi="Verdana"/>
          <w:sz w:val="21"/>
          <w:szCs w:val="21"/>
        </w:rPr>
        <w:t xml:space="preserve">Examining the </w:t>
      </w:r>
      <w:r w:rsidR="006D66CE">
        <w:rPr>
          <w:rFonts w:ascii="Verdana" w:hAnsi="Verdana"/>
          <w:sz w:val="21"/>
          <w:szCs w:val="21"/>
        </w:rPr>
        <w:t>capital raised or redeemed by individual ETFs in</w:t>
      </w:r>
      <w:r>
        <w:rPr>
          <w:rFonts w:ascii="Verdana" w:hAnsi="Verdana"/>
          <w:sz w:val="21"/>
          <w:szCs w:val="21"/>
        </w:rPr>
        <w:t xml:space="preserve"> 2023, </w:t>
      </w:r>
      <w:r w:rsidR="006A3FC7">
        <w:rPr>
          <w:rFonts w:ascii="Verdana" w:hAnsi="Verdana"/>
          <w:sz w:val="21"/>
          <w:szCs w:val="21"/>
        </w:rPr>
        <w:t>t</w:t>
      </w:r>
      <w:r>
        <w:rPr>
          <w:rFonts w:ascii="Verdana" w:hAnsi="Verdana"/>
          <w:sz w:val="21"/>
          <w:szCs w:val="21"/>
        </w:rPr>
        <w:t>o date, shows tha</w:t>
      </w:r>
      <w:r w:rsidR="006A3FC7">
        <w:rPr>
          <w:rFonts w:ascii="Verdana" w:hAnsi="Verdana"/>
          <w:sz w:val="21"/>
          <w:szCs w:val="21"/>
        </w:rPr>
        <w:t>t</w:t>
      </w:r>
      <w:r>
        <w:rPr>
          <w:rFonts w:ascii="Verdana" w:hAnsi="Verdana"/>
          <w:sz w:val="21"/>
          <w:szCs w:val="21"/>
        </w:rPr>
        <w:t xml:space="preserve"> platinum ETFs were the biggest raise</w:t>
      </w:r>
      <w:r w:rsidR="009C65B3">
        <w:rPr>
          <w:rFonts w:ascii="Verdana" w:hAnsi="Verdana"/>
          <w:sz w:val="21"/>
          <w:szCs w:val="21"/>
        </w:rPr>
        <w:t>rs</w:t>
      </w:r>
      <w:r>
        <w:rPr>
          <w:rFonts w:ascii="Verdana" w:hAnsi="Verdana"/>
          <w:sz w:val="21"/>
          <w:szCs w:val="21"/>
        </w:rPr>
        <w:t xml:space="preserve"> of new capital, for both 1nvest as well as NewGold (Absa Capital).  Otherwise, foreign equity tracking ETFs </w:t>
      </w:r>
      <w:r w:rsidR="006D66CE">
        <w:rPr>
          <w:rFonts w:ascii="Verdana" w:hAnsi="Verdana"/>
          <w:sz w:val="21"/>
          <w:szCs w:val="21"/>
        </w:rPr>
        <w:t xml:space="preserve">and South African bond ETFs </w:t>
      </w:r>
      <w:r>
        <w:rPr>
          <w:rFonts w:ascii="Verdana" w:hAnsi="Verdana"/>
          <w:sz w:val="21"/>
          <w:szCs w:val="21"/>
        </w:rPr>
        <w:t xml:space="preserve">were the most popular individual products. </w:t>
      </w:r>
    </w:p>
    <w:p w14:paraId="4F075C0D" w14:textId="294C1571" w:rsidR="007319EA" w:rsidRDefault="007319EA">
      <w:pPr>
        <w:rPr>
          <w:rFonts w:ascii="Verdana" w:hAnsi="Verdana"/>
          <w:b/>
          <w:bCs/>
          <w:color w:val="C00000"/>
        </w:rPr>
      </w:pPr>
      <w:r>
        <w:rPr>
          <w:rFonts w:ascii="Verdana" w:hAnsi="Verdana"/>
          <w:b/>
          <w:bCs/>
          <w:color w:val="C00000"/>
        </w:rPr>
        <w:br w:type="page"/>
      </w:r>
    </w:p>
    <w:p w14:paraId="7AF34A1E" w14:textId="409C7E1C" w:rsidR="006015AB" w:rsidRDefault="003F5A9C" w:rsidP="00570341">
      <w:pPr>
        <w:spacing w:after="0" w:line="240" w:lineRule="auto"/>
        <w:rPr>
          <w:rFonts w:ascii="Verdana" w:hAnsi="Verdana"/>
          <w:b/>
          <w:bCs/>
          <w:color w:val="C00000"/>
        </w:rPr>
      </w:pPr>
      <w:r w:rsidRPr="007A7050">
        <w:rPr>
          <w:rFonts w:ascii="Verdana" w:hAnsi="Verdana"/>
          <w:b/>
          <w:bCs/>
          <w:color w:val="C00000"/>
        </w:rPr>
        <w:lastRenderedPageBreak/>
        <w:t xml:space="preserve">Snapshot of the SA ETP Industry as at </w:t>
      </w:r>
      <w:r w:rsidR="007319EA">
        <w:rPr>
          <w:rFonts w:ascii="Verdana" w:hAnsi="Verdana"/>
          <w:b/>
          <w:bCs/>
          <w:color w:val="C00000"/>
        </w:rPr>
        <w:t>29</w:t>
      </w:r>
      <w:r w:rsidRPr="007A7050">
        <w:rPr>
          <w:rFonts w:ascii="Verdana" w:hAnsi="Verdana"/>
          <w:b/>
          <w:bCs/>
          <w:color w:val="C00000"/>
        </w:rPr>
        <w:t xml:space="preserve"> </w:t>
      </w:r>
      <w:r w:rsidR="007319EA">
        <w:rPr>
          <w:rFonts w:ascii="Verdana" w:hAnsi="Verdana"/>
          <w:b/>
          <w:bCs/>
          <w:color w:val="C00000"/>
        </w:rPr>
        <w:t>September</w:t>
      </w:r>
      <w:r w:rsidRPr="007A7050">
        <w:rPr>
          <w:rFonts w:ascii="Verdana" w:hAnsi="Verdana"/>
          <w:b/>
          <w:bCs/>
          <w:color w:val="C00000"/>
        </w:rPr>
        <w:t xml:space="preserve"> 20</w:t>
      </w:r>
      <w:r>
        <w:rPr>
          <w:rFonts w:ascii="Verdana" w:hAnsi="Verdana"/>
          <w:b/>
          <w:bCs/>
          <w:color w:val="C00000"/>
        </w:rPr>
        <w:t>2</w:t>
      </w:r>
      <w:r w:rsidR="006B40F7">
        <w:rPr>
          <w:rFonts w:ascii="Verdana" w:hAnsi="Verdana"/>
          <w:b/>
          <w:bCs/>
          <w:color w:val="C00000"/>
        </w:rPr>
        <w:t>3</w:t>
      </w:r>
    </w:p>
    <w:p w14:paraId="1958CFA2" w14:textId="1AD27C4E" w:rsidR="00833166" w:rsidRPr="00833166" w:rsidRDefault="00833166" w:rsidP="00833166">
      <w:pPr>
        <w:spacing w:before="120" w:after="120" w:line="320" w:lineRule="atLeast"/>
        <w:rPr>
          <w:rFonts w:ascii="Verdana" w:hAnsi="Verdana"/>
          <w:b/>
          <w:bCs/>
          <w:color w:val="000000" w:themeColor="text1"/>
          <w:sz w:val="21"/>
          <w:szCs w:val="21"/>
        </w:rPr>
      </w:pPr>
      <w:r>
        <w:rPr>
          <w:rFonts w:ascii="Verdana" w:hAnsi="Verdana"/>
          <w:b/>
          <w:bCs/>
          <w:color w:val="000000" w:themeColor="text1"/>
          <w:sz w:val="21"/>
          <w:szCs w:val="21"/>
        </w:rPr>
        <w:t xml:space="preserve">Table </w:t>
      </w:r>
      <w:r w:rsidR="00EA42A0">
        <w:rPr>
          <w:rFonts w:ascii="Verdana" w:hAnsi="Verdana"/>
          <w:b/>
          <w:bCs/>
          <w:color w:val="000000" w:themeColor="text1"/>
          <w:sz w:val="21"/>
          <w:szCs w:val="21"/>
        </w:rPr>
        <w:t>D</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851"/>
        <w:gridCol w:w="709"/>
        <w:gridCol w:w="850"/>
        <w:gridCol w:w="709"/>
        <w:gridCol w:w="709"/>
        <w:gridCol w:w="1134"/>
        <w:gridCol w:w="992"/>
        <w:gridCol w:w="992"/>
        <w:gridCol w:w="992"/>
        <w:gridCol w:w="1276"/>
      </w:tblGrid>
      <w:tr w:rsidR="006015AB" w:rsidRPr="00AB6CBE" w14:paraId="1D20FF11" w14:textId="77777777" w:rsidTr="00893171">
        <w:tc>
          <w:tcPr>
            <w:tcW w:w="10490" w:type="dxa"/>
            <w:gridSpan w:val="12"/>
            <w:shd w:val="clear" w:color="auto" w:fill="C00000"/>
            <w:vAlign w:val="center"/>
          </w:tcPr>
          <w:p w14:paraId="626F61D9" w14:textId="77777777"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50BCF4D2"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7319EA">
              <w:rPr>
                <w:rFonts w:ascii="Verdana" w:hAnsi="Verdana"/>
                <w:b/>
                <w:color w:val="FFFFFF"/>
                <w:sz w:val="18"/>
                <w:szCs w:val="18"/>
              </w:rPr>
              <w:t>29</w:t>
            </w:r>
            <w:r>
              <w:rPr>
                <w:rFonts w:ascii="Verdana" w:hAnsi="Verdana"/>
                <w:b/>
                <w:color w:val="FFFFFF"/>
                <w:sz w:val="18"/>
                <w:szCs w:val="18"/>
              </w:rPr>
              <w:t xml:space="preserve"> </w:t>
            </w:r>
            <w:r w:rsidR="007319EA">
              <w:rPr>
                <w:rFonts w:ascii="Verdana" w:hAnsi="Verdana"/>
                <w:b/>
                <w:color w:val="FFFFFF"/>
                <w:sz w:val="18"/>
                <w:szCs w:val="18"/>
              </w:rPr>
              <w:t>September</w:t>
            </w:r>
            <w:r w:rsidRPr="003B4F95">
              <w:rPr>
                <w:rFonts w:ascii="Verdana" w:hAnsi="Verdana"/>
                <w:b/>
                <w:color w:val="FFFFFF"/>
                <w:sz w:val="18"/>
                <w:szCs w:val="18"/>
              </w:rPr>
              <w:t xml:space="preserve"> 20</w:t>
            </w:r>
            <w:r>
              <w:rPr>
                <w:rFonts w:ascii="Verdana" w:hAnsi="Verdana"/>
                <w:b/>
                <w:color w:val="FFFFFF"/>
                <w:sz w:val="18"/>
                <w:szCs w:val="18"/>
              </w:rPr>
              <w:t>2</w:t>
            </w:r>
            <w:r w:rsidR="006C3C9A">
              <w:rPr>
                <w:rFonts w:ascii="Verdana" w:hAnsi="Verdana"/>
                <w:b/>
                <w:color w:val="FFFFFF"/>
                <w:sz w:val="18"/>
                <w:szCs w:val="18"/>
              </w:rPr>
              <w:t>3</w:t>
            </w:r>
            <w:r w:rsidRPr="003B4F95">
              <w:rPr>
                <w:rFonts w:ascii="Verdana" w:hAnsi="Verdana"/>
                <w:b/>
                <w:color w:val="FFFFFF"/>
                <w:sz w:val="18"/>
                <w:szCs w:val="18"/>
              </w:rPr>
              <w:t>)</w:t>
            </w:r>
          </w:p>
        </w:tc>
      </w:tr>
      <w:tr w:rsidR="00893171" w:rsidRPr="00AB6CBE" w14:paraId="76BF6CAD" w14:textId="77777777" w:rsidTr="008870CE">
        <w:trPr>
          <w:trHeight w:val="311"/>
        </w:trPr>
        <w:tc>
          <w:tcPr>
            <w:tcW w:w="709" w:type="dxa"/>
            <w:vMerge w:val="restart"/>
            <w:shd w:val="clear" w:color="auto" w:fill="4C4C4C"/>
            <w:vAlign w:val="center"/>
          </w:tcPr>
          <w:p w14:paraId="15E5FD07" w14:textId="77777777" w:rsidR="006015AB" w:rsidRPr="00893171" w:rsidRDefault="006015AB" w:rsidP="00754CF9">
            <w:pPr>
              <w:spacing w:before="40" w:after="60" w:line="280" w:lineRule="atLeast"/>
              <w:rPr>
                <w:rFonts w:ascii="Verdana" w:hAnsi="Verdana"/>
                <w:b/>
                <w:color w:val="FFFFFF"/>
                <w:sz w:val="16"/>
                <w:szCs w:val="16"/>
              </w:rPr>
            </w:pPr>
          </w:p>
        </w:tc>
        <w:tc>
          <w:tcPr>
            <w:tcW w:w="1418" w:type="dxa"/>
            <w:gridSpan w:val="2"/>
            <w:vMerge w:val="restart"/>
            <w:shd w:val="clear" w:color="auto" w:fill="4C4C4C"/>
            <w:vAlign w:val="center"/>
          </w:tcPr>
          <w:p w14:paraId="3328C4D1" w14:textId="77777777" w:rsidR="006015AB" w:rsidRPr="008870CE" w:rsidRDefault="006015AB" w:rsidP="00754CF9">
            <w:pPr>
              <w:spacing w:before="40" w:after="60" w:line="280" w:lineRule="atLeast"/>
              <w:rPr>
                <w:rFonts w:ascii="Verdana" w:hAnsi="Verdana"/>
                <w:b/>
                <w:color w:val="FFFFFF"/>
                <w:sz w:val="14"/>
                <w:szCs w:val="14"/>
              </w:rPr>
            </w:pPr>
            <w:r w:rsidRPr="008870CE">
              <w:rPr>
                <w:rFonts w:ascii="Verdana" w:hAnsi="Verdana"/>
                <w:b/>
                <w:color w:val="FFFFFF"/>
                <w:sz w:val="14"/>
                <w:szCs w:val="14"/>
              </w:rPr>
              <w:t>Issuer</w:t>
            </w:r>
          </w:p>
        </w:tc>
        <w:tc>
          <w:tcPr>
            <w:tcW w:w="2977" w:type="dxa"/>
            <w:gridSpan w:val="4"/>
            <w:shd w:val="clear" w:color="auto" w:fill="4C4C4C"/>
            <w:vAlign w:val="center"/>
          </w:tcPr>
          <w:p w14:paraId="3E136682" w14:textId="77777777" w:rsidR="006015AB" w:rsidRPr="008870CE" w:rsidRDefault="006015AB" w:rsidP="00754CF9">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Number of Products</w:t>
            </w:r>
          </w:p>
        </w:tc>
        <w:tc>
          <w:tcPr>
            <w:tcW w:w="4110" w:type="dxa"/>
            <w:gridSpan w:val="4"/>
            <w:shd w:val="clear" w:color="auto" w:fill="4C4C4C"/>
            <w:vAlign w:val="center"/>
          </w:tcPr>
          <w:p w14:paraId="0950683D" w14:textId="77777777" w:rsidR="006015AB" w:rsidRPr="008870CE" w:rsidRDefault="006015AB" w:rsidP="00754CF9">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Value (Market Cap) of Shares in Issue (Rm)</w:t>
            </w:r>
          </w:p>
        </w:tc>
        <w:tc>
          <w:tcPr>
            <w:tcW w:w="1276" w:type="dxa"/>
            <w:vMerge w:val="restart"/>
            <w:shd w:val="clear" w:color="auto" w:fill="4C4C4C"/>
            <w:vAlign w:val="center"/>
          </w:tcPr>
          <w:p w14:paraId="6CBBABEC" w14:textId="77777777" w:rsidR="006015AB" w:rsidRPr="008870CE" w:rsidRDefault="006015AB" w:rsidP="00D74A04">
            <w:pPr>
              <w:spacing w:before="40" w:after="60" w:line="320" w:lineRule="atLeast"/>
              <w:jc w:val="right"/>
              <w:rPr>
                <w:rFonts w:ascii="Verdana" w:hAnsi="Verdana"/>
                <w:b/>
                <w:color w:val="FFFFFF"/>
                <w:sz w:val="14"/>
                <w:szCs w:val="14"/>
              </w:rPr>
            </w:pPr>
            <w:r w:rsidRPr="008870CE">
              <w:rPr>
                <w:rFonts w:ascii="Verdana" w:hAnsi="Verdana"/>
                <w:b/>
                <w:color w:val="FFFFFF"/>
                <w:sz w:val="13"/>
                <w:szCs w:val="13"/>
              </w:rPr>
              <w:t>Total Market Capitalisation</w:t>
            </w:r>
            <w:r w:rsidRPr="008870CE">
              <w:rPr>
                <w:rFonts w:ascii="Verdana" w:hAnsi="Verdana"/>
                <w:b/>
                <w:color w:val="FFFFFF"/>
                <w:sz w:val="14"/>
                <w:szCs w:val="14"/>
              </w:rPr>
              <w:t xml:space="preserve"> </w:t>
            </w:r>
            <w:r w:rsidRPr="008870CE">
              <w:rPr>
                <w:rFonts w:ascii="Verdana" w:hAnsi="Verdana"/>
                <w:b/>
                <w:color w:val="FFFFFF"/>
                <w:sz w:val="13"/>
                <w:szCs w:val="13"/>
              </w:rPr>
              <w:t>(Rm)</w:t>
            </w:r>
          </w:p>
        </w:tc>
      </w:tr>
      <w:tr w:rsidR="00717144" w:rsidRPr="00AB6CBE" w14:paraId="17CB071B" w14:textId="77777777" w:rsidTr="008870CE">
        <w:trPr>
          <w:trHeight w:val="311"/>
        </w:trPr>
        <w:tc>
          <w:tcPr>
            <w:tcW w:w="709" w:type="dxa"/>
            <w:vMerge/>
            <w:shd w:val="clear" w:color="auto" w:fill="4C4C4C"/>
            <w:vAlign w:val="center"/>
          </w:tcPr>
          <w:p w14:paraId="28B91113" w14:textId="77777777" w:rsidR="00893171" w:rsidRPr="003B4F95" w:rsidRDefault="00893171" w:rsidP="00893171">
            <w:pPr>
              <w:spacing w:before="40" w:after="60" w:line="320" w:lineRule="atLeast"/>
              <w:rPr>
                <w:rFonts w:ascii="Verdana" w:hAnsi="Verdana"/>
                <w:b/>
                <w:color w:val="FFFFFF"/>
                <w:sz w:val="18"/>
                <w:szCs w:val="18"/>
              </w:rPr>
            </w:pPr>
          </w:p>
        </w:tc>
        <w:tc>
          <w:tcPr>
            <w:tcW w:w="1418" w:type="dxa"/>
            <w:gridSpan w:val="2"/>
            <w:vMerge/>
            <w:shd w:val="clear" w:color="auto" w:fill="4C4C4C"/>
          </w:tcPr>
          <w:p w14:paraId="5ED0D2DA" w14:textId="77777777" w:rsidR="00893171" w:rsidRPr="008870CE" w:rsidRDefault="00893171" w:rsidP="00893171">
            <w:pPr>
              <w:spacing w:before="40" w:after="60" w:line="320" w:lineRule="atLeast"/>
              <w:rPr>
                <w:rFonts w:ascii="Verdana" w:hAnsi="Verdana"/>
                <w:b/>
                <w:color w:val="FFFFFF"/>
                <w:sz w:val="14"/>
                <w:szCs w:val="14"/>
              </w:rPr>
            </w:pPr>
          </w:p>
        </w:tc>
        <w:tc>
          <w:tcPr>
            <w:tcW w:w="709" w:type="dxa"/>
            <w:shd w:val="clear" w:color="auto" w:fill="4C4C4C"/>
            <w:vAlign w:val="center"/>
          </w:tcPr>
          <w:p w14:paraId="0C35E3F1" w14:textId="77777777"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ETFs</w:t>
            </w:r>
          </w:p>
        </w:tc>
        <w:tc>
          <w:tcPr>
            <w:tcW w:w="850" w:type="dxa"/>
            <w:shd w:val="clear" w:color="auto" w:fill="4C4C4C"/>
            <w:vAlign w:val="center"/>
          </w:tcPr>
          <w:p w14:paraId="43417E08" w14:textId="77777777"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ETNs</w:t>
            </w:r>
          </w:p>
        </w:tc>
        <w:tc>
          <w:tcPr>
            <w:tcW w:w="709" w:type="dxa"/>
            <w:shd w:val="clear" w:color="auto" w:fill="4C4C4C"/>
            <w:vAlign w:val="center"/>
          </w:tcPr>
          <w:p w14:paraId="704E32E4" w14:textId="77777777"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AMCs</w:t>
            </w:r>
          </w:p>
        </w:tc>
        <w:tc>
          <w:tcPr>
            <w:tcW w:w="709" w:type="dxa"/>
            <w:shd w:val="clear" w:color="auto" w:fill="4C4C4C"/>
            <w:vAlign w:val="center"/>
          </w:tcPr>
          <w:p w14:paraId="0A7659DD" w14:textId="45BC07EE" w:rsidR="00893171" w:rsidRPr="008870CE" w:rsidRDefault="00893171" w:rsidP="00893171">
            <w:pPr>
              <w:spacing w:before="40" w:after="60" w:line="280" w:lineRule="atLeast"/>
              <w:jc w:val="center"/>
              <w:rPr>
                <w:rFonts w:ascii="Verdana" w:hAnsi="Verdana"/>
                <w:b/>
                <w:color w:val="FFFFFF"/>
                <w:sz w:val="14"/>
                <w:szCs w:val="14"/>
              </w:rPr>
            </w:pPr>
            <w:r w:rsidRPr="008870CE">
              <w:rPr>
                <w:rFonts w:ascii="Verdana" w:hAnsi="Verdana"/>
                <w:b/>
                <w:color w:val="FFFFFF"/>
                <w:sz w:val="14"/>
                <w:szCs w:val="14"/>
              </w:rPr>
              <w:t>AM ETFs</w:t>
            </w:r>
          </w:p>
        </w:tc>
        <w:tc>
          <w:tcPr>
            <w:tcW w:w="1134" w:type="dxa"/>
            <w:shd w:val="clear" w:color="auto" w:fill="4C4C4C"/>
            <w:vAlign w:val="center"/>
          </w:tcPr>
          <w:p w14:paraId="7962276F" w14:textId="77777777"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ETFs</w:t>
            </w:r>
          </w:p>
        </w:tc>
        <w:tc>
          <w:tcPr>
            <w:tcW w:w="992" w:type="dxa"/>
            <w:shd w:val="clear" w:color="auto" w:fill="4C4C4C"/>
            <w:vAlign w:val="center"/>
          </w:tcPr>
          <w:p w14:paraId="6498964E" w14:textId="77777777"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ETNs</w:t>
            </w:r>
          </w:p>
        </w:tc>
        <w:tc>
          <w:tcPr>
            <w:tcW w:w="992" w:type="dxa"/>
            <w:shd w:val="clear" w:color="auto" w:fill="4C4C4C"/>
            <w:vAlign w:val="center"/>
          </w:tcPr>
          <w:p w14:paraId="1084EAF9" w14:textId="77777777"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AMCs</w:t>
            </w:r>
          </w:p>
        </w:tc>
        <w:tc>
          <w:tcPr>
            <w:tcW w:w="992" w:type="dxa"/>
            <w:shd w:val="clear" w:color="auto" w:fill="4C4C4C"/>
            <w:vAlign w:val="center"/>
          </w:tcPr>
          <w:p w14:paraId="458FB759" w14:textId="59891C30" w:rsidR="00893171" w:rsidRPr="008870CE" w:rsidRDefault="00893171" w:rsidP="00893171">
            <w:pPr>
              <w:spacing w:before="40" w:after="60" w:line="280" w:lineRule="atLeast"/>
              <w:jc w:val="right"/>
              <w:rPr>
                <w:rFonts w:ascii="Verdana" w:hAnsi="Verdana"/>
                <w:b/>
                <w:color w:val="FFFFFF"/>
                <w:sz w:val="14"/>
                <w:szCs w:val="14"/>
              </w:rPr>
            </w:pPr>
            <w:r w:rsidRPr="008870CE">
              <w:rPr>
                <w:rFonts w:ascii="Verdana" w:hAnsi="Verdana"/>
                <w:b/>
                <w:color w:val="FFFFFF"/>
                <w:sz w:val="14"/>
                <w:szCs w:val="14"/>
              </w:rPr>
              <w:t>AM ETFs</w:t>
            </w:r>
          </w:p>
        </w:tc>
        <w:tc>
          <w:tcPr>
            <w:tcW w:w="1276" w:type="dxa"/>
            <w:vMerge/>
            <w:shd w:val="clear" w:color="auto" w:fill="4C4C4C"/>
            <w:vAlign w:val="center"/>
          </w:tcPr>
          <w:p w14:paraId="3579AC12" w14:textId="77777777" w:rsidR="00893171" w:rsidRPr="003B4F95" w:rsidRDefault="00893171" w:rsidP="00893171">
            <w:pPr>
              <w:spacing w:before="40" w:after="60" w:line="320" w:lineRule="atLeast"/>
              <w:jc w:val="right"/>
              <w:rPr>
                <w:rFonts w:ascii="Verdana" w:hAnsi="Verdana"/>
                <w:b/>
                <w:color w:val="FFFFFF"/>
                <w:sz w:val="18"/>
                <w:szCs w:val="18"/>
              </w:rPr>
            </w:pPr>
          </w:p>
        </w:tc>
      </w:tr>
      <w:tr w:rsidR="00893171" w:rsidRPr="00AB6CBE" w14:paraId="4B891F5E" w14:textId="77777777" w:rsidTr="008870CE">
        <w:tc>
          <w:tcPr>
            <w:tcW w:w="709" w:type="dxa"/>
            <w:shd w:val="clear" w:color="auto" w:fill="auto"/>
          </w:tcPr>
          <w:p w14:paraId="4B77F61A" w14:textId="77777777" w:rsidR="00893171" w:rsidRPr="00893171" w:rsidRDefault="00893171" w:rsidP="00893171">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54291318" w14:textId="2CB37C84" w:rsidR="00893171" w:rsidRPr="00893171" w:rsidRDefault="00893171" w:rsidP="00893171">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Satrix Managers</w:t>
            </w:r>
          </w:p>
        </w:tc>
        <w:tc>
          <w:tcPr>
            <w:tcW w:w="709" w:type="dxa"/>
            <w:shd w:val="clear" w:color="auto" w:fill="auto"/>
            <w:vAlign w:val="center"/>
          </w:tcPr>
          <w:p w14:paraId="46CE5CC8" w14:textId="793C6E4A" w:rsidR="00893171" w:rsidRPr="00893171" w:rsidRDefault="007319EA" w:rsidP="00893171">
            <w:pPr>
              <w:spacing w:before="40" w:after="60" w:line="320" w:lineRule="atLeast"/>
              <w:jc w:val="center"/>
              <w:rPr>
                <w:rFonts w:ascii="Verdana" w:hAnsi="Verdana"/>
                <w:color w:val="000000"/>
                <w:sz w:val="16"/>
                <w:szCs w:val="16"/>
              </w:rPr>
            </w:pPr>
            <w:r>
              <w:rPr>
                <w:rFonts w:ascii="Verdana" w:hAnsi="Verdana"/>
                <w:color w:val="000000"/>
                <w:sz w:val="16"/>
                <w:szCs w:val="16"/>
              </w:rPr>
              <w:t>38</w:t>
            </w:r>
          </w:p>
        </w:tc>
        <w:tc>
          <w:tcPr>
            <w:tcW w:w="850" w:type="dxa"/>
            <w:shd w:val="clear" w:color="auto" w:fill="auto"/>
            <w:vAlign w:val="center"/>
          </w:tcPr>
          <w:p w14:paraId="350D7CB2" w14:textId="6CF897D4"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1CFFAC07" w14:textId="1F36725D"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75CA2F0F" w14:textId="7AA00550"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687C3A73" w14:textId="532CAF97" w:rsidR="00893171" w:rsidRPr="00893171" w:rsidRDefault="00893171" w:rsidP="00893171">
            <w:pPr>
              <w:spacing w:before="40" w:after="60" w:line="320" w:lineRule="atLeast"/>
              <w:jc w:val="right"/>
              <w:rPr>
                <w:rFonts w:ascii="Verdana" w:hAnsi="Verdana"/>
                <w:color w:val="000000"/>
                <w:sz w:val="16"/>
                <w:szCs w:val="16"/>
              </w:rPr>
            </w:pPr>
            <w:r w:rsidRPr="00893171">
              <w:rPr>
                <w:rFonts w:ascii="Verdana" w:hAnsi="Verdana"/>
                <w:color w:val="000000"/>
                <w:sz w:val="16"/>
                <w:szCs w:val="16"/>
              </w:rPr>
              <w:t>48 </w:t>
            </w:r>
            <w:r w:rsidR="007319EA">
              <w:rPr>
                <w:rFonts w:ascii="Verdana" w:hAnsi="Verdana"/>
                <w:color w:val="000000"/>
                <w:sz w:val="16"/>
                <w:szCs w:val="16"/>
              </w:rPr>
              <w:t>2</w:t>
            </w:r>
            <w:r w:rsidRPr="00893171">
              <w:rPr>
                <w:rFonts w:ascii="Verdana" w:hAnsi="Verdana"/>
                <w:color w:val="000000"/>
                <w:sz w:val="16"/>
                <w:szCs w:val="16"/>
              </w:rPr>
              <w:t>54,</w:t>
            </w:r>
            <w:r w:rsidR="007319EA">
              <w:rPr>
                <w:rFonts w:ascii="Verdana" w:hAnsi="Verdana"/>
                <w:color w:val="000000"/>
                <w:sz w:val="16"/>
                <w:szCs w:val="16"/>
              </w:rPr>
              <w:t>1</w:t>
            </w:r>
          </w:p>
        </w:tc>
        <w:tc>
          <w:tcPr>
            <w:tcW w:w="992" w:type="dxa"/>
            <w:vAlign w:val="center"/>
          </w:tcPr>
          <w:p w14:paraId="40CDAD54" w14:textId="60D2BE94" w:rsidR="00893171" w:rsidRPr="00893171" w:rsidRDefault="00893171" w:rsidP="00893171">
            <w:pPr>
              <w:spacing w:before="40" w:after="60" w:line="320" w:lineRule="atLeast"/>
              <w:jc w:val="right"/>
              <w:rPr>
                <w:rFonts w:ascii="Verdana" w:hAnsi="Verdana"/>
                <w:color w:val="000000"/>
                <w:sz w:val="16"/>
                <w:szCs w:val="16"/>
              </w:rPr>
            </w:pPr>
            <w:r w:rsidRPr="00893171">
              <w:rPr>
                <w:rFonts w:ascii="Verdana" w:hAnsi="Verdana"/>
                <w:color w:val="000000"/>
                <w:sz w:val="16"/>
                <w:szCs w:val="16"/>
              </w:rPr>
              <w:t>-</w:t>
            </w:r>
          </w:p>
        </w:tc>
        <w:tc>
          <w:tcPr>
            <w:tcW w:w="992" w:type="dxa"/>
            <w:vAlign w:val="center"/>
          </w:tcPr>
          <w:p w14:paraId="51FC2DA4" w14:textId="1C833A48" w:rsidR="00893171" w:rsidRPr="00893171" w:rsidRDefault="00893171"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00DB2C1E" w14:textId="715F933A" w:rsidR="00893171" w:rsidRPr="00893171" w:rsidRDefault="00893171"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7338224F" w14:textId="163C1BFD" w:rsidR="00893171" w:rsidRPr="00893171" w:rsidRDefault="00717144" w:rsidP="00893171">
            <w:pPr>
              <w:spacing w:before="40" w:after="60" w:line="320" w:lineRule="atLeast"/>
              <w:jc w:val="right"/>
              <w:rPr>
                <w:rFonts w:ascii="Verdana" w:hAnsi="Verdana"/>
                <w:color w:val="000000"/>
                <w:sz w:val="16"/>
                <w:szCs w:val="16"/>
              </w:rPr>
            </w:pPr>
            <w:r>
              <w:rPr>
                <w:rFonts w:ascii="Verdana" w:hAnsi="Verdana"/>
                <w:color w:val="000000"/>
                <w:sz w:val="16"/>
                <w:szCs w:val="16"/>
              </w:rPr>
              <w:t>48 </w:t>
            </w:r>
            <w:r w:rsidR="007319EA">
              <w:rPr>
                <w:rFonts w:ascii="Verdana" w:hAnsi="Verdana"/>
                <w:color w:val="000000"/>
                <w:sz w:val="16"/>
                <w:szCs w:val="16"/>
              </w:rPr>
              <w:t>2</w:t>
            </w:r>
            <w:r>
              <w:rPr>
                <w:rFonts w:ascii="Verdana" w:hAnsi="Verdana"/>
                <w:color w:val="000000"/>
                <w:sz w:val="16"/>
                <w:szCs w:val="16"/>
              </w:rPr>
              <w:t>54,</w:t>
            </w:r>
            <w:r w:rsidR="007319EA">
              <w:rPr>
                <w:rFonts w:ascii="Verdana" w:hAnsi="Verdana"/>
                <w:color w:val="000000"/>
                <w:sz w:val="16"/>
                <w:szCs w:val="16"/>
              </w:rPr>
              <w:t>1</w:t>
            </w:r>
          </w:p>
        </w:tc>
      </w:tr>
      <w:tr w:rsidR="00893171" w:rsidRPr="00AB6CBE" w14:paraId="0FE5F3BE" w14:textId="77777777" w:rsidTr="008870CE">
        <w:tc>
          <w:tcPr>
            <w:tcW w:w="709" w:type="dxa"/>
            <w:shd w:val="clear" w:color="auto" w:fill="auto"/>
          </w:tcPr>
          <w:p w14:paraId="3512065C" w14:textId="77777777" w:rsidR="00893171" w:rsidRPr="00893171" w:rsidRDefault="00893171" w:rsidP="00893171">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0F8AB803" w14:textId="34697103" w:rsidR="00893171" w:rsidRPr="00893171" w:rsidRDefault="00893171" w:rsidP="00893171">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Sygnia Itrix</w:t>
            </w:r>
          </w:p>
        </w:tc>
        <w:tc>
          <w:tcPr>
            <w:tcW w:w="709" w:type="dxa"/>
            <w:shd w:val="clear" w:color="auto" w:fill="auto"/>
            <w:vAlign w:val="center"/>
          </w:tcPr>
          <w:p w14:paraId="57C21498" w14:textId="75FB169C"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15</w:t>
            </w:r>
          </w:p>
        </w:tc>
        <w:tc>
          <w:tcPr>
            <w:tcW w:w="850" w:type="dxa"/>
            <w:shd w:val="clear" w:color="auto" w:fill="auto"/>
            <w:vAlign w:val="center"/>
          </w:tcPr>
          <w:p w14:paraId="6252A023" w14:textId="17E58BB1"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0F8192F6" w14:textId="7DC62318"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4B9CEC53" w14:textId="0FBAC5FF" w:rsidR="00893171" w:rsidRPr="00893171" w:rsidRDefault="007319EA" w:rsidP="00893171">
            <w:pPr>
              <w:spacing w:before="40" w:after="60" w:line="320" w:lineRule="atLeast"/>
              <w:jc w:val="center"/>
              <w:rPr>
                <w:rFonts w:ascii="Verdana" w:hAnsi="Verdana"/>
                <w:color w:val="000000"/>
                <w:sz w:val="16"/>
                <w:szCs w:val="16"/>
              </w:rPr>
            </w:pPr>
            <w:r>
              <w:rPr>
                <w:rFonts w:ascii="Verdana" w:hAnsi="Verdana"/>
                <w:color w:val="000000"/>
                <w:sz w:val="16"/>
                <w:szCs w:val="16"/>
              </w:rPr>
              <w:t>1</w:t>
            </w:r>
          </w:p>
        </w:tc>
        <w:tc>
          <w:tcPr>
            <w:tcW w:w="1134" w:type="dxa"/>
            <w:vAlign w:val="center"/>
          </w:tcPr>
          <w:p w14:paraId="5E231593" w14:textId="5897EAAA" w:rsidR="00893171" w:rsidRPr="00893171" w:rsidRDefault="00893171" w:rsidP="00893171">
            <w:pPr>
              <w:spacing w:before="40" w:after="60" w:line="320" w:lineRule="atLeast"/>
              <w:jc w:val="right"/>
              <w:rPr>
                <w:rFonts w:ascii="Verdana" w:hAnsi="Verdana"/>
                <w:color w:val="000000"/>
                <w:sz w:val="16"/>
                <w:szCs w:val="16"/>
              </w:rPr>
            </w:pPr>
            <w:r w:rsidRPr="00893171">
              <w:rPr>
                <w:rFonts w:ascii="Verdana" w:hAnsi="Verdana"/>
                <w:color w:val="000000"/>
                <w:sz w:val="16"/>
                <w:szCs w:val="16"/>
              </w:rPr>
              <w:t>3</w:t>
            </w:r>
            <w:r w:rsidR="007319EA">
              <w:rPr>
                <w:rFonts w:ascii="Verdana" w:hAnsi="Verdana"/>
                <w:color w:val="000000"/>
                <w:sz w:val="16"/>
                <w:szCs w:val="16"/>
              </w:rPr>
              <w:t>7</w:t>
            </w:r>
            <w:r w:rsidRPr="00893171">
              <w:rPr>
                <w:rFonts w:ascii="Verdana" w:hAnsi="Verdana"/>
                <w:color w:val="000000"/>
                <w:sz w:val="16"/>
                <w:szCs w:val="16"/>
              </w:rPr>
              <w:t> 4</w:t>
            </w:r>
            <w:r w:rsidR="007319EA">
              <w:rPr>
                <w:rFonts w:ascii="Verdana" w:hAnsi="Verdana"/>
                <w:color w:val="000000"/>
                <w:sz w:val="16"/>
                <w:szCs w:val="16"/>
              </w:rPr>
              <w:t>77</w:t>
            </w:r>
            <w:r w:rsidRPr="00893171">
              <w:rPr>
                <w:rFonts w:ascii="Verdana" w:hAnsi="Verdana"/>
                <w:color w:val="000000"/>
                <w:sz w:val="16"/>
                <w:szCs w:val="16"/>
              </w:rPr>
              <w:t>,9</w:t>
            </w:r>
          </w:p>
        </w:tc>
        <w:tc>
          <w:tcPr>
            <w:tcW w:w="992" w:type="dxa"/>
            <w:vAlign w:val="center"/>
          </w:tcPr>
          <w:p w14:paraId="63B9D20A" w14:textId="0FE61E18" w:rsidR="00893171" w:rsidRPr="00893171" w:rsidRDefault="00893171" w:rsidP="00893171">
            <w:pPr>
              <w:spacing w:before="40" w:after="60" w:line="320" w:lineRule="atLeast"/>
              <w:jc w:val="right"/>
              <w:rPr>
                <w:rFonts w:ascii="Verdana" w:hAnsi="Verdana"/>
                <w:color w:val="000000"/>
                <w:sz w:val="16"/>
                <w:szCs w:val="16"/>
              </w:rPr>
            </w:pPr>
            <w:r w:rsidRPr="00893171">
              <w:rPr>
                <w:rFonts w:ascii="Verdana" w:hAnsi="Verdana"/>
                <w:color w:val="000000"/>
                <w:sz w:val="16"/>
                <w:szCs w:val="16"/>
              </w:rPr>
              <w:t>-</w:t>
            </w:r>
          </w:p>
        </w:tc>
        <w:tc>
          <w:tcPr>
            <w:tcW w:w="992" w:type="dxa"/>
            <w:vAlign w:val="center"/>
          </w:tcPr>
          <w:p w14:paraId="24BAE124" w14:textId="2953D7A6" w:rsidR="00893171" w:rsidRPr="00893171" w:rsidRDefault="00717144"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02FF980D" w14:textId="06D0192C" w:rsidR="00893171" w:rsidRPr="00893171" w:rsidRDefault="007319EA" w:rsidP="00893171">
            <w:pPr>
              <w:spacing w:before="40" w:after="60" w:line="320" w:lineRule="atLeast"/>
              <w:jc w:val="right"/>
              <w:rPr>
                <w:rFonts w:ascii="Verdana" w:hAnsi="Verdana"/>
                <w:color w:val="000000"/>
                <w:sz w:val="16"/>
                <w:szCs w:val="16"/>
              </w:rPr>
            </w:pPr>
            <w:r>
              <w:rPr>
                <w:rFonts w:ascii="Verdana" w:hAnsi="Verdana"/>
                <w:color w:val="000000"/>
                <w:sz w:val="16"/>
                <w:szCs w:val="16"/>
              </w:rPr>
              <w:t>50,0</w:t>
            </w:r>
          </w:p>
        </w:tc>
        <w:tc>
          <w:tcPr>
            <w:tcW w:w="1276" w:type="dxa"/>
            <w:vAlign w:val="center"/>
          </w:tcPr>
          <w:p w14:paraId="2278D090" w14:textId="1972EBDB" w:rsidR="00893171" w:rsidRPr="00893171" w:rsidRDefault="00717144" w:rsidP="00893171">
            <w:pPr>
              <w:spacing w:before="40" w:after="60" w:line="320" w:lineRule="atLeast"/>
              <w:jc w:val="right"/>
              <w:rPr>
                <w:rFonts w:ascii="Verdana" w:hAnsi="Verdana"/>
                <w:color w:val="000000"/>
                <w:sz w:val="16"/>
                <w:szCs w:val="16"/>
              </w:rPr>
            </w:pPr>
            <w:r>
              <w:rPr>
                <w:rFonts w:ascii="Verdana" w:hAnsi="Verdana"/>
                <w:color w:val="000000"/>
                <w:sz w:val="16"/>
                <w:szCs w:val="16"/>
              </w:rPr>
              <w:t>3</w:t>
            </w:r>
            <w:r w:rsidR="007319EA">
              <w:rPr>
                <w:rFonts w:ascii="Verdana" w:hAnsi="Verdana"/>
                <w:color w:val="000000"/>
                <w:sz w:val="16"/>
                <w:szCs w:val="16"/>
              </w:rPr>
              <w:t>7</w:t>
            </w:r>
            <w:r>
              <w:rPr>
                <w:rFonts w:ascii="Verdana" w:hAnsi="Verdana"/>
                <w:color w:val="000000"/>
                <w:sz w:val="16"/>
                <w:szCs w:val="16"/>
              </w:rPr>
              <w:t> </w:t>
            </w:r>
            <w:r w:rsidR="007319EA">
              <w:rPr>
                <w:rFonts w:ascii="Verdana" w:hAnsi="Verdana"/>
                <w:color w:val="000000"/>
                <w:sz w:val="16"/>
                <w:szCs w:val="16"/>
              </w:rPr>
              <w:t>527</w:t>
            </w:r>
            <w:r>
              <w:rPr>
                <w:rFonts w:ascii="Verdana" w:hAnsi="Verdana"/>
                <w:color w:val="000000"/>
                <w:sz w:val="16"/>
                <w:szCs w:val="16"/>
              </w:rPr>
              <w:t>,9</w:t>
            </w:r>
          </w:p>
        </w:tc>
      </w:tr>
      <w:tr w:rsidR="00893171" w:rsidRPr="00AB6CBE" w14:paraId="3E5AB5DE" w14:textId="77777777" w:rsidTr="008870CE">
        <w:tc>
          <w:tcPr>
            <w:tcW w:w="709" w:type="dxa"/>
            <w:shd w:val="clear" w:color="auto" w:fill="auto"/>
          </w:tcPr>
          <w:p w14:paraId="62DC651B" w14:textId="77777777" w:rsidR="00893171" w:rsidRPr="00893171" w:rsidRDefault="00893171" w:rsidP="00893171">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3C1FB5E5" w14:textId="77777777" w:rsidR="00893171" w:rsidRPr="00893171" w:rsidRDefault="00893171" w:rsidP="00893171">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Absa Capital</w:t>
            </w:r>
          </w:p>
        </w:tc>
        <w:tc>
          <w:tcPr>
            <w:tcW w:w="709" w:type="dxa"/>
            <w:shd w:val="clear" w:color="auto" w:fill="auto"/>
            <w:vAlign w:val="center"/>
          </w:tcPr>
          <w:p w14:paraId="2791DA0D" w14:textId="649A8FC8"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3</w:t>
            </w:r>
          </w:p>
        </w:tc>
        <w:tc>
          <w:tcPr>
            <w:tcW w:w="850" w:type="dxa"/>
            <w:shd w:val="clear" w:color="auto" w:fill="auto"/>
            <w:vAlign w:val="center"/>
          </w:tcPr>
          <w:p w14:paraId="154261B2" w14:textId="5C2CB986" w:rsidR="00893171" w:rsidRPr="00893171" w:rsidRDefault="00893171" w:rsidP="00893171">
            <w:pPr>
              <w:spacing w:before="40" w:after="60" w:line="320" w:lineRule="atLeast"/>
              <w:jc w:val="center"/>
              <w:rPr>
                <w:rFonts w:ascii="Verdana" w:hAnsi="Verdana"/>
                <w:color w:val="000000"/>
                <w:sz w:val="16"/>
                <w:szCs w:val="16"/>
              </w:rPr>
            </w:pPr>
            <w:r w:rsidRPr="00893171">
              <w:rPr>
                <w:rFonts w:ascii="Verdana" w:hAnsi="Verdana"/>
                <w:color w:val="000000"/>
                <w:sz w:val="16"/>
                <w:szCs w:val="16"/>
              </w:rPr>
              <w:t>5</w:t>
            </w:r>
          </w:p>
        </w:tc>
        <w:tc>
          <w:tcPr>
            <w:tcW w:w="709" w:type="dxa"/>
            <w:shd w:val="clear" w:color="auto" w:fill="auto"/>
            <w:vAlign w:val="center"/>
          </w:tcPr>
          <w:p w14:paraId="7DF77E9F" w14:textId="68CEF56A"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2166DF9E" w14:textId="4E1C6350" w:rsidR="00893171" w:rsidRPr="00893171" w:rsidRDefault="00893171" w:rsidP="00893171">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029D8166" w14:textId="16D406F5" w:rsidR="00893171" w:rsidRPr="00893171" w:rsidRDefault="00893171" w:rsidP="00893171">
            <w:pPr>
              <w:spacing w:before="40" w:after="60" w:line="320" w:lineRule="atLeast"/>
              <w:jc w:val="right"/>
              <w:rPr>
                <w:rFonts w:ascii="Verdana" w:hAnsi="Verdana"/>
                <w:color w:val="000000"/>
                <w:sz w:val="16"/>
                <w:szCs w:val="16"/>
              </w:rPr>
            </w:pPr>
            <w:r w:rsidRPr="00893171">
              <w:rPr>
                <w:rFonts w:ascii="Verdana" w:hAnsi="Verdana"/>
                <w:color w:val="000000"/>
                <w:sz w:val="16"/>
                <w:szCs w:val="16"/>
              </w:rPr>
              <w:t>2</w:t>
            </w:r>
            <w:r w:rsidR="007319EA">
              <w:rPr>
                <w:rFonts w:ascii="Verdana" w:hAnsi="Verdana"/>
                <w:color w:val="000000"/>
                <w:sz w:val="16"/>
                <w:szCs w:val="16"/>
              </w:rPr>
              <w:t>3</w:t>
            </w:r>
            <w:r w:rsidRPr="00893171">
              <w:rPr>
                <w:rFonts w:ascii="Verdana" w:hAnsi="Verdana"/>
                <w:color w:val="000000"/>
                <w:sz w:val="16"/>
                <w:szCs w:val="16"/>
              </w:rPr>
              <w:t> </w:t>
            </w:r>
            <w:r w:rsidR="007319EA">
              <w:rPr>
                <w:rFonts w:ascii="Verdana" w:hAnsi="Verdana"/>
                <w:color w:val="000000"/>
                <w:sz w:val="16"/>
                <w:szCs w:val="16"/>
              </w:rPr>
              <w:t>292</w:t>
            </w:r>
            <w:r w:rsidRPr="00893171">
              <w:rPr>
                <w:rFonts w:ascii="Verdana" w:hAnsi="Verdana"/>
                <w:color w:val="000000"/>
                <w:sz w:val="16"/>
                <w:szCs w:val="16"/>
              </w:rPr>
              <w:t>,</w:t>
            </w:r>
            <w:r w:rsidR="007319EA">
              <w:rPr>
                <w:rFonts w:ascii="Verdana" w:hAnsi="Verdana"/>
                <w:color w:val="000000"/>
                <w:sz w:val="16"/>
                <w:szCs w:val="16"/>
              </w:rPr>
              <w:t>7</w:t>
            </w:r>
          </w:p>
        </w:tc>
        <w:tc>
          <w:tcPr>
            <w:tcW w:w="992" w:type="dxa"/>
            <w:vAlign w:val="center"/>
          </w:tcPr>
          <w:p w14:paraId="05FEFC5D" w14:textId="634F35E6" w:rsidR="00893171" w:rsidRPr="00893171" w:rsidRDefault="00893171" w:rsidP="00893171">
            <w:pPr>
              <w:spacing w:before="40" w:after="60" w:line="320" w:lineRule="atLeast"/>
              <w:jc w:val="right"/>
              <w:rPr>
                <w:rFonts w:ascii="Verdana" w:hAnsi="Verdana"/>
                <w:color w:val="000000"/>
                <w:sz w:val="16"/>
                <w:szCs w:val="16"/>
              </w:rPr>
            </w:pPr>
            <w:r w:rsidRPr="00893171">
              <w:rPr>
                <w:rFonts w:ascii="Verdana" w:hAnsi="Verdana"/>
                <w:color w:val="000000"/>
                <w:sz w:val="16"/>
                <w:szCs w:val="16"/>
              </w:rPr>
              <w:t>1 </w:t>
            </w:r>
            <w:r w:rsidR="007319EA">
              <w:rPr>
                <w:rFonts w:ascii="Verdana" w:hAnsi="Verdana"/>
                <w:color w:val="000000"/>
                <w:sz w:val="16"/>
                <w:szCs w:val="16"/>
              </w:rPr>
              <w:t>747</w:t>
            </w:r>
            <w:r w:rsidRPr="00893171">
              <w:rPr>
                <w:rFonts w:ascii="Verdana" w:hAnsi="Verdana"/>
                <w:color w:val="000000"/>
                <w:sz w:val="16"/>
                <w:szCs w:val="16"/>
              </w:rPr>
              <w:t>,1</w:t>
            </w:r>
          </w:p>
        </w:tc>
        <w:tc>
          <w:tcPr>
            <w:tcW w:w="992" w:type="dxa"/>
            <w:vAlign w:val="center"/>
          </w:tcPr>
          <w:p w14:paraId="66C9E298" w14:textId="2F024975" w:rsidR="00893171" w:rsidRPr="00893171" w:rsidRDefault="00717144"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6F79E717" w14:textId="05C8DB95" w:rsidR="00893171" w:rsidRPr="00893171" w:rsidRDefault="00717144" w:rsidP="00893171">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32A350AC" w14:textId="7860903B" w:rsidR="00893171" w:rsidRPr="00893171" w:rsidRDefault="00717144" w:rsidP="00893171">
            <w:pPr>
              <w:spacing w:before="40" w:after="60" w:line="320" w:lineRule="atLeast"/>
              <w:jc w:val="right"/>
              <w:rPr>
                <w:rFonts w:ascii="Verdana" w:hAnsi="Verdana"/>
                <w:color w:val="000000"/>
                <w:sz w:val="16"/>
                <w:szCs w:val="16"/>
              </w:rPr>
            </w:pPr>
            <w:r>
              <w:rPr>
                <w:rFonts w:ascii="Verdana" w:hAnsi="Verdana"/>
                <w:color w:val="000000"/>
                <w:sz w:val="16"/>
                <w:szCs w:val="16"/>
              </w:rPr>
              <w:t>2</w:t>
            </w:r>
            <w:r w:rsidR="008870CE">
              <w:rPr>
                <w:rFonts w:ascii="Verdana" w:hAnsi="Verdana"/>
                <w:color w:val="000000"/>
                <w:sz w:val="16"/>
                <w:szCs w:val="16"/>
              </w:rPr>
              <w:t>5</w:t>
            </w:r>
            <w:r>
              <w:rPr>
                <w:rFonts w:ascii="Verdana" w:hAnsi="Verdana"/>
                <w:color w:val="000000"/>
                <w:sz w:val="16"/>
                <w:szCs w:val="16"/>
              </w:rPr>
              <w:t> 0</w:t>
            </w:r>
            <w:r w:rsidR="008870CE">
              <w:rPr>
                <w:rFonts w:ascii="Verdana" w:hAnsi="Verdana"/>
                <w:color w:val="000000"/>
                <w:sz w:val="16"/>
                <w:szCs w:val="16"/>
              </w:rPr>
              <w:t>39</w:t>
            </w:r>
            <w:r>
              <w:rPr>
                <w:rFonts w:ascii="Verdana" w:hAnsi="Verdana"/>
                <w:color w:val="000000"/>
                <w:sz w:val="16"/>
                <w:szCs w:val="16"/>
              </w:rPr>
              <w:t>,</w:t>
            </w:r>
            <w:r w:rsidR="008870CE">
              <w:rPr>
                <w:rFonts w:ascii="Verdana" w:hAnsi="Verdana"/>
                <w:color w:val="000000"/>
                <w:sz w:val="16"/>
                <w:szCs w:val="16"/>
              </w:rPr>
              <w:t>8</w:t>
            </w:r>
          </w:p>
        </w:tc>
      </w:tr>
      <w:tr w:rsidR="007319EA" w:rsidRPr="00AB6CBE" w14:paraId="2ECFF152" w14:textId="77777777" w:rsidTr="008870CE">
        <w:tc>
          <w:tcPr>
            <w:tcW w:w="709" w:type="dxa"/>
            <w:shd w:val="clear" w:color="auto" w:fill="auto"/>
          </w:tcPr>
          <w:p w14:paraId="1D7A5F85"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7AAF344D" w14:textId="35208BD9" w:rsidR="007319EA" w:rsidRPr="00893171" w:rsidRDefault="007319EA" w:rsidP="007319EA">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CoreShares/</w:t>
            </w:r>
            <w:r>
              <w:rPr>
                <w:rFonts w:ascii="Verdana" w:hAnsi="Verdana"/>
                <w:color w:val="000000" w:themeColor="text1"/>
                <w:sz w:val="16"/>
                <w:szCs w:val="16"/>
              </w:rPr>
              <w:t xml:space="preserve"> </w:t>
            </w:r>
            <w:r w:rsidRPr="00893171">
              <w:rPr>
                <w:rFonts w:ascii="Verdana" w:hAnsi="Verdana"/>
                <w:color w:val="000000" w:themeColor="text1"/>
                <w:sz w:val="16"/>
                <w:szCs w:val="16"/>
              </w:rPr>
              <w:t>10X</w:t>
            </w:r>
          </w:p>
        </w:tc>
        <w:tc>
          <w:tcPr>
            <w:tcW w:w="709" w:type="dxa"/>
            <w:shd w:val="clear" w:color="auto" w:fill="auto"/>
            <w:vAlign w:val="center"/>
          </w:tcPr>
          <w:p w14:paraId="2E7656A6" w14:textId="3CA1C58B"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1</w:t>
            </w:r>
            <w:r>
              <w:rPr>
                <w:rFonts w:ascii="Verdana" w:hAnsi="Verdana"/>
                <w:color w:val="000000"/>
                <w:sz w:val="16"/>
                <w:szCs w:val="16"/>
              </w:rPr>
              <w:t>2</w:t>
            </w:r>
          </w:p>
        </w:tc>
        <w:tc>
          <w:tcPr>
            <w:tcW w:w="850" w:type="dxa"/>
            <w:shd w:val="clear" w:color="auto" w:fill="auto"/>
            <w:vAlign w:val="center"/>
          </w:tcPr>
          <w:p w14:paraId="0CE6EEB5" w14:textId="25244ACD"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12604569" w14:textId="7C566420" w:rsidR="007319EA"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125394B4" w14:textId="08E826F5" w:rsidR="007319EA"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2</w:t>
            </w:r>
          </w:p>
        </w:tc>
        <w:tc>
          <w:tcPr>
            <w:tcW w:w="1134" w:type="dxa"/>
            <w:vAlign w:val="center"/>
          </w:tcPr>
          <w:p w14:paraId="2B7C82C7" w14:textId="199114C3"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10</w:t>
            </w:r>
            <w:r w:rsidR="007319EA" w:rsidRPr="00893171">
              <w:rPr>
                <w:rFonts w:ascii="Verdana" w:hAnsi="Verdana"/>
                <w:color w:val="000000"/>
                <w:sz w:val="16"/>
                <w:szCs w:val="16"/>
              </w:rPr>
              <w:t> </w:t>
            </w:r>
            <w:r>
              <w:rPr>
                <w:rFonts w:ascii="Verdana" w:hAnsi="Verdana"/>
                <w:color w:val="000000"/>
                <w:sz w:val="16"/>
                <w:szCs w:val="16"/>
              </w:rPr>
              <w:t>036</w:t>
            </w:r>
            <w:r w:rsidR="007319EA" w:rsidRPr="00893171">
              <w:rPr>
                <w:rFonts w:ascii="Verdana" w:hAnsi="Verdana"/>
                <w:color w:val="000000"/>
                <w:sz w:val="16"/>
                <w:szCs w:val="16"/>
              </w:rPr>
              <w:t>,</w:t>
            </w:r>
            <w:r>
              <w:rPr>
                <w:rFonts w:ascii="Verdana" w:hAnsi="Verdana"/>
                <w:color w:val="000000"/>
                <w:sz w:val="16"/>
                <w:szCs w:val="16"/>
              </w:rPr>
              <w:t>9</w:t>
            </w:r>
          </w:p>
        </w:tc>
        <w:tc>
          <w:tcPr>
            <w:tcW w:w="992" w:type="dxa"/>
            <w:vAlign w:val="center"/>
          </w:tcPr>
          <w:p w14:paraId="62B1C769" w14:textId="244E151C"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w:t>
            </w:r>
          </w:p>
        </w:tc>
        <w:tc>
          <w:tcPr>
            <w:tcW w:w="992" w:type="dxa"/>
            <w:vAlign w:val="center"/>
          </w:tcPr>
          <w:p w14:paraId="593BED0C" w14:textId="628C9016" w:rsidR="007319EA"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6B01C065" w14:textId="2D5F66D5" w:rsidR="007319EA"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1 364</w:t>
            </w:r>
            <w:r w:rsidR="007319EA">
              <w:rPr>
                <w:rFonts w:ascii="Verdana" w:hAnsi="Verdana"/>
                <w:color w:val="000000"/>
                <w:sz w:val="16"/>
                <w:szCs w:val="16"/>
              </w:rPr>
              <w:t>,</w:t>
            </w:r>
            <w:r>
              <w:rPr>
                <w:rFonts w:ascii="Verdana" w:hAnsi="Verdana"/>
                <w:color w:val="000000"/>
                <w:sz w:val="16"/>
                <w:szCs w:val="16"/>
              </w:rPr>
              <w:t>4</w:t>
            </w:r>
          </w:p>
        </w:tc>
        <w:tc>
          <w:tcPr>
            <w:tcW w:w="1276" w:type="dxa"/>
            <w:vAlign w:val="center"/>
          </w:tcPr>
          <w:p w14:paraId="3D3ED721" w14:textId="34CFCA66" w:rsidR="007319EA"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11</w:t>
            </w:r>
            <w:r w:rsidR="007319EA">
              <w:rPr>
                <w:rFonts w:ascii="Verdana" w:hAnsi="Verdana"/>
                <w:color w:val="000000"/>
                <w:sz w:val="16"/>
                <w:szCs w:val="16"/>
              </w:rPr>
              <w:t> </w:t>
            </w:r>
            <w:r>
              <w:rPr>
                <w:rFonts w:ascii="Verdana" w:hAnsi="Verdana"/>
                <w:color w:val="000000"/>
                <w:sz w:val="16"/>
                <w:szCs w:val="16"/>
              </w:rPr>
              <w:t>401</w:t>
            </w:r>
            <w:r w:rsidR="007319EA">
              <w:rPr>
                <w:rFonts w:ascii="Verdana" w:hAnsi="Verdana"/>
                <w:color w:val="000000"/>
                <w:sz w:val="16"/>
                <w:szCs w:val="16"/>
              </w:rPr>
              <w:t>,</w:t>
            </w:r>
            <w:r>
              <w:rPr>
                <w:rFonts w:ascii="Verdana" w:hAnsi="Verdana"/>
                <w:color w:val="000000"/>
                <w:sz w:val="16"/>
                <w:szCs w:val="16"/>
              </w:rPr>
              <w:t>3</w:t>
            </w:r>
          </w:p>
        </w:tc>
      </w:tr>
      <w:tr w:rsidR="007319EA" w:rsidRPr="00AB6CBE" w14:paraId="2E0F4F01" w14:textId="77777777" w:rsidTr="008870CE">
        <w:tc>
          <w:tcPr>
            <w:tcW w:w="709" w:type="dxa"/>
            <w:shd w:val="clear" w:color="auto" w:fill="auto"/>
          </w:tcPr>
          <w:p w14:paraId="10150557"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117A9919" w14:textId="24AF28B0" w:rsidR="007319EA" w:rsidRPr="00893171" w:rsidRDefault="007319EA" w:rsidP="007319EA">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FNB/FirstRand</w:t>
            </w:r>
          </w:p>
        </w:tc>
        <w:tc>
          <w:tcPr>
            <w:tcW w:w="709" w:type="dxa"/>
            <w:shd w:val="clear" w:color="auto" w:fill="auto"/>
            <w:vAlign w:val="center"/>
          </w:tcPr>
          <w:p w14:paraId="27501A4B" w14:textId="4C1DCAE1"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8</w:t>
            </w:r>
          </w:p>
        </w:tc>
        <w:tc>
          <w:tcPr>
            <w:tcW w:w="850" w:type="dxa"/>
            <w:shd w:val="clear" w:color="auto" w:fill="auto"/>
            <w:vAlign w:val="center"/>
          </w:tcPr>
          <w:p w14:paraId="4A7040FD" w14:textId="4795AF07"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42</w:t>
            </w:r>
          </w:p>
        </w:tc>
        <w:tc>
          <w:tcPr>
            <w:tcW w:w="709" w:type="dxa"/>
            <w:shd w:val="clear" w:color="auto" w:fill="auto"/>
            <w:vAlign w:val="center"/>
          </w:tcPr>
          <w:p w14:paraId="6CB70E61" w14:textId="22A5F968"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470D6A4A" w14:textId="321AD552"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68B377D1" w14:textId="238539A0"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7 51</w:t>
            </w:r>
            <w:r w:rsidR="008870CE">
              <w:rPr>
                <w:rFonts w:ascii="Verdana" w:hAnsi="Verdana"/>
                <w:color w:val="000000"/>
                <w:sz w:val="16"/>
                <w:szCs w:val="16"/>
              </w:rPr>
              <w:t>8</w:t>
            </w:r>
            <w:r w:rsidRPr="00893171">
              <w:rPr>
                <w:rFonts w:ascii="Verdana" w:hAnsi="Verdana"/>
                <w:color w:val="000000"/>
                <w:sz w:val="16"/>
                <w:szCs w:val="16"/>
              </w:rPr>
              <w:t>,</w:t>
            </w:r>
            <w:r w:rsidR="008870CE">
              <w:rPr>
                <w:rFonts w:ascii="Verdana" w:hAnsi="Verdana"/>
                <w:color w:val="000000"/>
                <w:sz w:val="16"/>
                <w:szCs w:val="16"/>
              </w:rPr>
              <w:t>7</w:t>
            </w:r>
          </w:p>
        </w:tc>
        <w:tc>
          <w:tcPr>
            <w:tcW w:w="992" w:type="dxa"/>
            <w:vAlign w:val="center"/>
          </w:tcPr>
          <w:p w14:paraId="7941F141" w14:textId="508AC9AB"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3 </w:t>
            </w:r>
            <w:r w:rsidR="008870CE">
              <w:rPr>
                <w:rFonts w:ascii="Verdana" w:hAnsi="Verdana"/>
                <w:color w:val="000000"/>
                <w:sz w:val="16"/>
                <w:szCs w:val="16"/>
              </w:rPr>
              <w:t>512</w:t>
            </w:r>
            <w:r w:rsidRPr="00893171">
              <w:rPr>
                <w:rFonts w:ascii="Verdana" w:hAnsi="Verdana"/>
                <w:color w:val="000000"/>
                <w:sz w:val="16"/>
                <w:szCs w:val="16"/>
              </w:rPr>
              <w:t>,</w:t>
            </w:r>
            <w:r w:rsidR="008870CE">
              <w:rPr>
                <w:rFonts w:ascii="Verdana" w:hAnsi="Verdana"/>
                <w:color w:val="000000"/>
                <w:sz w:val="16"/>
                <w:szCs w:val="16"/>
              </w:rPr>
              <w:t>8</w:t>
            </w:r>
          </w:p>
        </w:tc>
        <w:tc>
          <w:tcPr>
            <w:tcW w:w="992" w:type="dxa"/>
            <w:vAlign w:val="center"/>
          </w:tcPr>
          <w:p w14:paraId="7229F58C" w14:textId="768F4688"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48086C16" w14:textId="7191C198"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062755B2" w14:textId="6F0CD793"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11 </w:t>
            </w:r>
            <w:r w:rsidR="008870CE">
              <w:rPr>
                <w:rFonts w:ascii="Verdana" w:hAnsi="Verdana"/>
                <w:color w:val="000000"/>
                <w:sz w:val="16"/>
                <w:szCs w:val="16"/>
              </w:rPr>
              <w:t>031</w:t>
            </w:r>
            <w:r>
              <w:rPr>
                <w:rFonts w:ascii="Verdana" w:hAnsi="Verdana"/>
                <w:color w:val="000000"/>
                <w:sz w:val="16"/>
                <w:szCs w:val="16"/>
              </w:rPr>
              <w:t>,</w:t>
            </w:r>
            <w:r w:rsidR="008870CE">
              <w:rPr>
                <w:rFonts w:ascii="Verdana" w:hAnsi="Verdana"/>
                <w:color w:val="000000"/>
                <w:sz w:val="16"/>
                <w:szCs w:val="16"/>
              </w:rPr>
              <w:t>5</w:t>
            </w:r>
          </w:p>
        </w:tc>
      </w:tr>
      <w:tr w:rsidR="007319EA" w:rsidRPr="000435BE" w14:paraId="7930D843" w14:textId="77777777" w:rsidTr="008870CE">
        <w:tc>
          <w:tcPr>
            <w:tcW w:w="709" w:type="dxa"/>
            <w:shd w:val="clear" w:color="auto" w:fill="auto"/>
          </w:tcPr>
          <w:p w14:paraId="135FD867"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5EFDAE60" w14:textId="700A0C94" w:rsidR="007319EA" w:rsidRPr="00893171" w:rsidRDefault="007319EA" w:rsidP="007319EA">
            <w:pPr>
              <w:spacing w:before="40" w:after="60" w:line="320" w:lineRule="atLeast"/>
              <w:rPr>
                <w:rFonts w:ascii="Verdana" w:hAnsi="Verdana"/>
                <w:color w:val="000000" w:themeColor="text1"/>
                <w:sz w:val="16"/>
                <w:szCs w:val="16"/>
              </w:rPr>
            </w:pPr>
            <w:r w:rsidRPr="00893171">
              <w:rPr>
                <w:rFonts w:ascii="Verdana" w:hAnsi="Verdana"/>
                <w:color w:val="000000" w:themeColor="text1"/>
                <w:sz w:val="16"/>
                <w:szCs w:val="16"/>
              </w:rPr>
              <w:t>1nvest</w:t>
            </w:r>
          </w:p>
        </w:tc>
        <w:tc>
          <w:tcPr>
            <w:tcW w:w="709" w:type="dxa"/>
            <w:shd w:val="clear" w:color="auto" w:fill="auto"/>
            <w:vAlign w:val="center"/>
          </w:tcPr>
          <w:p w14:paraId="4517733D" w14:textId="4C917CB5"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16</w:t>
            </w:r>
          </w:p>
        </w:tc>
        <w:tc>
          <w:tcPr>
            <w:tcW w:w="850" w:type="dxa"/>
            <w:shd w:val="clear" w:color="auto" w:fill="auto"/>
            <w:vAlign w:val="center"/>
          </w:tcPr>
          <w:p w14:paraId="2FACC740" w14:textId="0469F7CF"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697BCF81" w14:textId="545DD915"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12649ECC" w14:textId="4A767BC9"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392CA298" w14:textId="1136210E"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9</w:t>
            </w:r>
            <w:r w:rsidR="007319EA" w:rsidRPr="00893171">
              <w:rPr>
                <w:rFonts w:ascii="Verdana" w:hAnsi="Verdana"/>
                <w:color w:val="000000"/>
                <w:sz w:val="16"/>
                <w:szCs w:val="16"/>
              </w:rPr>
              <w:t> </w:t>
            </w:r>
            <w:r>
              <w:rPr>
                <w:rFonts w:ascii="Verdana" w:hAnsi="Verdana"/>
                <w:color w:val="000000"/>
                <w:sz w:val="16"/>
                <w:szCs w:val="16"/>
              </w:rPr>
              <w:t>684</w:t>
            </w:r>
            <w:r w:rsidR="007319EA" w:rsidRPr="00893171">
              <w:rPr>
                <w:rFonts w:ascii="Verdana" w:hAnsi="Verdana"/>
                <w:color w:val="000000"/>
                <w:sz w:val="16"/>
                <w:szCs w:val="16"/>
              </w:rPr>
              <w:t>,</w:t>
            </w:r>
            <w:r>
              <w:rPr>
                <w:rFonts w:ascii="Verdana" w:hAnsi="Verdana"/>
                <w:color w:val="000000"/>
                <w:sz w:val="16"/>
                <w:szCs w:val="16"/>
              </w:rPr>
              <w:t>7</w:t>
            </w:r>
          </w:p>
        </w:tc>
        <w:tc>
          <w:tcPr>
            <w:tcW w:w="992" w:type="dxa"/>
            <w:vAlign w:val="center"/>
          </w:tcPr>
          <w:p w14:paraId="00667AB0" w14:textId="504D66C0"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w:t>
            </w:r>
          </w:p>
        </w:tc>
        <w:tc>
          <w:tcPr>
            <w:tcW w:w="992" w:type="dxa"/>
            <w:vAlign w:val="center"/>
          </w:tcPr>
          <w:p w14:paraId="2461FD83" w14:textId="4663F80F"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767D60C4" w14:textId="04302168"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42F62D33" w14:textId="1D6684FD"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9</w:t>
            </w:r>
            <w:r w:rsidR="007319EA">
              <w:rPr>
                <w:rFonts w:ascii="Verdana" w:hAnsi="Verdana"/>
                <w:color w:val="000000"/>
                <w:sz w:val="16"/>
                <w:szCs w:val="16"/>
              </w:rPr>
              <w:t> </w:t>
            </w:r>
            <w:r>
              <w:rPr>
                <w:rFonts w:ascii="Verdana" w:hAnsi="Verdana"/>
                <w:color w:val="000000"/>
                <w:sz w:val="16"/>
                <w:szCs w:val="16"/>
              </w:rPr>
              <w:t>684</w:t>
            </w:r>
            <w:r w:rsidR="007319EA">
              <w:rPr>
                <w:rFonts w:ascii="Verdana" w:hAnsi="Verdana"/>
                <w:color w:val="000000"/>
                <w:sz w:val="16"/>
                <w:szCs w:val="16"/>
              </w:rPr>
              <w:t>,</w:t>
            </w:r>
            <w:r>
              <w:rPr>
                <w:rFonts w:ascii="Verdana" w:hAnsi="Verdana"/>
                <w:color w:val="000000"/>
                <w:sz w:val="16"/>
                <w:szCs w:val="16"/>
              </w:rPr>
              <w:t>7</w:t>
            </w:r>
          </w:p>
        </w:tc>
      </w:tr>
      <w:tr w:rsidR="007319EA" w:rsidRPr="000435BE" w14:paraId="3D3E6270" w14:textId="77777777" w:rsidTr="008870CE">
        <w:tc>
          <w:tcPr>
            <w:tcW w:w="709" w:type="dxa"/>
            <w:shd w:val="clear" w:color="auto" w:fill="auto"/>
          </w:tcPr>
          <w:p w14:paraId="2F3AB2CF"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79EA6E23" w14:textId="25F732CB" w:rsidR="007319EA" w:rsidRPr="00893171" w:rsidRDefault="007319EA" w:rsidP="007319EA">
            <w:pPr>
              <w:spacing w:before="40" w:after="60" w:line="320" w:lineRule="atLeast"/>
              <w:rPr>
                <w:rFonts w:ascii="Verdana" w:hAnsi="Verdana"/>
                <w:color w:val="000000"/>
                <w:sz w:val="16"/>
                <w:szCs w:val="16"/>
              </w:rPr>
            </w:pPr>
            <w:r w:rsidRPr="00893171">
              <w:rPr>
                <w:rFonts w:ascii="Verdana" w:hAnsi="Verdana"/>
                <w:color w:val="000000"/>
                <w:sz w:val="16"/>
                <w:szCs w:val="16"/>
              </w:rPr>
              <w:t>UBS</w:t>
            </w:r>
          </w:p>
        </w:tc>
        <w:tc>
          <w:tcPr>
            <w:tcW w:w="709" w:type="dxa"/>
            <w:shd w:val="clear" w:color="auto" w:fill="auto"/>
            <w:vAlign w:val="center"/>
          </w:tcPr>
          <w:p w14:paraId="319024BC" w14:textId="17645643"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850" w:type="dxa"/>
            <w:shd w:val="clear" w:color="auto" w:fill="auto"/>
            <w:vAlign w:val="center"/>
          </w:tcPr>
          <w:p w14:paraId="743BBC24" w14:textId="064031A4"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22</w:t>
            </w:r>
          </w:p>
        </w:tc>
        <w:tc>
          <w:tcPr>
            <w:tcW w:w="709" w:type="dxa"/>
            <w:shd w:val="clear" w:color="auto" w:fill="auto"/>
            <w:vAlign w:val="center"/>
          </w:tcPr>
          <w:p w14:paraId="417A6BFE" w14:textId="25F75592"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32</w:t>
            </w:r>
          </w:p>
        </w:tc>
        <w:tc>
          <w:tcPr>
            <w:tcW w:w="709" w:type="dxa"/>
            <w:shd w:val="clear" w:color="auto" w:fill="auto"/>
            <w:vAlign w:val="center"/>
          </w:tcPr>
          <w:p w14:paraId="01DE090E" w14:textId="32FC8F30"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3E0E1FE0" w14:textId="010897AF"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2351D85B" w14:textId="3F304CBB"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61</w:t>
            </w:r>
            <w:r w:rsidR="008870CE">
              <w:rPr>
                <w:rFonts w:ascii="Verdana" w:hAnsi="Verdana"/>
                <w:color w:val="000000"/>
                <w:sz w:val="16"/>
                <w:szCs w:val="16"/>
              </w:rPr>
              <w:t>6</w:t>
            </w:r>
            <w:r w:rsidRPr="00893171">
              <w:rPr>
                <w:rFonts w:ascii="Verdana" w:hAnsi="Verdana"/>
                <w:color w:val="000000"/>
                <w:sz w:val="16"/>
                <w:szCs w:val="16"/>
              </w:rPr>
              <w:t>,</w:t>
            </w:r>
            <w:r w:rsidR="008870CE">
              <w:rPr>
                <w:rFonts w:ascii="Verdana" w:hAnsi="Verdana"/>
                <w:color w:val="000000"/>
                <w:sz w:val="16"/>
                <w:szCs w:val="16"/>
              </w:rPr>
              <w:t>3</w:t>
            </w:r>
          </w:p>
        </w:tc>
        <w:tc>
          <w:tcPr>
            <w:tcW w:w="992" w:type="dxa"/>
            <w:vAlign w:val="center"/>
          </w:tcPr>
          <w:p w14:paraId="3EDAEFB7" w14:textId="514619AE"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8</w:t>
            </w:r>
            <w:r w:rsidR="007319EA">
              <w:rPr>
                <w:rFonts w:ascii="Verdana" w:hAnsi="Verdana"/>
                <w:color w:val="000000"/>
                <w:sz w:val="16"/>
                <w:szCs w:val="16"/>
              </w:rPr>
              <w:t> </w:t>
            </w:r>
            <w:r>
              <w:rPr>
                <w:rFonts w:ascii="Verdana" w:hAnsi="Verdana"/>
                <w:color w:val="000000"/>
                <w:sz w:val="16"/>
                <w:szCs w:val="16"/>
              </w:rPr>
              <w:t>279</w:t>
            </w:r>
            <w:r w:rsidR="007319EA">
              <w:rPr>
                <w:rFonts w:ascii="Verdana" w:hAnsi="Verdana"/>
                <w:color w:val="000000"/>
                <w:sz w:val="16"/>
                <w:szCs w:val="16"/>
              </w:rPr>
              <w:t>,</w:t>
            </w:r>
            <w:r>
              <w:rPr>
                <w:rFonts w:ascii="Verdana" w:hAnsi="Verdana"/>
                <w:color w:val="000000"/>
                <w:sz w:val="16"/>
                <w:szCs w:val="16"/>
              </w:rPr>
              <w:t>5</w:t>
            </w:r>
          </w:p>
        </w:tc>
        <w:tc>
          <w:tcPr>
            <w:tcW w:w="992" w:type="dxa"/>
            <w:vAlign w:val="center"/>
          </w:tcPr>
          <w:p w14:paraId="3EE99A49" w14:textId="3804F505"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22D0BF0F" w14:textId="31CAF3F5"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8 </w:t>
            </w:r>
            <w:r w:rsidR="008870CE">
              <w:rPr>
                <w:rFonts w:ascii="Verdana" w:hAnsi="Verdana"/>
                <w:color w:val="000000"/>
                <w:sz w:val="16"/>
                <w:szCs w:val="16"/>
              </w:rPr>
              <w:t>895</w:t>
            </w:r>
            <w:r>
              <w:rPr>
                <w:rFonts w:ascii="Verdana" w:hAnsi="Verdana"/>
                <w:color w:val="000000"/>
                <w:sz w:val="16"/>
                <w:szCs w:val="16"/>
              </w:rPr>
              <w:t>,8</w:t>
            </w:r>
          </w:p>
        </w:tc>
      </w:tr>
      <w:tr w:rsidR="007319EA" w:rsidRPr="000435BE" w14:paraId="5FB42103" w14:textId="77777777" w:rsidTr="008870CE">
        <w:tc>
          <w:tcPr>
            <w:tcW w:w="709" w:type="dxa"/>
            <w:shd w:val="clear" w:color="auto" w:fill="auto"/>
          </w:tcPr>
          <w:p w14:paraId="11AE8AAB"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700A7226" w14:textId="77777777" w:rsidR="007319EA" w:rsidRPr="00893171" w:rsidRDefault="007319EA" w:rsidP="007319EA">
            <w:pPr>
              <w:spacing w:before="40" w:after="60" w:line="320" w:lineRule="atLeast"/>
              <w:rPr>
                <w:rFonts w:ascii="Verdana" w:hAnsi="Verdana"/>
                <w:color w:val="000000"/>
                <w:sz w:val="16"/>
                <w:szCs w:val="16"/>
              </w:rPr>
            </w:pPr>
            <w:r w:rsidRPr="00893171">
              <w:rPr>
                <w:rFonts w:ascii="Verdana" w:hAnsi="Verdana"/>
                <w:color w:val="000000"/>
                <w:sz w:val="16"/>
                <w:szCs w:val="16"/>
              </w:rPr>
              <w:t>Standard Bank</w:t>
            </w:r>
          </w:p>
        </w:tc>
        <w:tc>
          <w:tcPr>
            <w:tcW w:w="709" w:type="dxa"/>
            <w:shd w:val="clear" w:color="auto" w:fill="auto"/>
            <w:vAlign w:val="center"/>
          </w:tcPr>
          <w:p w14:paraId="5BCA0634" w14:textId="44384937"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850" w:type="dxa"/>
            <w:shd w:val="clear" w:color="auto" w:fill="auto"/>
            <w:vAlign w:val="center"/>
          </w:tcPr>
          <w:p w14:paraId="2ABEB7D2" w14:textId="67BD8009"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2</w:t>
            </w:r>
          </w:p>
        </w:tc>
        <w:tc>
          <w:tcPr>
            <w:tcW w:w="709" w:type="dxa"/>
            <w:shd w:val="clear" w:color="auto" w:fill="auto"/>
            <w:vAlign w:val="center"/>
          </w:tcPr>
          <w:p w14:paraId="39DB0919" w14:textId="35ECA4D1"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11</w:t>
            </w:r>
          </w:p>
        </w:tc>
        <w:tc>
          <w:tcPr>
            <w:tcW w:w="709" w:type="dxa"/>
            <w:shd w:val="clear" w:color="auto" w:fill="auto"/>
            <w:vAlign w:val="center"/>
          </w:tcPr>
          <w:p w14:paraId="705CD008" w14:textId="712D0571"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33A5A643" w14:textId="6736B8AF"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7ACD9CBA" w14:textId="55B09D56"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1 4</w:t>
            </w:r>
            <w:r w:rsidR="008870CE">
              <w:rPr>
                <w:rFonts w:ascii="Verdana" w:hAnsi="Verdana"/>
                <w:color w:val="000000"/>
                <w:sz w:val="16"/>
                <w:szCs w:val="16"/>
              </w:rPr>
              <w:t>69</w:t>
            </w:r>
            <w:r w:rsidRPr="00893171">
              <w:rPr>
                <w:rFonts w:ascii="Verdana" w:hAnsi="Verdana"/>
                <w:color w:val="000000"/>
                <w:sz w:val="16"/>
                <w:szCs w:val="16"/>
              </w:rPr>
              <w:t>,</w:t>
            </w:r>
            <w:r w:rsidR="008870CE">
              <w:rPr>
                <w:rFonts w:ascii="Verdana" w:hAnsi="Verdana"/>
                <w:color w:val="000000"/>
                <w:sz w:val="16"/>
                <w:szCs w:val="16"/>
              </w:rPr>
              <w:t>4</w:t>
            </w:r>
          </w:p>
        </w:tc>
        <w:tc>
          <w:tcPr>
            <w:tcW w:w="992" w:type="dxa"/>
            <w:vAlign w:val="center"/>
          </w:tcPr>
          <w:p w14:paraId="594D3859" w14:textId="0296FFA2"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1 159</w:t>
            </w:r>
            <w:r w:rsidR="007319EA">
              <w:rPr>
                <w:rFonts w:ascii="Verdana" w:hAnsi="Verdana"/>
                <w:color w:val="000000"/>
                <w:sz w:val="16"/>
                <w:szCs w:val="16"/>
              </w:rPr>
              <w:t>,</w:t>
            </w:r>
            <w:r>
              <w:rPr>
                <w:rFonts w:ascii="Verdana" w:hAnsi="Verdana"/>
                <w:color w:val="000000"/>
                <w:sz w:val="16"/>
                <w:szCs w:val="16"/>
              </w:rPr>
              <w:t>1</w:t>
            </w:r>
          </w:p>
        </w:tc>
        <w:tc>
          <w:tcPr>
            <w:tcW w:w="992" w:type="dxa"/>
            <w:vAlign w:val="center"/>
          </w:tcPr>
          <w:p w14:paraId="74E82CC8" w14:textId="5A08BEB2"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0A0AE9B3" w14:textId="18EA1FFE"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2</w:t>
            </w:r>
            <w:r w:rsidR="007319EA">
              <w:rPr>
                <w:rFonts w:ascii="Verdana" w:hAnsi="Verdana"/>
                <w:color w:val="000000"/>
                <w:sz w:val="16"/>
                <w:szCs w:val="16"/>
              </w:rPr>
              <w:t> </w:t>
            </w:r>
            <w:r>
              <w:rPr>
                <w:rFonts w:ascii="Verdana" w:hAnsi="Verdana"/>
                <w:color w:val="000000"/>
                <w:sz w:val="16"/>
                <w:szCs w:val="16"/>
              </w:rPr>
              <w:t>628</w:t>
            </w:r>
            <w:r w:rsidR="007319EA">
              <w:rPr>
                <w:rFonts w:ascii="Verdana" w:hAnsi="Verdana"/>
                <w:color w:val="000000"/>
                <w:sz w:val="16"/>
                <w:szCs w:val="16"/>
              </w:rPr>
              <w:t>,</w:t>
            </w:r>
            <w:r>
              <w:rPr>
                <w:rFonts w:ascii="Verdana" w:hAnsi="Verdana"/>
                <w:color w:val="000000"/>
                <w:sz w:val="16"/>
                <w:szCs w:val="16"/>
              </w:rPr>
              <w:t>5</w:t>
            </w:r>
          </w:p>
        </w:tc>
      </w:tr>
      <w:tr w:rsidR="007319EA" w:rsidRPr="000435BE" w14:paraId="52119AA7" w14:textId="77777777" w:rsidTr="008870CE">
        <w:tc>
          <w:tcPr>
            <w:tcW w:w="709" w:type="dxa"/>
            <w:shd w:val="clear" w:color="auto" w:fill="auto"/>
          </w:tcPr>
          <w:p w14:paraId="356AAFBE"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58E4D7A1" w14:textId="1DF904A8" w:rsidR="007319EA" w:rsidRPr="00893171" w:rsidRDefault="007319EA" w:rsidP="007319EA">
            <w:pPr>
              <w:spacing w:before="40" w:after="60" w:line="320" w:lineRule="atLeast"/>
              <w:rPr>
                <w:rFonts w:ascii="Verdana" w:hAnsi="Verdana"/>
                <w:color w:val="000000"/>
                <w:sz w:val="16"/>
                <w:szCs w:val="16"/>
              </w:rPr>
            </w:pPr>
            <w:r w:rsidRPr="00893171">
              <w:rPr>
                <w:rFonts w:ascii="Verdana" w:hAnsi="Verdana"/>
                <w:color w:val="000000"/>
                <w:sz w:val="16"/>
                <w:szCs w:val="16"/>
              </w:rPr>
              <w:t>Prescient Management</w:t>
            </w:r>
          </w:p>
        </w:tc>
        <w:tc>
          <w:tcPr>
            <w:tcW w:w="709" w:type="dxa"/>
            <w:shd w:val="clear" w:color="auto" w:fill="auto"/>
            <w:vAlign w:val="center"/>
          </w:tcPr>
          <w:p w14:paraId="5E311088" w14:textId="77787676"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2</w:t>
            </w:r>
          </w:p>
        </w:tc>
        <w:tc>
          <w:tcPr>
            <w:tcW w:w="850" w:type="dxa"/>
            <w:shd w:val="clear" w:color="auto" w:fill="auto"/>
            <w:vAlign w:val="center"/>
          </w:tcPr>
          <w:p w14:paraId="1B541178" w14:textId="77777777" w:rsidR="007319EA" w:rsidRPr="00893171" w:rsidRDefault="007319EA" w:rsidP="007319EA">
            <w:pPr>
              <w:spacing w:before="40" w:after="60" w:line="320" w:lineRule="atLeast"/>
              <w:jc w:val="center"/>
              <w:rPr>
                <w:rFonts w:ascii="Verdana" w:hAnsi="Verdana"/>
                <w:color w:val="000000"/>
                <w:sz w:val="16"/>
                <w:szCs w:val="16"/>
              </w:rPr>
            </w:pPr>
          </w:p>
        </w:tc>
        <w:tc>
          <w:tcPr>
            <w:tcW w:w="709" w:type="dxa"/>
            <w:shd w:val="clear" w:color="auto" w:fill="auto"/>
            <w:vAlign w:val="center"/>
          </w:tcPr>
          <w:p w14:paraId="17FAF5DF" w14:textId="21BB209D"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032ED6D4" w14:textId="7847E33A"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1</w:t>
            </w:r>
          </w:p>
        </w:tc>
        <w:tc>
          <w:tcPr>
            <w:tcW w:w="1134" w:type="dxa"/>
            <w:vAlign w:val="center"/>
          </w:tcPr>
          <w:p w14:paraId="36F43944" w14:textId="58147F81"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1</w:t>
            </w:r>
            <w:r w:rsidR="008870CE">
              <w:rPr>
                <w:rFonts w:ascii="Verdana" w:hAnsi="Verdana"/>
                <w:color w:val="000000"/>
                <w:sz w:val="16"/>
                <w:szCs w:val="16"/>
              </w:rPr>
              <w:t>13</w:t>
            </w:r>
            <w:r w:rsidRPr="00893171">
              <w:rPr>
                <w:rFonts w:ascii="Verdana" w:hAnsi="Verdana"/>
                <w:color w:val="000000"/>
                <w:sz w:val="16"/>
                <w:szCs w:val="16"/>
              </w:rPr>
              <w:t>,</w:t>
            </w:r>
            <w:r w:rsidR="008870CE">
              <w:rPr>
                <w:rFonts w:ascii="Verdana" w:hAnsi="Verdana"/>
                <w:color w:val="000000"/>
                <w:sz w:val="16"/>
                <w:szCs w:val="16"/>
              </w:rPr>
              <w:t>0</w:t>
            </w:r>
          </w:p>
        </w:tc>
        <w:tc>
          <w:tcPr>
            <w:tcW w:w="992" w:type="dxa"/>
            <w:vAlign w:val="center"/>
          </w:tcPr>
          <w:p w14:paraId="5245ACA9" w14:textId="686A80EC"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0D8288B6" w14:textId="58E0C403"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55FDC0C3" w14:textId="39766FA3" w:rsidR="007319EA" w:rsidRPr="00893171" w:rsidRDefault="008870CE" w:rsidP="007319EA">
            <w:pPr>
              <w:spacing w:before="40" w:after="60" w:line="320" w:lineRule="atLeast"/>
              <w:jc w:val="right"/>
              <w:rPr>
                <w:rFonts w:ascii="Verdana" w:hAnsi="Verdana"/>
                <w:color w:val="000000"/>
                <w:sz w:val="16"/>
                <w:szCs w:val="16"/>
              </w:rPr>
            </w:pPr>
            <w:r>
              <w:rPr>
                <w:rFonts w:ascii="Verdana" w:hAnsi="Verdana"/>
                <w:color w:val="000000"/>
                <w:sz w:val="16"/>
                <w:szCs w:val="16"/>
              </w:rPr>
              <w:t>0,01</w:t>
            </w:r>
          </w:p>
        </w:tc>
        <w:tc>
          <w:tcPr>
            <w:tcW w:w="1276" w:type="dxa"/>
            <w:vAlign w:val="center"/>
          </w:tcPr>
          <w:p w14:paraId="02D8CBDD" w14:textId="4D0A4736"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1</w:t>
            </w:r>
            <w:r w:rsidR="008870CE">
              <w:rPr>
                <w:rFonts w:ascii="Verdana" w:hAnsi="Verdana"/>
                <w:color w:val="000000"/>
                <w:sz w:val="16"/>
                <w:szCs w:val="16"/>
              </w:rPr>
              <w:t>13</w:t>
            </w:r>
            <w:r>
              <w:rPr>
                <w:rFonts w:ascii="Verdana" w:hAnsi="Verdana"/>
                <w:color w:val="000000"/>
                <w:sz w:val="16"/>
                <w:szCs w:val="16"/>
              </w:rPr>
              <w:t>,</w:t>
            </w:r>
            <w:r w:rsidR="008870CE">
              <w:rPr>
                <w:rFonts w:ascii="Verdana" w:hAnsi="Verdana"/>
                <w:color w:val="000000"/>
                <w:sz w:val="16"/>
                <w:szCs w:val="16"/>
              </w:rPr>
              <w:t>0</w:t>
            </w:r>
          </w:p>
        </w:tc>
      </w:tr>
      <w:tr w:rsidR="007319EA" w:rsidRPr="000435BE" w14:paraId="0F1A63F0" w14:textId="77777777" w:rsidTr="008870CE">
        <w:tc>
          <w:tcPr>
            <w:tcW w:w="709" w:type="dxa"/>
            <w:shd w:val="clear" w:color="auto" w:fill="auto"/>
          </w:tcPr>
          <w:p w14:paraId="1C6357A5" w14:textId="77777777" w:rsidR="007319EA" w:rsidRPr="00893171" w:rsidRDefault="007319EA" w:rsidP="007319EA">
            <w:pPr>
              <w:pStyle w:val="ListParagraph"/>
              <w:numPr>
                <w:ilvl w:val="0"/>
                <w:numId w:val="20"/>
              </w:numPr>
              <w:spacing w:before="40" w:after="60" w:line="320" w:lineRule="atLeast"/>
              <w:ind w:left="357" w:hanging="357"/>
              <w:rPr>
                <w:rFonts w:ascii="Verdana" w:hAnsi="Verdana"/>
                <w:color w:val="000000"/>
                <w:sz w:val="16"/>
                <w:szCs w:val="16"/>
              </w:rPr>
            </w:pPr>
          </w:p>
        </w:tc>
        <w:tc>
          <w:tcPr>
            <w:tcW w:w="1418" w:type="dxa"/>
            <w:gridSpan w:val="2"/>
            <w:shd w:val="clear" w:color="auto" w:fill="auto"/>
          </w:tcPr>
          <w:p w14:paraId="2A260978" w14:textId="15E1EB71" w:rsidR="007319EA" w:rsidRPr="00893171" w:rsidRDefault="007319EA" w:rsidP="007319EA">
            <w:pPr>
              <w:spacing w:before="40" w:after="60" w:line="320" w:lineRule="atLeast"/>
              <w:rPr>
                <w:rFonts w:ascii="Verdana" w:hAnsi="Verdana"/>
                <w:color w:val="000000"/>
                <w:sz w:val="16"/>
                <w:szCs w:val="16"/>
              </w:rPr>
            </w:pPr>
            <w:r w:rsidRPr="00893171">
              <w:rPr>
                <w:rFonts w:ascii="Verdana" w:hAnsi="Verdana"/>
                <w:color w:val="000000"/>
                <w:sz w:val="16"/>
                <w:szCs w:val="16"/>
              </w:rPr>
              <w:t>Cloud Atlas/</w:t>
            </w:r>
            <w:r>
              <w:rPr>
                <w:rFonts w:ascii="Verdana" w:hAnsi="Verdana"/>
                <w:color w:val="000000"/>
                <w:sz w:val="16"/>
                <w:szCs w:val="16"/>
              </w:rPr>
              <w:t xml:space="preserve"> </w:t>
            </w:r>
            <w:r w:rsidRPr="00893171">
              <w:rPr>
                <w:rFonts w:ascii="Verdana" w:hAnsi="Verdana"/>
                <w:color w:val="000000"/>
                <w:sz w:val="16"/>
                <w:szCs w:val="16"/>
              </w:rPr>
              <w:t>Easy Equities</w:t>
            </w:r>
          </w:p>
        </w:tc>
        <w:tc>
          <w:tcPr>
            <w:tcW w:w="709" w:type="dxa"/>
            <w:shd w:val="clear" w:color="auto" w:fill="auto"/>
            <w:vAlign w:val="center"/>
          </w:tcPr>
          <w:p w14:paraId="104600BC" w14:textId="1B1F97C9"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850" w:type="dxa"/>
            <w:shd w:val="clear" w:color="auto" w:fill="auto"/>
            <w:vAlign w:val="center"/>
          </w:tcPr>
          <w:p w14:paraId="22AE40D2" w14:textId="6BE5BB6C" w:rsidR="007319EA" w:rsidRPr="00893171" w:rsidRDefault="007319EA" w:rsidP="007319EA">
            <w:pPr>
              <w:spacing w:before="40" w:after="6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32044595" w14:textId="22DEF3FD"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6896F25A" w14:textId="5E42F94A" w:rsidR="007319EA" w:rsidRPr="00893171" w:rsidRDefault="007319EA" w:rsidP="007319EA">
            <w:pPr>
              <w:spacing w:before="40" w:after="6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01DC6088" w14:textId="67455E41"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w:t>
            </w:r>
          </w:p>
        </w:tc>
        <w:tc>
          <w:tcPr>
            <w:tcW w:w="992" w:type="dxa"/>
            <w:vAlign w:val="center"/>
          </w:tcPr>
          <w:p w14:paraId="4EA2C843" w14:textId="647EEE8F"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w:t>
            </w:r>
          </w:p>
        </w:tc>
        <w:tc>
          <w:tcPr>
            <w:tcW w:w="992" w:type="dxa"/>
            <w:vAlign w:val="center"/>
          </w:tcPr>
          <w:p w14:paraId="50E98A7D" w14:textId="4A62778E"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7E700237" w14:textId="3E915D1A" w:rsidR="007319EA" w:rsidRPr="00893171" w:rsidRDefault="007319EA" w:rsidP="007319EA">
            <w:pPr>
              <w:spacing w:before="40" w:after="6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2A11FCC2" w14:textId="0A73ABB1" w:rsidR="007319EA" w:rsidRPr="00893171" w:rsidRDefault="007319EA" w:rsidP="007319EA">
            <w:pPr>
              <w:spacing w:before="40" w:after="60" w:line="320" w:lineRule="atLeast"/>
              <w:jc w:val="right"/>
              <w:rPr>
                <w:rFonts w:ascii="Verdana" w:hAnsi="Verdana"/>
                <w:color w:val="000000"/>
                <w:sz w:val="16"/>
                <w:szCs w:val="16"/>
              </w:rPr>
            </w:pPr>
            <w:r w:rsidRPr="00893171">
              <w:rPr>
                <w:rFonts w:ascii="Verdana" w:hAnsi="Verdana"/>
                <w:color w:val="000000"/>
                <w:sz w:val="16"/>
                <w:szCs w:val="16"/>
              </w:rPr>
              <w:t>suspended</w:t>
            </w:r>
          </w:p>
        </w:tc>
      </w:tr>
      <w:tr w:rsidR="007319EA" w:rsidRPr="000435BE" w14:paraId="1AE5CE6C" w14:textId="77777777" w:rsidTr="008870CE">
        <w:tc>
          <w:tcPr>
            <w:tcW w:w="2127" w:type="dxa"/>
            <w:gridSpan w:val="3"/>
            <w:shd w:val="clear" w:color="auto" w:fill="auto"/>
          </w:tcPr>
          <w:p w14:paraId="0278B047" w14:textId="77777777" w:rsidR="007319EA" w:rsidRPr="00893171" w:rsidRDefault="007319EA" w:rsidP="007319EA">
            <w:pPr>
              <w:spacing w:before="40" w:after="60" w:line="320" w:lineRule="atLeast"/>
              <w:rPr>
                <w:rFonts w:ascii="Verdana" w:hAnsi="Verdana"/>
                <w:b/>
                <w:color w:val="000000"/>
                <w:sz w:val="16"/>
                <w:szCs w:val="16"/>
              </w:rPr>
            </w:pPr>
            <w:r w:rsidRPr="00893171">
              <w:rPr>
                <w:rFonts w:ascii="Verdana" w:hAnsi="Verdana"/>
                <w:b/>
                <w:color w:val="000000"/>
                <w:sz w:val="16"/>
                <w:szCs w:val="16"/>
              </w:rPr>
              <w:t>Totals</w:t>
            </w:r>
          </w:p>
        </w:tc>
        <w:tc>
          <w:tcPr>
            <w:tcW w:w="709" w:type="dxa"/>
            <w:shd w:val="clear" w:color="auto" w:fill="auto"/>
            <w:vAlign w:val="center"/>
          </w:tcPr>
          <w:p w14:paraId="6B0F4F35" w14:textId="63E8ED80" w:rsidR="007319EA" w:rsidRPr="00893171" w:rsidRDefault="007319EA" w:rsidP="007319EA">
            <w:pPr>
              <w:spacing w:before="40" w:after="60" w:line="320" w:lineRule="atLeast"/>
              <w:jc w:val="center"/>
              <w:rPr>
                <w:rFonts w:ascii="Verdana" w:hAnsi="Verdana"/>
                <w:b/>
                <w:color w:val="000000"/>
                <w:sz w:val="16"/>
                <w:szCs w:val="16"/>
              </w:rPr>
            </w:pPr>
            <w:r w:rsidRPr="00893171">
              <w:rPr>
                <w:rFonts w:ascii="Verdana" w:hAnsi="Verdana"/>
                <w:b/>
                <w:color w:val="000000"/>
                <w:sz w:val="16"/>
                <w:szCs w:val="16"/>
              </w:rPr>
              <w:t>9</w:t>
            </w:r>
            <w:r>
              <w:rPr>
                <w:rFonts w:ascii="Verdana" w:hAnsi="Verdana"/>
                <w:b/>
                <w:color w:val="000000"/>
                <w:sz w:val="16"/>
                <w:szCs w:val="16"/>
              </w:rPr>
              <w:t>4</w:t>
            </w:r>
          </w:p>
        </w:tc>
        <w:tc>
          <w:tcPr>
            <w:tcW w:w="850" w:type="dxa"/>
            <w:shd w:val="clear" w:color="auto" w:fill="auto"/>
            <w:vAlign w:val="center"/>
          </w:tcPr>
          <w:p w14:paraId="1EDDA768" w14:textId="0593F5DF" w:rsidR="007319EA" w:rsidRPr="00893171" w:rsidRDefault="007319EA" w:rsidP="007319EA">
            <w:pPr>
              <w:spacing w:before="40" w:after="60" w:line="320" w:lineRule="atLeast"/>
              <w:jc w:val="center"/>
              <w:rPr>
                <w:rFonts w:ascii="Verdana" w:hAnsi="Verdana"/>
                <w:b/>
                <w:color w:val="000000"/>
                <w:sz w:val="16"/>
                <w:szCs w:val="16"/>
              </w:rPr>
            </w:pPr>
            <w:r w:rsidRPr="00893171">
              <w:rPr>
                <w:rFonts w:ascii="Verdana" w:hAnsi="Verdana"/>
                <w:b/>
                <w:color w:val="000000"/>
                <w:sz w:val="16"/>
                <w:szCs w:val="16"/>
              </w:rPr>
              <w:t>71</w:t>
            </w:r>
          </w:p>
        </w:tc>
        <w:tc>
          <w:tcPr>
            <w:tcW w:w="709" w:type="dxa"/>
            <w:shd w:val="clear" w:color="auto" w:fill="auto"/>
            <w:vAlign w:val="center"/>
          </w:tcPr>
          <w:p w14:paraId="0E44A6A2" w14:textId="7455DCDC" w:rsidR="007319EA" w:rsidRPr="00893171" w:rsidRDefault="007319EA" w:rsidP="007319EA">
            <w:pPr>
              <w:spacing w:before="40" w:after="60" w:line="320" w:lineRule="atLeast"/>
              <w:jc w:val="center"/>
              <w:rPr>
                <w:rFonts w:ascii="Verdana" w:hAnsi="Verdana"/>
                <w:b/>
                <w:color w:val="000000"/>
                <w:sz w:val="16"/>
                <w:szCs w:val="16"/>
              </w:rPr>
            </w:pPr>
            <w:r>
              <w:rPr>
                <w:rFonts w:ascii="Verdana" w:hAnsi="Verdana"/>
                <w:b/>
                <w:color w:val="000000"/>
                <w:sz w:val="16"/>
                <w:szCs w:val="16"/>
              </w:rPr>
              <w:t>43</w:t>
            </w:r>
          </w:p>
        </w:tc>
        <w:tc>
          <w:tcPr>
            <w:tcW w:w="709" w:type="dxa"/>
            <w:shd w:val="clear" w:color="auto" w:fill="auto"/>
            <w:vAlign w:val="center"/>
          </w:tcPr>
          <w:p w14:paraId="455EA608" w14:textId="2ACF63CB" w:rsidR="007319EA" w:rsidRPr="00893171" w:rsidRDefault="007319EA" w:rsidP="007319EA">
            <w:pPr>
              <w:spacing w:before="40" w:after="60" w:line="320" w:lineRule="atLeast"/>
              <w:jc w:val="center"/>
              <w:rPr>
                <w:rFonts w:ascii="Verdana" w:hAnsi="Verdana"/>
                <w:b/>
                <w:color w:val="000000"/>
                <w:sz w:val="16"/>
                <w:szCs w:val="16"/>
              </w:rPr>
            </w:pPr>
            <w:r>
              <w:rPr>
                <w:rFonts w:ascii="Verdana" w:hAnsi="Verdana"/>
                <w:b/>
                <w:color w:val="000000"/>
                <w:sz w:val="16"/>
                <w:szCs w:val="16"/>
              </w:rPr>
              <w:t>4</w:t>
            </w:r>
          </w:p>
        </w:tc>
        <w:tc>
          <w:tcPr>
            <w:tcW w:w="1134" w:type="dxa"/>
            <w:vAlign w:val="center"/>
          </w:tcPr>
          <w:p w14:paraId="5B146289" w14:textId="0F110352" w:rsidR="007319EA" w:rsidRPr="00893171" w:rsidRDefault="007319EA" w:rsidP="007319EA">
            <w:pPr>
              <w:spacing w:before="40" w:after="60" w:line="320" w:lineRule="atLeast"/>
              <w:jc w:val="right"/>
              <w:rPr>
                <w:rFonts w:ascii="Verdana" w:hAnsi="Verdana"/>
                <w:b/>
                <w:color w:val="000000"/>
                <w:sz w:val="16"/>
                <w:szCs w:val="16"/>
              </w:rPr>
            </w:pPr>
            <w:r w:rsidRPr="00893171">
              <w:rPr>
                <w:rFonts w:ascii="Verdana" w:hAnsi="Verdana"/>
                <w:b/>
                <w:color w:val="000000"/>
                <w:sz w:val="16"/>
                <w:szCs w:val="16"/>
              </w:rPr>
              <w:t>1</w:t>
            </w:r>
            <w:r w:rsidR="008870CE">
              <w:rPr>
                <w:rFonts w:ascii="Verdana" w:hAnsi="Verdana"/>
                <w:b/>
                <w:color w:val="000000"/>
                <w:sz w:val="16"/>
                <w:szCs w:val="16"/>
              </w:rPr>
              <w:t>36</w:t>
            </w:r>
            <w:r w:rsidRPr="00893171">
              <w:rPr>
                <w:rFonts w:ascii="Verdana" w:hAnsi="Verdana"/>
                <w:b/>
                <w:color w:val="000000"/>
                <w:sz w:val="16"/>
                <w:szCs w:val="16"/>
              </w:rPr>
              <w:t> </w:t>
            </w:r>
            <w:r w:rsidR="008870CE">
              <w:rPr>
                <w:rFonts w:ascii="Verdana" w:hAnsi="Verdana"/>
                <w:b/>
                <w:color w:val="000000"/>
                <w:sz w:val="16"/>
                <w:szCs w:val="16"/>
              </w:rPr>
              <w:t>378</w:t>
            </w:r>
            <w:r w:rsidRPr="00893171">
              <w:rPr>
                <w:rFonts w:ascii="Verdana" w:hAnsi="Verdana"/>
                <w:b/>
                <w:color w:val="000000"/>
                <w:sz w:val="16"/>
                <w:szCs w:val="16"/>
              </w:rPr>
              <w:t>,</w:t>
            </w:r>
            <w:r w:rsidR="008870CE">
              <w:rPr>
                <w:rFonts w:ascii="Verdana" w:hAnsi="Verdana"/>
                <w:b/>
                <w:color w:val="000000"/>
                <w:sz w:val="16"/>
                <w:szCs w:val="16"/>
              </w:rPr>
              <w:t>0</w:t>
            </w:r>
          </w:p>
        </w:tc>
        <w:tc>
          <w:tcPr>
            <w:tcW w:w="992" w:type="dxa"/>
            <w:vAlign w:val="center"/>
          </w:tcPr>
          <w:p w14:paraId="5A71C76E" w14:textId="0B3105F3" w:rsidR="007319EA" w:rsidRPr="00893171" w:rsidRDefault="008870CE" w:rsidP="007319EA">
            <w:pPr>
              <w:spacing w:before="40" w:after="60" w:line="320" w:lineRule="atLeast"/>
              <w:jc w:val="right"/>
              <w:rPr>
                <w:rFonts w:ascii="Verdana" w:hAnsi="Verdana"/>
                <w:b/>
                <w:color w:val="000000"/>
                <w:sz w:val="16"/>
                <w:szCs w:val="16"/>
              </w:rPr>
            </w:pPr>
            <w:r>
              <w:rPr>
                <w:rFonts w:ascii="Verdana" w:hAnsi="Verdana"/>
                <w:b/>
                <w:color w:val="000000"/>
                <w:sz w:val="16"/>
                <w:szCs w:val="16"/>
              </w:rPr>
              <w:t>7</w:t>
            </w:r>
            <w:r w:rsidR="007319EA" w:rsidRPr="00893171">
              <w:rPr>
                <w:rFonts w:ascii="Verdana" w:hAnsi="Verdana"/>
                <w:b/>
                <w:color w:val="000000"/>
                <w:sz w:val="16"/>
                <w:szCs w:val="16"/>
              </w:rPr>
              <w:t> </w:t>
            </w:r>
            <w:r>
              <w:rPr>
                <w:rFonts w:ascii="Verdana" w:hAnsi="Verdana"/>
                <w:b/>
                <w:color w:val="000000"/>
                <w:sz w:val="16"/>
                <w:szCs w:val="16"/>
              </w:rPr>
              <w:t>345</w:t>
            </w:r>
            <w:r w:rsidR="007319EA" w:rsidRPr="00893171">
              <w:rPr>
                <w:rFonts w:ascii="Verdana" w:hAnsi="Verdana"/>
                <w:b/>
                <w:color w:val="000000"/>
                <w:sz w:val="16"/>
                <w:szCs w:val="16"/>
              </w:rPr>
              <w:t>,</w:t>
            </w:r>
            <w:r>
              <w:rPr>
                <w:rFonts w:ascii="Verdana" w:hAnsi="Verdana"/>
                <w:b/>
                <w:color w:val="000000"/>
                <w:sz w:val="16"/>
                <w:szCs w:val="16"/>
              </w:rPr>
              <w:t>6</w:t>
            </w:r>
          </w:p>
        </w:tc>
        <w:tc>
          <w:tcPr>
            <w:tcW w:w="992" w:type="dxa"/>
            <w:vAlign w:val="center"/>
          </w:tcPr>
          <w:p w14:paraId="6E63DEC5" w14:textId="3DBA512C" w:rsidR="007319EA" w:rsidRPr="00893171" w:rsidRDefault="008870CE" w:rsidP="007319EA">
            <w:pPr>
              <w:spacing w:before="40" w:after="60" w:line="320" w:lineRule="atLeast"/>
              <w:jc w:val="right"/>
              <w:rPr>
                <w:rFonts w:ascii="Verdana" w:hAnsi="Verdana"/>
                <w:b/>
                <w:color w:val="000000"/>
                <w:sz w:val="16"/>
                <w:szCs w:val="16"/>
              </w:rPr>
            </w:pPr>
            <w:r>
              <w:rPr>
                <w:rFonts w:ascii="Verdana" w:hAnsi="Verdana"/>
                <w:b/>
                <w:color w:val="000000"/>
                <w:sz w:val="16"/>
                <w:szCs w:val="16"/>
              </w:rPr>
              <w:t>9</w:t>
            </w:r>
            <w:r w:rsidR="007319EA">
              <w:rPr>
                <w:rFonts w:ascii="Verdana" w:hAnsi="Verdana"/>
                <w:b/>
                <w:color w:val="000000"/>
                <w:sz w:val="16"/>
                <w:szCs w:val="16"/>
              </w:rPr>
              <w:t> </w:t>
            </w:r>
            <w:r>
              <w:rPr>
                <w:rFonts w:ascii="Verdana" w:hAnsi="Verdana"/>
                <w:b/>
                <w:color w:val="000000"/>
                <w:sz w:val="16"/>
                <w:szCs w:val="16"/>
              </w:rPr>
              <w:t>439</w:t>
            </w:r>
            <w:r w:rsidR="007319EA">
              <w:rPr>
                <w:rFonts w:ascii="Verdana" w:hAnsi="Verdana"/>
                <w:b/>
                <w:color w:val="000000"/>
                <w:sz w:val="16"/>
                <w:szCs w:val="16"/>
              </w:rPr>
              <w:t>,</w:t>
            </w:r>
            <w:r>
              <w:rPr>
                <w:rFonts w:ascii="Verdana" w:hAnsi="Verdana"/>
                <w:b/>
                <w:color w:val="000000"/>
                <w:sz w:val="16"/>
                <w:szCs w:val="16"/>
              </w:rPr>
              <w:t>6</w:t>
            </w:r>
          </w:p>
        </w:tc>
        <w:tc>
          <w:tcPr>
            <w:tcW w:w="992" w:type="dxa"/>
            <w:vAlign w:val="center"/>
          </w:tcPr>
          <w:p w14:paraId="3815159C" w14:textId="3012F6C0" w:rsidR="007319EA" w:rsidRPr="00893171" w:rsidRDefault="008870CE" w:rsidP="007319EA">
            <w:pPr>
              <w:spacing w:before="40" w:after="60" w:line="320" w:lineRule="atLeast"/>
              <w:jc w:val="right"/>
              <w:rPr>
                <w:rFonts w:ascii="Verdana" w:hAnsi="Verdana"/>
                <w:b/>
                <w:color w:val="000000"/>
                <w:sz w:val="16"/>
                <w:szCs w:val="16"/>
              </w:rPr>
            </w:pPr>
            <w:r>
              <w:rPr>
                <w:rFonts w:ascii="Verdana" w:hAnsi="Verdana"/>
                <w:b/>
                <w:color w:val="000000"/>
                <w:sz w:val="16"/>
                <w:szCs w:val="16"/>
              </w:rPr>
              <w:t>1 414</w:t>
            </w:r>
            <w:r w:rsidR="007319EA">
              <w:rPr>
                <w:rFonts w:ascii="Verdana" w:hAnsi="Verdana"/>
                <w:b/>
                <w:color w:val="000000"/>
                <w:sz w:val="16"/>
                <w:szCs w:val="16"/>
              </w:rPr>
              <w:t>,</w:t>
            </w:r>
            <w:r>
              <w:rPr>
                <w:rFonts w:ascii="Verdana" w:hAnsi="Verdana"/>
                <w:b/>
                <w:color w:val="000000"/>
                <w:sz w:val="16"/>
                <w:szCs w:val="16"/>
              </w:rPr>
              <w:t>4</w:t>
            </w:r>
          </w:p>
        </w:tc>
        <w:tc>
          <w:tcPr>
            <w:tcW w:w="1276" w:type="dxa"/>
            <w:vAlign w:val="center"/>
          </w:tcPr>
          <w:p w14:paraId="1BEAD478" w14:textId="0CCE4A38" w:rsidR="007319EA" w:rsidRPr="00893171" w:rsidRDefault="007319EA" w:rsidP="007319EA">
            <w:pPr>
              <w:spacing w:before="40" w:after="60" w:line="320" w:lineRule="atLeast"/>
              <w:jc w:val="right"/>
              <w:rPr>
                <w:rFonts w:ascii="Verdana" w:hAnsi="Verdana"/>
                <w:b/>
                <w:color w:val="000000"/>
                <w:sz w:val="16"/>
                <w:szCs w:val="16"/>
              </w:rPr>
            </w:pPr>
            <w:r w:rsidRPr="00893171">
              <w:rPr>
                <w:rFonts w:ascii="Verdana" w:hAnsi="Verdana"/>
                <w:b/>
                <w:color w:val="000000"/>
                <w:sz w:val="16"/>
                <w:szCs w:val="16"/>
              </w:rPr>
              <w:t>15</w:t>
            </w:r>
            <w:r w:rsidR="008870CE">
              <w:rPr>
                <w:rFonts w:ascii="Verdana" w:hAnsi="Verdana"/>
                <w:b/>
                <w:color w:val="000000"/>
                <w:sz w:val="16"/>
                <w:szCs w:val="16"/>
              </w:rPr>
              <w:t>4</w:t>
            </w:r>
            <w:r w:rsidRPr="00893171">
              <w:rPr>
                <w:rFonts w:ascii="Verdana" w:hAnsi="Verdana"/>
                <w:b/>
                <w:color w:val="000000"/>
                <w:sz w:val="16"/>
                <w:szCs w:val="16"/>
              </w:rPr>
              <w:t xml:space="preserve"> </w:t>
            </w:r>
            <w:r w:rsidR="008870CE">
              <w:rPr>
                <w:rFonts w:ascii="Verdana" w:hAnsi="Verdana"/>
                <w:b/>
                <w:color w:val="000000"/>
                <w:sz w:val="16"/>
                <w:szCs w:val="16"/>
              </w:rPr>
              <w:t>576</w:t>
            </w:r>
            <w:r w:rsidRPr="00893171">
              <w:rPr>
                <w:rFonts w:ascii="Verdana" w:hAnsi="Verdana"/>
                <w:b/>
                <w:color w:val="000000"/>
                <w:sz w:val="16"/>
                <w:szCs w:val="16"/>
              </w:rPr>
              <w:t>,</w:t>
            </w:r>
            <w:r w:rsidR="008870CE">
              <w:rPr>
                <w:rFonts w:ascii="Verdana" w:hAnsi="Verdana"/>
                <w:b/>
                <w:color w:val="000000"/>
                <w:sz w:val="16"/>
                <w:szCs w:val="16"/>
              </w:rPr>
              <w:t>6</w:t>
            </w:r>
          </w:p>
        </w:tc>
      </w:tr>
      <w:tr w:rsidR="007319EA" w:rsidRPr="006B3D57" w14:paraId="7434251C" w14:textId="77777777" w:rsidTr="00893171">
        <w:trPr>
          <w:trHeight w:val="217"/>
        </w:trPr>
        <w:tc>
          <w:tcPr>
            <w:tcW w:w="1276" w:type="dxa"/>
            <w:gridSpan w:val="2"/>
            <w:tcBorders>
              <w:right w:val="nil"/>
            </w:tcBorders>
            <w:shd w:val="clear" w:color="auto" w:fill="auto"/>
            <w:vAlign w:val="center"/>
          </w:tcPr>
          <w:p w14:paraId="7D2CBC01" w14:textId="77777777" w:rsidR="007319EA" w:rsidRPr="000435BE" w:rsidRDefault="007319EA" w:rsidP="007319EA">
            <w:pPr>
              <w:spacing w:after="40" w:line="260" w:lineRule="atLeast"/>
              <w:rPr>
                <w:rFonts w:ascii="Verdana" w:hAnsi="Verdana"/>
                <w:i/>
                <w:color w:val="000000"/>
                <w:sz w:val="14"/>
                <w:szCs w:val="14"/>
              </w:rPr>
            </w:pPr>
            <w:r w:rsidRPr="000435BE">
              <w:rPr>
                <w:rFonts w:ascii="Verdana" w:hAnsi="Verdana"/>
                <w:i/>
                <w:color w:val="000000"/>
                <w:sz w:val="14"/>
                <w:szCs w:val="14"/>
              </w:rPr>
              <w:t>Source:</w:t>
            </w:r>
          </w:p>
        </w:tc>
        <w:tc>
          <w:tcPr>
            <w:tcW w:w="9214" w:type="dxa"/>
            <w:gridSpan w:val="10"/>
            <w:tcBorders>
              <w:left w:val="nil"/>
            </w:tcBorders>
            <w:shd w:val="clear" w:color="auto" w:fill="auto"/>
            <w:vAlign w:val="center"/>
          </w:tcPr>
          <w:p w14:paraId="38356A19" w14:textId="2556258F" w:rsidR="007319EA" w:rsidRPr="00573EA2" w:rsidRDefault="007319EA" w:rsidP="007319EA">
            <w:pPr>
              <w:spacing w:after="40" w:line="260" w:lineRule="atLeast"/>
              <w:rPr>
                <w:rFonts w:ascii="Verdana" w:hAnsi="Verdana"/>
                <w:i/>
                <w:color w:val="000000"/>
                <w:sz w:val="14"/>
                <w:szCs w:val="14"/>
                <w:lang w:val="it-IT"/>
              </w:rPr>
            </w:pPr>
            <w:r w:rsidRPr="00573EA2">
              <w:rPr>
                <w:rFonts w:ascii="Verdana" w:hAnsi="Verdana"/>
                <w:i/>
                <w:color w:val="000000"/>
                <w:sz w:val="14"/>
                <w:szCs w:val="14"/>
                <w:lang w:val="it-IT"/>
              </w:rPr>
              <w:t xml:space="preserve">etfSA.co.za </w:t>
            </w:r>
            <w:r>
              <w:rPr>
                <w:rFonts w:ascii="Verdana" w:hAnsi="Verdana"/>
                <w:i/>
                <w:color w:val="000000"/>
                <w:sz w:val="14"/>
                <w:szCs w:val="14"/>
                <w:lang w:val="it-IT"/>
              </w:rPr>
              <w:t xml:space="preserve">– Market Capitalisation – SA Industry Report </w:t>
            </w:r>
            <w:r w:rsidRPr="00573EA2">
              <w:rPr>
                <w:rFonts w:ascii="Verdana" w:hAnsi="Verdana"/>
                <w:i/>
                <w:color w:val="000000"/>
                <w:sz w:val="14"/>
                <w:szCs w:val="14"/>
                <w:lang w:val="it-IT"/>
              </w:rPr>
              <w:t>(</w:t>
            </w:r>
            <w:r>
              <w:rPr>
                <w:rFonts w:ascii="Verdana" w:hAnsi="Verdana"/>
                <w:i/>
                <w:color w:val="000000"/>
                <w:sz w:val="14"/>
                <w:szCs w:val="14"/>
                <w:lang w:val="it-IT"/>
              </w:rPr>
              <w:t>29</w:t>
            </w:r>
            <w:r w:rsidRPr="00573EA2">
              <w:rPr>
                <w:rFonts w:ascii="Verdana" w:hAnsi="Verdana"/>
                <w:i/>
                <w:color w:val="000000"/>
                <w:sz w:val="14"/>
                <w:szCs w:val="14"/>
                <w:lang w:val="it-IT"/>
              </w:rPr>
              <w:t>/</w:t>
            </w:r>
            <w:r>
              <w:rPr>
                <w:rFonts w:ascii="Verdana" w:hAnsi="Verdana"/>
                <w:i/>
                <w:color w:val="000000"/>
                <w:sz w:val="14"/>
                <w:szCs w:val="14"/>
                <w:lang w:val="it-IT"/>
              </w:rPr>
              <w:t>09</w:t>
            </w:r>
            <w:r w:rsidRPr="00573EA2">
              <w:rPr>
                <w:rFonts w:ascii="Verdana" w:hAnsi="Verdana"/>
                <w:i/>
                <w:color w:val="000000"/>
                <w:sz w:val="14"/>
                <w:szCs w:val="14"/>
                <w:lang w:val="it-IT"/>
              </w:rPr>
              <w:t>/202</w:t>
            </w:r>
            <w:r>
              <w:rPr>
                <w:rFonts w:ascii="Verdana" w:hAnsi="Verdana"/>
                <w:i/>
                <w:color w:val="000000"/>
                <w:sz w:val="14"/>
                <w:szCs w:val="14"/>
                <w:lang w:val="it-IT"/>
              </w:rPr>
              <w:t>3</w:t>
            </w:r>
            <w:r w:rsidRPr="00573EA2">
              <w:rPr>
                <w:rFonts w:ascii="Verdana" w:hAnsi="Verdana"/>
                <w:i/>
                <w:color w:val="000000"/>
                <w:sz w:val="14"/>
                <w:szCs w:val="14"/>
                <w:lang w:val="it-IT"/>
              </w:rPr>
              <w:t xml:space="preserve">). </w:t>
            </w:r>
          </w:p>
        </w:tc>
      </w:tr>
    </w:tbl>
    <w:p w14:paraId="6C7C9786" w14:textId="6F9FCEDD" w:rsidR="00F146AF" w:rsidRDefault="00D13577" w:rsidP="00692911">
      <w:pPr>
        <w:spacing w:before="100" w:after="0" w:line="320" w:lineRule="atLeast"/>
        <w:jc w:val="both"/>
        <w:rPr>
          <w:rFonts w:ascii="Verdana" w:hAnsi="Verdana"/>
          <w:color w:val="000000"/>
          <w:sz w:val="21"/>
          <w:szCs w:val="21"/>
        </w:rPr>
      </w:pPr>
      <w:r w:rsidRPr="00D13577">
        <w:rPr>
          <w:rFonts w:ascii="Verdana" w:hAnsi="Verdana"/>
          <w:color w:val="000000"/>
          <w:sz w:val="21"/>
          <w:szCs w:val="21"/>
        </w:rPr>
        <w:t>A</w:t>
      </w:r>
      <w:r w:rsidR="00717144">
        <w:rPr>
          <w:rFonts w:ascii="Verdana" w:hAnsi="Verdana"/>
          <w:color w:val="000000"/>
          <w:sz w:val="21"/>
          <w:szCs w:val="21"/>
        </w:rPr>
        <w:t xml:space="preserve">s at </w:t>
      </w:r>
      <w:r w:rsidR="008870CE">
        <w:rPr>
          <w:rFonts w:ascii="Verdana" w:hAnsi="Verdana"/>
          <w:color w:val="000000"/>
          <w:sz w:val="21"/>
          <w:szCs w:val="21"/>
        </w:rPr>
        <w:t xml:space="preserve">29 September, the </w:t>
      </w:r>
      <w:r w:rsidR="00717144">
        <w:rPr>
          <w:rFonts w:ascii="Verdana" w:hAnsi="Verdana"/>
          <w:color w:val="000000"/>
          <w:sz w:val="21"/>
          <w:szCs w:val="21"/>
        </w:rPr>
        <w:t xml:space="preserve">total size (market cap) of the </w:t>
      </w:r>
      <w:r w:rsidR="00F146AF">
        <w:rPr>
          <w:rFonts w:ascii="Verdana" w:hAnsi="Verdana"/>
          <w:color w:val="000000"/>
          <w:sz w:val="21"/>
          <w:szCs w:val="21"/>
        </w:rPr>
        <w:t xml:space="preserve">South African ETF industry, was R154 576,6 million, with 212 ETP products in issue.  Table D, above, shows the dispersion of products amongst the 10 issuing houses that currently list ETPs on the JSE. </w:t>
      </w:r>
    </w:p>
    <w:p w14:paraId="591FF4CB" w14:textId="01D75B97" w:rsidR="00827678" w:rsidRDefault="00F146AF" w:rsidP="00692911">
      <w:pPr>
        <w:spacing w:before="100" w:after="0" w:line="320" w:lineRule="atLeast"/>
        <w:jc w:val="both"/>
        <w:rPr>
          <w:rFonts w:ascii="Verdana" w:hAnsi="Verdana"/>
          <w:color w:val="000000"/>
          <w:sz w:val="21"/>
          <w:szCs w:val="21"/>
        </w:rPr>
      </w:pPr>
      <w:r w:rsidRPr="009C65B3">
        <w:rPr>
          <w:rFonts w:ascii="Verdana" w:hAnsi="Verdana"/>
          <w:b/>
          <w:bCs/>
          <w:color w:val="000000"/>
          <w:sz w:val="21"/>
          <w:szCs w:val="21"/>
        </w:rPr>
        <w:t>Satrix Managers</w:t>
      </w:r>
      <w:r>
        <w:rPr>
          <w:rFonts w:ascii="Verdana" w:hAnsi="Verdana"/>
          <w:color w:val="000000"/>
          <w:sz w:val="21"/>
          <w:szCs w:val="21"/>
        </w:rPr>
        <w:t xml:space="preserve">, is the dominant force in the SA listed tracker fund industry and has increased its lead at the top of the able in terms of </w:t>
      </w:r>
      <w:r w:rsidR="00662063">
        <w:rPr>
          <w:rFonts w:ascii="Verdana" w:hAnsi="Verdana"/>
          <w:color w:val="000000"/>
          <w:sz w:val="21"/>
          <w:szCs w:val="21"/>
        </w:rPr>
        <w:t>assets under management, which n</w:t>
      </w:r>
      <w:r w:rsidR="006D66CE">
        <w:rPr>
          <w:rFonts w:ascii="Verdana" w:hAnsi="Verdana"/>
          <w:color w:val="000000"/>
          <w:sz w:val="21"/>
          <w:szCs w:val="21"/>
        </w:rPr>
        <w:t>o</w:t>
      </w:r>
      <w:r w:rsidR="00662063">
        <w:rPr>
          <w:rFonts w:ascii="Verdana" w:hAnsi="Verdana"/>
          <w:color w:val="000000"/>
          <w:sz w:val="21"/>
          <w:szCs w:val="21"/>
        </w:rPr>
        <w:t xml:space="preserve">w total R48,2 billion. </w:t>
      </w:r>
    </w:p>
    <w:p w14:paraId="283479D5" w14:textId="65FF2F76" w:rsidR="00662063" w:rsidRDefault="00662063" w:rsidP="00692911">
      <w:pPr>
        <w:spacing w:before="100" w:after="0" w:line="320" w:lineRule="atLeast"/>
        <w:jc w:val="both"/>
        <w:rPr>
          <w:rFonts w:ascii="Verdana" w:hAnsi="Verdana"/>
          <w:color w:val="000000"/>
          <w:sz w:val="21"/>
          <w:szCs w:val="21"/>
        </w:rPr>
      </w:pPr>
      <w:r w:rsidRPr="009C65B3">
        <w:rPr>
          <w:rFonts w:ascii="Verdana" w:hAnsi="Verdana"/>
          <w:b/>
          <w:bCs/>
          <w:color w:val="000000"/>
          <w:sz w:val="21"/>
          <w:szCs w:val="21"/>
        </w:rPr>
        <w:t>Sygnia Itrix</w:t>
      </w:r>
      <w:r>
        <w:rPr>
          <w:rFonts w:ascii="Verdana" w:hAnsi="Verdana"/>
          <w:color w:val="000000"/>
          <w:sz w:val="21"/>
          <w:szCs w:val="21"/>
        </w:rPr>
        <w:t xml:space="preserve"> remains the second largest issuing house, but is falling steadily behind Satrix, as it has a smaller range of products, focussing </w:t>
      </w:r>
      <w:r w:rsidR="001E3615">
        <w:rPr>
          <w:rFonts w:ascii="Verdana" w:hAnsi="Verdana"/>
          <w:color w:val="000000"/>
          <w:sz w:val="21"/>
          <w:szCs w:val="21"/>
        </w:rPr>
        <w:t>mainly</w:t>
      </w:r>
      <w:r>
        <w:rPr>
          <w:rFonts w:ascii="Verdana" w:hAnsi="Verdana"/>
          <w:color w:val="000000"/>
          <w:sz w:val="21"/>
          <w:szCs w:val="21"/>
        </w:rPr>
        <w:t xml:space="preserve"> on global </w:t>
      </w:r>
      <w:r w:rsidR="001E3615">
        <w:rPr>
          <w:rFonts w:ascii="Verdana" w:hAnsi="Verdana"/>
          <w:color w:val="000000"/>
          <w:sz w:val="21"/>
          <w:szCs w:val="21"/>
        </w:rPr>
        <w:t>equity</w:t>
      </w:r>
      <w:r>
        <w:rPr>
          <w:rFonts w:ascii="Verdana" w:hAnsi="Verdana"/>
          <w:color w:val="000000"/>
          <w:sz w:val="21"/>
          <w:szCs w:val="21"/>
        </w:rPr>
        <w:t xml:space="preserve"> </w:t>
      </w:r>
      <w:r w:rsidR="006A3FC7">
        <w:rPr>
          <w:rFonts w:ascii="Verdana" w:hAnsi="Verdana"/>
          <w:color w:val="000000"/>
          <w:sz w:val="21"/>
          <w:szCs w:val="21"/>
        </w:rPr>
        <w:t>indices</w:t>
      </w:r>
      <w:r>
        <w:rPr>
          <w:rFonts w:ascii="Verdana" w:hAnsi="Verdana"/>
          <w:color w:val="000000"/>
          <w:sz w:val="21"/>
          <w:szCs w:val="21"/>
        </w:rPr>
        <w:t xml:space="preserve">, compared with </w:t>
      </w:r>
      <w:r w:rsidR="0099591D">
        <w:rPr>
          <w:rFonts w:ascii="Verdana" w:hAnsi="Verdana"/>
          <w:color w:val="000000"/>
          <w:sz w:val="21"/>
          <w:szCs w:val="21"/>
        </w:rPr>
        <w:t>Satrix’s</w:t>
      </w:r>
      <w:r>
        <w:rPr>
          <w:rFonts w:ascii="Verdana" w:hAnsi="Verdana"/>
          <w:color w:val="000000"/>
          <w:sz w:val="21"/>
          <w:szCs w:val="21"/>
        </w:rPr>
        <w:t xml:space="preserve"> far wider range of products. </w:t>
      </w:r>
    </w:p>
    <w:p w14:paraId="6B136952" w14:textId="058CC170" w:rsidR="00662063" w:rsidRDefault="00662063" w:rsidP="00692911">
      <w:pPr>
        <w:spacing w:before="100" w:after="0" w:line="320" w:lineRule="atLeast"/>
        <w:jc w:val="both"/>
        <w:rPr>
          <w:rFonts w:ascii="Verdana" w:hAnsi="Verdana"/>
          <w:color w:val="000000"/>
          <w:sz w:val="21"/>
          <w:szCs w:val="21"/>
        </w:rPr>
      </w:pPr>
      <w:r w:rsidRPr="009C65B3">
        <w:rPr>
          <w:rFonts w:ascii="Verdana" w:hAnsi="Verdana"/>
          <w:b/>
          <w:bCs/>
          <w:color w:val="000000"/>
          <w:sz w:val="21"/>
          <w:szCs w:val="21"/>
        </w:rPr>
        <w:t>Absa Capita</w:t>
      </w:r>
      <w:r w:rsidR="00B01CAB" w:rsidRPr="009C65B3">
        <w:rPr>
          <w:rFonts w:ascii="Verdana" w:hAnsi="Verdana"/>
          <w:b/>
          <w:bCs/>
          <w:color w:val="000000"/>
          <w:sz w:val="21"/>
          <w:szCs w:val="21"/>
        </w:rPr>
        <w:t>l</w:t>
      </w:r>
      <w:r w:rsidRPr="009C65B3">
        <w:rPr>
          <w:rFonts w:ascii="Verdana" w:hAnsi="Verdana"/>
          <w:b/>
          <w:bCs/>
          <w:color w:val="000000"/>
          <w:sz w:val="21"/>
          <w:szCs w:val="21"/>
        </w:rPr>
        <w:t>,</w:t>
      </w:r>
      <w:r>
        <w:rPr>
          <w:rFonts w:ascii="Verdana" w:hAnsi="Verdana"/>
          <w:color w:val="000000"/>
          <w:sz w:val="21"/>
          <w:szCs w:val="21"/>
        </w:rPr>
        <w:t xml:space="preserve"> having disposed of most </w:t>
      </w:r>
      <w:r w:rsidR="006A3FC7">
        <w:rPr>
          <w:rFonts w:ascii="Verdana" w:hAnsi="Verdana"/>
          <w:color w:val="000000"/>
          <w:sz w:val="21"/>
          <w:szCs w:val="21"/>
        </w:rPr>
        <w:t>i</w:t>
      </w:r>
      <w:r>
        <w:rPr>
          <w:rFonts w:ascii="Verdana" w:hAnsi="Verdana"/>
          <w:color w:val="000000"/>
          <w:sz w:val="21"/>
          <w:szCs w:val="21"/>
        </w:rPr>
        <w:t xml:space="preserve">ts ETFs to Satrix as part of the sale of Absa Asset Management to Sanlam, is </w:t>
      </w:r>
      <w:r w:rsidR="006D66CE">
        <w:rPr>
          <w:rFonts w:ascii="Verdana" w:hAnsi="Verdana"/>
          <w:color w:val="000000"/>
          <w:sz w:val="21"/>
          <w:szCs w:val="21"/>
        </w:rPr>
        <w:t>holding</w:t>
      </w:r>
      <w:r w:rsidR="00B01CAB">
        <w:rPr>
          <w:rFonts w:ascii="Verdana" w:hAnsi="Verdana"/>
          <w:color w:val="000000"/>
          <w:sz w:val="21"/>
          <w:szCs w:val="21"/>
        </w:rPr>
        <w:t xml:space="preserve"> its position as number </w:t>
      </w:r>
      <w:r w:rsidR="006D66CE">
        <w:rPr>
          <w:rFonts w:ascii="Verdana" w:hAnsi="Verdana"/>
          <w:color w:val="000000"/>
          <w:sz w:val="21"/>
          <w:szCs w:val="21"/>
        </w:rPr>
        <w:t>three</w:t>
      </w:r>
      <w:r w:rsidR="00B01CAB">
        <w:rPr>
          <w:rFonts w:ascii="Verdana" w:hAnsi="Verdana"/>
          <w:color w:val="000000"/>
          <w:sz w:val="21"/>
          <w:szCs w:val="21"/>
        </w:rPr>
        <w:t xml:space="preserve"> in the industry.  However, its product range is limited, mainly focussed on the volatile commodity markets and its future strategy will be awaited with interest. </w:t>
      </w:r>
    </w:p>
    <w:p w14:paraId="76392958" w14:textId="2173F576" w:rsidR="009E05E9" w:rsidRDefault="00B01CAB" w:rsidP="00692911">
      <w:pPr>
        <w:spacing w:before="100" w:after="0" w:line="320" w:lineRule="atLeast"/>
        <w:jc w:val="both"/>
        <w:rPr>
          <w:rFonts w:ascii="Verdana" w:hAnsi="Verdana"/>
          <w:color w:val="000000"/>
          <w:sz w:val="21"/>
          <w:szCs w:val="21"/>
        </w:rPr>
      </w:pPr>
      <w:r>
        <w:rPr>
          <w:rFonts w:ascii="Verdana" w:hAnsi="Verdana"/>
          <w:color w:val="000000"/>
          <w:sz w:val="21"/>
          <w:szCs w:val="21"/>
        </w:rPr>
        <w:t>Strong competition exists for the nex</w:t>
      </w:r>
      <w:r w:rsidR="001E3615">
        <w:rPr>
          <w:rFonts w:ascii="Verdana" w:hAnsi="Verdana"/>
          <w:color w:val="000000"/>
          <w:sz w:val="21"/>
          <w:szCs w:val="21"/>
        </w:rPr>
        <w:t>t</w:t>
      </w:r>
      <w:r>
        <w:rPr>
          <w:rFonts w:ascii="Verdana" w:hAnsi="Verdana"/>
          <w:color w:val="000000"/>
          <w:sz w:val="21"/>
          <w:szCs w:val="21"/>
        </w:rPr>
        <w:t xml:space="preserve"> spot in the issuing house league table.  </w:t>
      </w:r>
      <w:r w:rsidRPr="009C65B3">
        <w:rPr>
          <w:rFonts w:ascii="Verdana" w:hAnsi="Verdana"/>
          <w:b/>
          <w:bCs/>
          <w:color w:val="000000"/>
          <w:sz w:val="21"/>
          <w:szCs w:val="21"/>
        </w:rPr>
        <w:t xml:space="preserve">10X, </w:t>
      </w:r>
      <w:r w:rsidR="001E3615" w:rsidRPr="009C65B3">
        <w:rPr>
          <w:rFonts w:ascii="Verdana" w:hAnsi="Verdana"/>
          <w:b/>
          <w:bCs/>
          <w:color w:val="000000"/>
          <w:sz w:val="21"/>
          <w:szCs w:val="21"/>
        </w:rPr>
        <w:t>formerly</w:t>
      </w:r>
      <w:r w:rsidRPr="009C65B3">
        <w:rPr>
          <w:rFonts w:ascii="Verdana" w:hAnsi="Verdana"/>
          <w:b/>
          <w:bCs/>
          <w:color w:val="000000"/>
          <w:sz w:val="21"/>
          <w:szCs w:val="21"/>
        </w:rPr>
        <w:t xml:space="preserve"> CoreShares,</w:t>
      </w:r>
      <w:r>
        <w:rPr>
          <w:rFonts w:ascii="Verdana" w:hAnsi="Verdana"/>
          <w:color w:val="000000"/>
          <w:sz w:val="21"/>
          <w:szCs w:val="21"/>
        </w:rPr>
        <w:t xml:space="preserve"> has </w:t>
      </w:r>
      <w:r w:rsidR="006D66CE">
        <w:rPr>
          <w:rFonts w:ascii="Verdana" w:hAnsi="Verdana"/>
          <w:color w:val="000000"/>
          <w:sz w:val="21"/>
          <w:szCs w:val="21"/>
        </w:rPr>
        <w:t xml:space="preserve">moved </w:t>
      </w:r>
      <w:r>
        <w:rPr>
          <w:rFonts w:ascii="Verdana" w:hAnsi="Verdana"/>
          <w:color w:val="000000"/>
          <w:sz w:val="21"/>
          <w:szCs w:val="21"/>
        </w:rPr>
        <w:t>into f</w:t>
      </w:r>
      <w:r w:rsidR="006D66CE">
        <w:rPr>
          <w:rFonts w:ascii="Verdana" w:hAnsi="Verdana"/>
          <w:color w:val="000000"/>
          <w:sz w:val="21"/>
          <w:szCs w:val="21"/>
        </w:rPr>
        <w:t>ourth</w:t>
      </w:r>
      <w:r>
        <w:rPr>
          <w:rFonts w:ascii="Verdana" w:hAnsi="Verdana"/>
          <w:color w:val="000000"/>
          <w:sz w:val="21"/>
          <w:szCs w:val="21"/>
        </w:rPr>
        <w:t xml:space="preserve"> position, just ahead of First Rand/FNB.  Being a product provider to their major shareholder, Old Mutual, is clearly advantageous to 10X, but the brand is well recognised in the </w:t>
      </w:r>
      <w:r w:rsidR="001E3615">
        <w:rPr>
          <w:rFonts w:ascii="Verdana" w:hAnsi="Verdana"/>
          <w:color w:val="000000"/>
          <w:sz w:val="21"/>
          <w:szCs w:val="21"/>
        </w:rPr>
        <w:t>in</w:t>
      </w:r>
      <w:r w:rsidR="006D66CE">
        <w:rPr>
          <w:rFonts w:ascii="Verdana" w:hAnsi="Verdana"/>
          <w:color w:val="000000"/>
          <w:sz w:val="21"/>
          <w:szCs w:val="21"/>
        </w:rPr>
        <w:t>stitutional</w:t>
      </w:r>
      <w:r>
        <w:rPr>
          <w:rFonts w:ascii="Verdana" w:hAnsi="Verdana"/>
          <w:color w:val="000000"/>
          <w:sz w:val="21"/>
          <w:szCs w:val="21"/>
        </w:rPr>
        <w:t xml:space="preserve"> and retail industry, so its ETF products have a </w:t>
      </w:r>
      <w:r w:rsidR="006D66CE">
        <w:rPr>
          <w:rFonts w:ascii="Verdana" w:hAnsi="Verdana"/>
          <w:color w:val="000000"/>
          <w:sz w:val="21"/>
          <w:szCs w:val="21"/>
        </w:rPr>
        <w:t>far broader base that purely being an “in-house” provider</w:t>
      </w:r>
      <w:r>
        <w:rPr>
          <w:rFonts w:ascii="Verdana" w:hAnsi="Verdana"/>
          <w:color w:val="000000"/>
          <w:sz w:val="21"/>
          <w:szCs w:val="21"/>
        </w:rPr>
        <w:t xml:space="preserve">. </w:t>
      </w:r>
      <w:r w:rsidR="009E05E9">
        <w:rPr>
          <w:rFonts w:ascii="Verdana" w:hAnsi="Verdana"/>
          <w:color w:val="000000"/>
          <w:sz w:val="21"/>
          <w:szCs w:val="21"/>
        </w:rPr>
        <w:br w:type="page"/>
      </w:r>
    </w:p>
    <w:p w14:paraId="0BD8BDDA" w14:textId="6FA9B764" w:rsidR="004E69A5" w:rsidRPr="004544E3" w:rsidRDefault="004E69A5" w:rsidP="004E69A5">
      <w:pPr>
        <w:pStyle w:val="ListParagraph"/>
        <w:spacing w:after="0" w:line="320" w:lineRule="atLeast"/>
        <w:jc w:val="center"/>
        <w:rPr>
          <w:rFonts w:ascii="Verdana" w:hAnsi="Verdana"/>
          <w:b/>
          <w:bCs/>
          <w:color w:val="C00000"/>
        </w:rPr>
      </w:pPr>
      <w:r>
        <w:rPr>
          <w:rFonts w:ascii="Verdana" w:hAnsi="Verdana"/>
          <w:b/>
          <w:bCs/>
          <w:color w:val="C00000"/>
        </w:rPr>
        <w:lastRenderedPageBreak/>
        <w:t>INDIVIDUAL ISSUING HOUSES</w:t>
      </w:r>
    </w:p>
    <w:p w14:paraId="61A45363" w14:textId="77777777" w:rsidR="001D4816" w:rsidRDefault="00FC7926" w:rsidP="00692911">
      <w:pPr>
        <w:spacing w:before="200" w:after="40" w:line="320" w:lineRule="atLeast"/>
        <w:jc w:val="both"/>
        <w:rPr>
          <w:rFonts w:ascii="Verdana" w:hAnsi="Verdana"/>
          <w:color w:val="000000"/>
          <w:sz w:val="21"/>
          <w:szCs w:val="21"/>
        </w:rPr>
      </w:pPr>
      <w:r w:rsidRPr="006C0C1F">
        <w:rPr>
          <w:rFonts w:ascii="Verdana" w:hAnsi="Verdana"/>
          <w:b/>
          <w:bCs/>
          <w:color w:val="C00000"/>
          <w:sz w:val="21"/>
          <w:szCs w:val="21"/>
        </w:rPr>
        <w:t>Satrix Managers</w:t>
      </w:r>
      <w:r w:rsidRPr="006C0C1F">
        <w:rPr>
          <w:rFonts w:ascii="Verdana" w:hAnsi="Verdana"/>
          <w:color w:val="C00000"/>
          <w:sz w:val="21"/>
          <w:szCs w:val="21"/>
        </w:rPr>
        <w:t xml:space="preserve"> </w:t>
      </w:r>
      <w:r w:rsidRPr="003E6D07">
        <w:rPr>
          <w:rFonts w:ascii="Verdana" w:hAnsi="Verdana"/>
          <w:color w:val="000000"/>
          <w:sz w:val="21"/>
          <w:szCs w:val="21"/>
        </w:rPr>
        <w:t>–</w:t>
      </w:r>
      <w:r w:rsidR="00D13577">
        <w:rPr>
          <w:rFonts w:ascii="Verdana" w:hAnsi="Verdana"/>
          <w:color w:val="000000"/>
          <w:sz w:val="21"/>
          <w:szCs w:val="21"/>
        </w:rPr>
        <w:t xml:space="preserve"> </w:t>
      </w:r>
      <w:r w:rsidR="001D4816">
        <w:rPr>
          <w:rFonts w:ascii="Verdana" w:hAnsi="Verdana"/>
          <w:color w:val="000000"/>
          <w:sz w:val="21"/>
          <w:szCs w:val="21"/>
        </w:rPr>
        <w:t xml:space="preserve">With R48,2 billion under management in ETFs, Satrix is over 10 billion larger in AUM than the second issuing house in the industry, Sygnia Itrix. </w:t>
      </w:r>
    </w:p>
    <w:p w14:paraId="1B930B8B" w14:textId="3B2BD8D1" w:rsidR="001D4816" w:rsidRDefault="001D4816"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The transfer of some R4 billion in index tracking ETFs by Absa to Satrix, has assisted Satrix in its growth momentum.  However, the 13 ETFs taken over in this manner, have led to some duplication in ETF products provided and/or are too small to make a meaningful contribution to the issuing house.  Much of Satrix’s energy in the past 9 months seems have been devoted to the consolidation of the Absa products. </w:t>
      </w:r>
    </w:p>
    <w:p w14:paraId="56F3A5AD" w14:textId="326D7D70" w:rsidR="00D13577" w:rsidRDefault="001D4816"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The majority of </w:t>
      </w:r>
      <w:r w:rsidR="00692911">
        <w:rPr>
          <w:rFonts w:ascii="Verdana" w:hAnsi="Verdana"/>
          <w:color w:val="000000"/>
          <w:sz w:val="21"/>
          <w:szCs w:val="21"/>
        </w:rPr>
        <w:t>all</w:t>
      </w:r>
      <w:r>
        <w:rPr>
          <w:rFonts w:ascii="Verdana" w:hAnsi="Verdana"/>
          <w:color w:val="000000"/>
          <w:sz w:val="21"/>
          <w:szCs w:val="21"/>
        </w:rPr>
        <w:t xml:space="preserve"> Satrix ETFs have seen small redemptions over the year to date, so the new capita</w:t>
      </w:r>
      <w:r w:rsidR="00692911">
        <w:rPr>
          <w:rFonts w:ascii="Verdana" w:hAnsi="Verdana"/>
          <w:color w:val="000000"/>
          <w:sz w:val="21"/>
          <w:szCs w:val="21"/>
        </w:rPr>
        <w:t>l</w:t>
      </w:r>
      <w:r>
        <w:rPr>
          <w:rFonts w:ascii="Verdana" w:hAnsi="Verdana"/>
          <w:color w:val="000000"/>
          <w:sz w:val="21"/>
          <w:szCs w:val="21"/>
        </w:rPr>
        <w:t xml:space="preserve"> raised has come mainly from foreign referenced ETFs, notably the Satrix MSCI World ETF, which has a strong following in the markets.  </w:t>
      </w:r>
    </w:p>
    <w:p w14:paraId="6FC2FEE8" w14:textId="2D720BE7" w:rsidR="001D4816" w:rsidRDefault="001D4816"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Satrix has not issued any new ETFs in 2023, probably </w:t>
      </w:r>
      <w:r w:rsidR="00692911">
        <w:rPr>
          <w:rFonts w:ascii="Verdana" w:hAnsi="Verdana"/>
          <w:color w:val="000000"/>
          <w:sz w:val="21"/>
          <w:szCs w:val="21"/>
        </w:rPr>
        <w:t>a</w:t>
      </w:r>
      <w:r>
        <w:rPr>
          <w:rFonts w:ascii="Verdana" w:hAnsi="Verdana"/>
          <w:color w:val="000000"/>
          <w:sz w:val="21"/>
          <w:szCs w:val="21"/>
        </w:rPr>
        <w:t xml:space="preserve">s a result of its focus on consolidating the Absa ETF products. </w:t>
      </w:r>
    </w:p>
    <w:p w14:paraId="278A27B5" w14:textId="14DDCD01" w:rsidR="001D4816" w:rsidRDefault="001D4816" w:rsidP="00692911">
      <w:pPr>
        <w:spacing w:before="120" w:after="40" w:line="320" w:lineRule="atLeast"/>
        <w:jc w:val="both"/>
        <w:rPr>
          <w:rFonts w:ascii="Verdana" w:hAnsi="Verdana"/>
          <w:color w:val="000000"/>
          <w:sz w:val="21"/>
          <w:szCs w:val="21"/>
        </w:rPr>
      </w:pPr>
      <w:r>
        <w:rPr>
          <w:rFonts w:ascii="Verdana" w:hAnsi="Verdana"/>
          <w:color w:val="000000"/>
          <w:sz w:val="21"/>
          <w:szCs w:val="21"/>
        </w:rPr>
        <w:t>Satrix remains the most recognised brand in the ETP industry a</w:t>
      </w:r>
      <w:r w:rsidR="00692911">
        <w:rPr>
          <w:rFonts w:ascii="Verdana" w:hAnsi="Verdana"/>
          <w:color w:val="000000"/>
          <w:sz w:val="21"/>
          <w:szCs w:val="21"/>
        </w:rPr>
        <w:t>n</w:t>
      </w:r>
      <w:r>
        <w:rPr>
          <w:rFonts w:ascii="Verdana" w:hAnsi="Verdana"/>
          <w:color w:val="000000"/>
          <w:sz w:val="21"/>
          <w:szCs w:val="21"/>
        </w:rPr>
        <w:t>d is particularly widely know</w:t>
      </w:r>
      <w:r w:rsidR="00692911">
        <w:rPr>
          <w:rFonts w:ascii="Verdana" w:hAnsi="Verdana"/>
          <w:color w:val="000000"/>
          <w:sz w:val="21"/>
          <w:szCs w:val="21"/>
        </w:rPr>
        <w:t>n</w:t>
      </w:r>
      <w:r>
        <w:rPr>
          <w:rFonts w:ascii="Verdana" w:hAnsi="Verdana"/>
          <w:color w:val="000000"/>
          <w:sz w:val="21"/>
          <w:szCs w:val="21"/>
        </w:rPr>
        <w:t xml:space="preserve"> and accepted in retail </w:t>
      </w:r>
      <w:r w:rsidR="00692911">
        <w:rPr>
          <w:rFonts w:ascii="Verdana" w:hAnsi="Verdana"/>
          <w:color w:val="000000"/>
          <w:sz w:val="21"/>
          <w:szCs w:val="21"/>
        </w:rPr>
        <w:t xml:space="preserve">investment </w:t>
      </w:r>
      <w:r>
        <w:rPr>
          <w:rFonts w:ascii="Verdana" w:hAnsi="Verdana"/>
          <w:color w:val="000000"/>
          <w:sz w:val="21"/>
          <w:szCs w:val="21"/>
        </w:rPr>
        <w:t xml:space="preserve">markets.  </w:t>
      </w:r>
    </w:p>
    <w:p w14:paraId="0731A3E0" w14:textId="520E87FB" w:rsidR="002A6445" w:rsidRDefault="00FC7926" w:rsidP="00692911">
      <w:pPr>
        <w:spacing w:before="200" w:after="40" w:line="320" w:lineRule="atLeast"/>
        <w:jc w:val="both"/>
        <w:rPr>
          <w:rFonts w:ascii="Verdana" w:hAnsi="Verdana"/>
          <w:color w:val="000000"/>
          <w:sz w:val="21"/>
          <w:szCs w:val="21"/>
        </w:rPr>
      </w:pPr>
      <w:r w:rsidRPr="006C0C1F">
        <w:rPr>
          <w:rFonts w:ascii="Verdana" w:hAnsi="Verdana"/>
          <w:b/>
          <w:bCs/>
          <w:color w:val="C00000"/>
          <w:sz w:val="21"/>
          <w:szCs w:val="21"/>
        </w:rPr>
        <w:t>Sygnia Itrix</w:t>
      </w:r>
      <w:r w:rsidRPr="006C0C1F">
        <w:rPr>
          <w:rFonts w:ascii="Verdana" w:hAnsi="Verdana"/>
          <w:color w:val="C00000"/>
          <w:sz w:val="21"/>
          <w:szCs w:val="21"/>
        </w:rPr>
        <w:t xml:space="preserve"> </w:t>
      </w:r>
      <w:r w:rsidRPr="00DE7139">
        <w:rPr>
          <w:rFonts w:ascii="Verdana" w:hAnsi="Verdana"/>
          <w:color w:val="000000"/>
          <w:sz w:val="21"/>
          <w:szCs w:val="21"/>
        </w:rPr>
        <w:t>–</w:t>
      </w:r>
      <w:r w:rsidR="00755DEC">
        <w:rPr>
          <w:rFonts w:ascii="Verdana" w:hAnsi="Verdana"/>
          <w:color w:val="000000"/>
          <w:sz w:val="21"/>
          <w:szCs w:val="21"/>
        </w:rPr>
        <w:t xml:space="preserve"> </w:t>
      </w:r>
      <w:r w:rsidR="002A6445">
        <w:rPr>
          <w:rFonts w:ascii="Verdana" w:hAnsi="Verdana"/>
          <w:color w:val="000000"/>
          <w:sz w:val="21"/>
          <w:szCs w:val="21"/>
        </w:rPr>
        <w:t xml:space="preserve"> </w:t>
      </w:r>
      <w:r w:rsidR="004A185A">
        <w:rPr>
          <w:rFonts w:ascii="Verdana" w:hAnsi="Verdana"/>
          <w:color w:val="000000"/>
          <w:sz w:val="21"/>
          <w:szCs w:val="21"/>
        </w:rPr>
        <w:t xml:space="preserve"> </w:t>
      </w:r>
      <w:r w:rsidR="009C4664">
        <w:rPr>
          <w:rFonts w:ascii="Verdana" w:hAnsi="Verdana"/>
          <w:color w:val="000000"/>
          <w:sz w:val="21"/>
          <w:szCs w:val="21"/>
        </w:rPr>
        <w:t xml:space="preserve">maintains its position as the second biggest ETP provider in South Africa.  It has shown limited growth in 2023, probably because of some profit-taking by successful investors in its foreign referenced ETFs. </w:t>
      </w:r>
    </w:p>
    <w:p w14:paraId="5DDA46EA" w14:textId="7319CAA1" w:rsidR="009C4664" w:rsidRDefault="009C4664" w:rsidP="00692911">
      <w:pPr>
        <w:spacing w:before="120" w:after="40" w:line="320" w:lineRule="atLeast"/>
        <w:jc w:val="both"/>
        <w:rPr>
          <w:rFonts w:ascii="Verdana" w:hAnsi="Verdana"/>
          <w:color w:val="000000"/>
          <w:sz w:val="21"/>
          <w:szCs w:val="21"/>
        </w:rPr>
      </w:pPr>
      <w:r>
        <w:rPr>
          <w:rFonts w:ascii="Verdana" w:hAnsi="Verdana"/>
          <w:color w:val="000000"/>
          <w:sz w:val="21"/>
          <w:szCs w:val="21"/>
        </w:rPr>
        <w:t>During the third quarter, Sygnia delisted some R2 billion of its Emerging Markets 50 ETFs.  This appears to have been because of an asset allocation strategy switching away from emerging market</w:t>
      </w:r>
      <w:r w:rsidR="00692911">
        <w:rPr>
          <w:rFonts w:ascii="Verdana" w:hAnsi="Verdana"/>
          <w:color w:val="000000"/>
          <w:sz w:val="21"/>
          <w:szCs w:val="21"/>
        </w:rPr>
        <w:t>s</w:t>
      </w:r>
      <w:r>
        <w:rPr>
          <w:rFonts w:ascii="Verdana" w:hAnsi="Verdana"/>
          <w:color w:val="000000"/>
          <w:sz w:val="21"/>
          <w:szCs w:val="21"/>
        </w:rPr>
        <w:t xml:space="preserve"> to developed market exposure.  Simultaneously, R1,8 billion new Sygnia Itrix MSCI World ETFs were created.  </w:t>
      </w:r>
    </w:p>
    <w:p w14:paraId="1F152291" w14:textId="4574712D" w:rsidR="0008652A" w:rsidRDefault="0008652A"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Sygnia Itrix listed its first actively managed ETF in late-September, the Sygnia Itrix FANG.AI AMETF.  This product provides access to a portfolio of companies using advanced technologies such as </w:t>
      </w:r>
      <w:r w:rsidR="006A3FC7">
        <w:rPr>
          <w:rFonts w:ascii="Verdana" w:hAnsi="Verdana"/>
          <w:color w:val="000000"/>
          <w:sz w:val="21"/>
          <w:szCs w:val="21"/>
        </w:rPr>
        <w:t>artificial</w:t>
      </w:r>
      <w:r>
        <w:rPr>
          <w:rFonts w:ascii="Verdana" w:hAnsi="Verdana"/>
          <w:color w:val="000000"/>
          <w:sz w:val="21"/>
          <w:szCs w:val="21"/>
        </w:rPr>
        <w:t xml:space="preserve"> intelligence, cloud storage, big data, social media and e-commerce.  Rather than confining itself to the recognised mega-FANG companies, it has a wider universe of some 30 companies that use i</w:t>
      </w:r>
      <w:r w:rsidR="00692911">
        <w:rPr>
          <w:rFonts w:ascii="Verdana" w:hAnsi="Verdana"/>
          <w:color w:val="000000"/>
          <w:sz w:val="21"/>
          <w:szCs w:val="21"/>
        </w:rPr>
        <w:t xml:space="preserve">nnovative </w:t>
      </w:r>
      <w:r>
        <w:rPr>
          <w:rFonts w:ascii="Verdana" w:hAnsi="Verdana"/>
          <w:color w:val="000000"/>
          <w:sz w:val="21"/>
          <w:szCs w:val="21"/>
        </w:rPr>
        <w:t xml:space="preserve">digital </w:t>
      </w:r>
      <w:r w:rsidR="006A3FC7">
        <w:rPr>
          <w:rFonts w:ascii="Verdana" w:hAnsi="Verdana"/>
          <w:color w:val="000000"/>
          <w:sz w:val="21"/>
          <w:szCs w:val="21"/>
        </w:rPr>
        <w:t>technologies</w:t>
      </w:r>
      <w:r>
        <w:rPr>
          <w:rFonts w:ascii="Verdana" w:hAnsi="Verdana"/>
          <w:color w:val="000000"/>
          <w:sz w:val="21"/>
          <w:szCs w:val="21"/>
        </w:rPr>
        <w:t>.  The FANG AMETF also breaks new ground in that performance fees can be charged if return benchmarks are achieved.  The po</w:t>
      </w:r>
      <w:r w:rsidR="00692911">
        <w:rPr>
          <w:rFonts w:ascii="Verdana" w:hAnsi="Verdana"/>
          <w:color w:val="000000"/>
          <w:sz w:val="21"/>
          <w:szCs w:val="21"/>
        </w:rPr>
        <w:t>ssible</w:t>
      </w:r>
      <w:r>
        <w:rPr>
          <w:rFonts w:ascii="Verdana" w:hAnsi="Verdana"/>
          <w:color w:val="000000"/>
          <w:sz w:val="21"/>
          <w:szCs w:val="21"/>
        </w:rPr>
        <w:t xml:space="preserve"> use of fee enhancement for performance indicates that actively managed products could deliver higher margins for issuing houses, if this </w:t>
      </w:r>
      <w:r w:rsidR="00692911">
        <w:rPr>
          <w:rFonts w:ascii="Verdana" w:hAnsi="Verdana"/>
          <w:color w:val="000000"/>
          <w:sz w:val="21"/>
          <w:szCs w:val="21"/>
        </w:rPr>
        <w:t xml:space="preserve">practice </w:t>
      </w:r>
      <w:r>
        <w:rPr>
          <w:rFonts w:ascii="Verdana" w:hAnsi="Verdana"/>
          <w:color w:val="000000"/>
          <w:sz w:val="21"/>
          <w:szCs w:val="21"/>
        </w:rPr>
        <w:t xml:space="preserve">is followed elsewhere in the industry. </w:t>
      </w:r>
    </w:p>
    <w:p w14:paraId="0281F5DD" w14:textId="17180F66" w:rsidR="00043FCA" w:rsidRDefault="0008652A" w:rsidP="00692911">
      <w:pPr>
        <w:spacing w:before="200" w:after="40" w:line="320" w:lineRule="atLeast"/>
        <w:jc w:val="both"/>
        <w:rPr>
          <w:rFonts w:ascii="Verdana" w:hAnsi="Verdana"/>
          <w:color w:val="000000"/>
          <w:sz w:val="21"/>
          <w:szCs w:val="21"/>
        </w:rPr>
      </w:pPr>
      <w:r>
        <w:rPr>
          <w:rFonts w:ascii="Verdana" w:hAnsi="Verdana"/>
          <w:b/>
          <w:bCs/>
          <w:color w:val="C00000"/>
          <w:sz w:val="21"/>
          <w:szCs w:val="21"/>
        </w:rPr>
        <w:t>1nvest</w:t>
      </w:r>
      <w:r w:rsidR="00D85866" w:rsidRPr="006C0C1F">
        <w:rPr>
          <w:rFonts w:ascii="Verdana" w:hAnsi="Verdana"/>
          <w:color w:val="C00000"/>
          <w:sz w:val="21"/>
          <w:szCs w:val="21"/>
        </w:rPr>
        <w:t xml:space="preserve"> </w:t>
      </w:r>
      <w:r w:rsidR="00D85866" w:rsidRPr="00944E04">
        <w:rPr>
          <w:rFonts w:ascii="Verdana" w:hAnsi="Verdana"/>
          <w:color w:val="000000"/>
          <w:sz w:val="21"/>
          <w:szCs w:val="21"/>
        </w:rPr>
        <w:t>–</w:t>
      </w:r>
      <w:r w:rsidR="00ED466E">
        <w:rPr>
          <w:rFonts w:ascii="Verdana" w:hAnsi="Verdana"/>
          <w:color w:val="000000"/>
          <w:sz w:val="21"/>
          <w:szCs w:val="21"/>
        </w:rPr>
        <w:t xml:space="preserve"> </w:t>
      </w:r>
      <w:r>
        <w:rPr>
          <w:rFonts w:ascii="Verdana" w:hAnsi="Verdana"/>
          <w:color w:val="000000"/>
          <w:sz w:val="21"/>
          <w:szCs w:val="21"/>
        </w:rPr>
        <w:t xml:space="preserve">the 1nvest brand houses the ETFs originally issued by </w:t>
      </w:r>
      <w:r w:rsidR="00105881">
        <w:rPr>
          <w:rFonts w:ascii="Verdana" w:hAnsi="Verdana"/>
          <w:color w:val="000000"/>
          <w:sz w:val="21"/>
          <w:szCs w:val="21"/>
        </w:rPr>
        <w:t>Standard</w:t>
      </w:r>
      <w:r>
        <w:rPr>
          <w:rFonts w:ascii="Verdana" w:hAnsi="Verdana"/>
          <w:color w:val="000000"/>
          <w:sz w:val="21"/>
          <w:szCs w:val="21"/>
        </w:rPr>
        <w:t xml:space="preserve"> Bank and the Standard Liberty Group.  It has historically </w:t>
      </w:r>
      <w:r w:rsidR="00692911">
        <w:rPr>
          <w:rFonts w:ascii="Verdana" w:hAnsi="Verdana"/>
          <w:color w:val="000000"/>
          <w:sz w:val="21"/>
          <w:szCs w:val="21"/>
        </w:rPr>
        <w:t>issu</w:t>
      </w:r>
      <w:r>
        <w:rPr>
          <w:rFonts w:ascii="Verdana" w:hAnsi="Verdana"/>
          <w:color w:val="000000"/>
          <w:sz w:val="21"/>
          <w:szCs w:val="21"/>
        </w:rPr>
        <w:t>ed ETFs tracking precious metal p</w:t>
      </w:r>
      <w:r w:rsidR="00105881">
        <w:rPr>
          <w:rFonts w:ascii="Verdana" w:hAnsi="Verdana"/>
          <w:color w:val="000000"/>
          <w:sz w:val="21"/>
          <w:szCs w:val="21"/>
        </w:rPr>
        <w:t>r</w:t>
      </w:r>
      <w:r>
        <w:rPr>
          <w:rFonts w:ascii="Verdana" w:hAnsi="Verdana"/>
          <w:color w:val="000000"/>
          <w:sz w:val="21"/>
          <w:szCs w:val="21"/>
        </w:rPr>
        <w:t>ices, including gold and PGMs, plus the major local and global eq</w:t>
      </w:r>
      <w:r w:rsidR="00105881">
        <w:rPr>
          <w:rFonts w:ascii="Verdana" w:hAnsi="Verdana"/>
          <w:color w:val="000000"/>
          <w:sz w:val="21"/>
          <w:szCs w:val="21"/>
        </w:rPr>
        <w:t>u</w:t>
      </w:r>
      <w:r>
        <w:rPr>
          <w:rFonts w:ascii="Verdana" w:hAnsi="Verdana"/>
          <w:color w:val="000000"/>
          <w:sz w:val="21"/>
          <w:szCs w:val="21"/>
        </w:rPr>
        <w:t xml:space="preserve">ity indices.  In 2022, 1nvest started introducing ETFs which looked </w:t>
      </w:r>
      <w:r w:rsidR="00692911">
        <w:rPr>
          <w:rFonts w:ascii="Verdana" w:hAnsi="Verdana"/>
          <w:color w:val="000000"/>
          <w:sz w:val="21"/>
          <w:szCs w:val="21"/>
        </w:rPr>
        <w:t>t</w:t>
      </w:r>
      <w:r w:rsidR="009D16BC">
        <w:rPr>
          <w:rFonts w:ascii="Verdana" w:hAnsi="Verdana"/>
          <w:color w:val="000000"/>
          <w:sz w:val="21"/>
          <w:szCs w:val="21"/>
        </w:rPr>
        <w:t>o</w:t>
      </w:r>
      <w:r>
        <w:rPr>
          <w:rFonts w:ascii="Verdana" w:hAnsi="Verdana"/>
          <w:color w:val="000000"/>
          <w:sz w:val="21"/>
          <w:szCs w:val="21"/>
        </w:rPr>
        <w:t xml:space="preserve"> fill gaps in the South African market, including a World SRI index, Asia</w:t>
      </w:r>
      <w:r w:rsidR="00692911">
        <w:rPr>
          <w:rFonts w:ascii="Verdana" w:hAnsi="Verdana"/>
          <w:color w:val="000000"/>
          <w:sz w:val="21"/>
          <w:szCs w:val="21"/>
        </w:rPr>
        <w:t>n</w:t>
      </w:r>
      <w:r>
        <w:rPr>
          <w:rFonts w:ascii="Verdana" w:hAnsi="Verdana"/>
          <w:color w:val="000000"/>
          <w:sz w:val="21"/>
          <w:szCs w:val="21"/>
        </w:rPr>
        <w:t xml:space="preserve"> stock exchanges and a short-term US Treasury bill ETF.  These products have gain</w:t>
      </w:r>
      <w:r w:rsidR="00692911">
        <w:rPr>
          <w:rFonts w:ascii="Verdana" w:hAnsi="Verdana"/>
          <w:color w:val="000000"/>
          <w:sz w:val="21"/>
          <w:szCs w:val="21"/>
        </w:rPr>
        <w:t>ed</w:t>
      </w:r>
      <w:r>
        <w:rPr>
          <w:rFonts w:ascii="Verdana" w:hAnsi="Verdana"/>
          <w:color w:val="000000"/>
          <w:sz w:val="21"/>
          <w:szCs w:val="21"/>
        </w:rPr>
        <w:t xml:space="preserve"> some market acceptance. </w:t>
      </w:r>
    </w:p>
    <w:p w14:paraId="2C345231" w14:textId="76545619" w:rsidR="0008652A" w:rsidRDefault="0008652A" w:rsidP="00692911">
      <w:pPr>
        <w:spacing w:before="120" w:after="40" w:line="320" w:lineRule="atLeast"/>
        <w:jc w:val="both"/>
        <w:rPr>
          <w:rFonts w:ascii="Verdana" w:hAnsi="Verdana"/>
          <w:color w:val="000000"/>
          <w:sz w:val="21"/>
          <w:szCs w:val="21"/>
        </w:rPr>
      </w:pPr>
      <w:r>
        <w:rPr>
          <w:rFonts w:ascii="Verdana" w:hAnsi="Verdana"/>
          <w:color w:val="000000"/>
          <w:sz w:val="21"/>
          <w:szCs w:val="21"/>
        </w:rPr>
        <w:t>The most successful 1nvest product, in terms of capital raising in 2023, ha</w:t>
      </w:r>
      <w:r w:rsidR="009C65B3">
        <w:rPr>
          <w:rFonts w:ascii="Verdana" w:hAnsi="Verdana"/>
          <w:color w:val="000000"/>
          <w:sz w:val="21"/>
          <w:szCs w:val="21"/>
        </w:rPr>
        <w:t>s</w:t>
      </w:r>
      <w:r>
        <w:rPr>
          <w:rFonts w:ascii="Verdana" w:hAnsi="Verdana"/>
          <w:color w:val="000000"/>
          <w:sz w:val="21"/>
          <w:szCs w:val="21"/>
        </w:rPr>
        <w:t xml:space="preserve"> be</w:t>
      </w:r>
      <w:r w:rsidR="00105881">
        <w:rPr>
          <w:rFonts w:ascii="Verdana" w:hAnsi="Verdana"/>
          <w:color w:val="000000"/>
          <w:sz w:val="21"/>
          <w:szCs w:val="21"/>
        </w:rPr>
        <w:t>e</w:t>
      </w:r>
      <w:r>
        <w:rPr>
          <w:rFonts w:ascii="Verdana" w:hAnsi="Verdana"/>
          <w:color w:val="000000"/>
          <w:sz w:val="21"/>
          <w:szCs w:val="21"/>
        </w:rPr>
        <w:t>n the 1nvest Platinum</w:t>
      </w:r>
      <w:r w:rsidR="00DF1B13">
        <w:rPr>
          <w:rFonts w:ascii="Verdana" w:hAnsi="Verdana"/>
          <w:color w:val="000000"/>
          <w:sz w:val="21"/>
          <w:szCs w:val="21"/>
        </w:rPr>
        <w:t xml:space="preserve"> ETFs which raised over R2 billion in new money, most of it in the first quarter of 2023.  The impetus for this interest in the platinum market has come from its potential use in hydrogen </w:t>
      </w:r>
      <w:r w:rsidR="006A3FC7">
        <w:rPr>
          <w:rFonts w:ascii="Verdana" w:hAnsi="Verdana"/>
          <w:color w:val="000000"/>
          <w:sz w:val="21"/>
          <w:szCs w:val="21"/>
        </w:rPr>
        <w:t>fuel</w:t>
      </w:r>
      <w:r w:rsidR="00DF1B13">
        <w:rPr>
          <w:rFonts w:ascii="Verdana" w:hAnsi="Verdana"/>
          <w:color w:val="000000"/>
          <w:sz w:val="21"/>
          <w:szCs w:val="21"/>
        </w:rPr>
        <w:t xml:space="preserve"> conversion </w:t>
      </w:r>
      <w:r w:rsidR="00692911">
        <w:rPr>
          <w:rFonts w:ascii="Verdana" w:hAnsi="Verdana"/>
          <w:color w:val="000000"/>
          <w:sz w:val="21"/>
          <w:szCs w:val="21"/>
        </w:rPr>
        <w:t>for</w:t>
      </w:r>
      <w:r w:rsidR="00DF1B13">
        <w:rPr>
          <w:rFonts w:ascii="Verdana" w:hAnsi="Verdana"/>
          <w:color w:val="000000"/>
          <w:sz w:val="21"/>
          <w:szCs w:val="21"/>
        </w:rPr>
        <w:t xml:space="preserve"> energy.  Whilst widespread use of platinum fuel cells for this purpose seems to be some years away, this potential demand has </w:t>
      </w:r>
      <w:r w:rsidR="00692911">
        <w:rPr>
          <w:rFonts w:ascii="Verdana" w:hAnsi="Verdana"/>
          <w:color w:val="000000"/>
          <w:sz w:val="21"/>
          <w:szCs w:val="21"/>
        </w:rPr>
        <w:t>generated some</w:t>
      </w:r>
      <w:r w:rsidR="00DF1B13">
        <w:rPr>
          <w:rFonts w:ascii="Verdana" w:hAnsi="Verdana"/>
          <w:color w:val="000000"/>
          <w:sz w:val="21"/>
          <w:szCs w:val="21"/>
        </w:rPr>
        <w:t xml:space="preserve"> investor interest in this metal. </w:t>
      </w:r>
    </w:p>
    <w:p w14:paraId="26E90930" w14:textId="5512311B" w:rsidR="00692911" w:rsidRDefault="00692911">
      <w:pPr>
        <w:rPr>
          <w:rFonts w:ascii="Verdana" w:hAnsi="Verdana"/>
          <w:color w:val="000000"/>
          <w:sz w:val="21"/>
          <w:szCs w:val="21"/>
        </w:rPr>
      </w:pPr>
      <w:r>
        <w:rPr>
          <w:rFonts w:ascii="Verdana" w:hAnsi="Verdana"/>
          <w:color w:val="000000"/>
          <w:sz w:val="21"/>
          <w:szCs w:val="21"/>
        </w:rPr>
        <w:br w:type="page"/>
      </w:r>
    </w:p>
    <w:p w14:paraId="0AA4CE5C" w14:textId="389A9337" w:rsidR="00DF1B13" w:rsidRDefault="00DF1B13" w:rsidP="00692911">
      <w:pPr>
        <w:spacing w:before="120" w:after="40" w:line="320" w:lineRule="atLeast"/>
        <w:jc w:val="both"/>
        <w:rPr>
          <w:rFonts w:ascii="Verdana" w:hAnsi="Verdana"/>
          <w:color w:val="000000"/>
          <w:sz w:val="21"/>
          <w:szCs w:val="21"/>
        </w:rPr>
      </w:pPr>
      <w:r>
        <w:rPr>
          <w:rFonts w:ascii="Verdana" w:hAnsi="Verdana"/>
          <w:color w:val="000000"/>
          <w:sz w:val="21"/>
          <w:szCs w:val="21"/>
        </w:rPr>
        <w:lastRenderedPageBreak/>
        <w:t xml:space="preserve">The other popular ETF in the </w:t>
      </w:r>
      <w:r w:rsidR="006A3FC7">
        <w:rPr>
          <w:rFonts w:ascii="Verdana" w:hAnsi="Verdana"/>
          <w:color w:val="000000"/>
          <w:sz w:val="21"/>
          <w:szCs w:val="21"/>
        </w:rPr>
        <w:t>1</w:t>
      </w:r>
      <w:r>
        <w:rPr>
          <w:rFonts w:ascii="Verdana" w:hAnsi="Verdana"/>
          <w:color w:val="000000"/>
          <w:sz w:val="21"/>
          <w:szCs w:val="21"/>
        </w:rPr>
        <w:t xml:space="preserve">nvest stable in 2023, has been the 1nvest S&amp;P Information Technology ETF, which tracks </w:t>
      </w:r>
      <w:r w:rsidR="00692911">
        <w:rPr>
          <w:rFonts w:ascii="Verdana" w:hAnsi="Verdana"/>
          <w:color w:val="000000"/>
          <w:sz w:val="21"/>
          <w:szCs w:val="21"/>
        </w:rPr>
        <w:t>t</w:t>
      </w:r>
      <w:r>
        <w:rPr>
          <w:rFonts w:ascii="Verdana" w:hAnsi="Verdana"/>
          <w:color w:val="000000"/>
          <w:sz w:val="21"/>
          <w:szCs w:val="21"/>
        </w:rPr>
        <w:t xml:space="preserve">he high tech shares in the US S&amp;P 00 indices.  This index </w:t>
      </w:r>
      <w:r w:rsidR="00692911">
        <w:rPr>
          <w:rFonts w:ascii="Verdana" w:hAnsi="Verdana"/>
          <w:color w:val="000000"/>
          <w:sz w:val="21"/>
          <w:szCs w:val="21"/>
        </w:rPr>
        <w:t xml:space="preserve">also </w:t>
      </w:r>
      <w:r>
        <w:rPr>
          <w:rFonts w:ascii="Verdana" w:hAnsi="Verdana"/>
          <w:color w:val="000000"/>
          <w:sz w:val="21"/>
          <w:szCs w:val="21"/>
        </w:rPr>
        <w:t xml:space="preserve">captures the current and expected impact of Artificial Intelligence (AI) </w:t>
      </w:r>
      <w:r w:rsidR="00692911">
        <w:rPr>
          <w:rFonts w:ascii="Verdana" w:hAnsi="Verdana"/>
          <w:color w:val="000000"/>
          <w:sz w:val="21"/>
          <w:szCs w:val="21"/>
        </w:rPr>
        <w:t>in</w:t>
      </w:r>
      <w:r>
        <w:rPr>
          <w:rFonts w:ascii="Verdana" w:hAnsi="Verdana"/>
          <w:color w:val="000000"/>
          <w:sz w:val="21"/>
          <w:szCs w:val="21"/>
        </w:rPr>
        <w:t xml:space="preserve"> a number of mega-counters</w:t>
      </w:r>
      <w:r w:rsidR="00692911">
        <w:rPr>
          <w:rFonts w:ascii="Verdana" w:hAnsi="Verdana"/>
          <w:color w:val="000000"/>
          <w:sz w:val="21"/>
          <w:szCs w:val="21"/>
        </w:rPr>
        <w:t xml:space="preserve"> included in the S&amp;P index. </w:t>
      </w:r>
      <w:r>
        <w:rPr>
          <w:rFonts w:ascii="Verdana" w:hAnsi="Verdana"/>
          <w:color w:val="000000"/>
          <w:sz w:val="21"/>
          <w:szCs w:val="21"/>
        </w:rPr>
        <w:t xml:space="preserve"> </w:t>
      </w:r>
    </w:p>
    <w:p w14:paraId="4B8B16DB" w14:textId="1651EF9B" w:rsidR="00DF1B13" w:rsidRDefault="00DF1B13"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No new ETFs have been issued by 1nvest to date in 2023. </w:t>
      </w:r>
    </w:p>
    <w:p w14:paraId="72C6EAE4" w14:textId="599769D5" w:rsidR="00ED466E" w:rsidRDefault="00DF1B13" w:rsidP="00692911">
      <w:pPr>
        <w:spacing w:before="200" w:after="40" w:line="320" w:lineRule="atLeast"/>
        <w:jc w:val="both"/>
        <w:rPr>
          <w:rFonts w:ascii="Verdana" w:hAnsi="Verdana"/>
          <w:color w:val="000000"/>
          <w:sz w:val="21"/>
          <w:szCs w:val="21"/>
        </w:rPr>
      </w:pPr>
      <w:r>
        <w:rPr>
          <w:rFonts w:ascii="Verdana" w:hAnsi="Verdana"/>
          <w:b/>
          <w:bCs/>
          <w:color w:val="C00000"/>
          <w:sz w:val="21"/>
          <w:szCs w:val="21"/>
        </w:rPr>
        <w:t>CoreShares/10X</w:t>
      </w:r>
      <w:r w:rsidR="00043FCA" w:rsidRPr="006C0C1F">
        <w:rPr>
          <w:rFonts w:ascii="Verdana" w:hAnsi="Verdana"/>
          <w:color w:val="C00000"/>
          <w:sz w:val="21"/>
          <w:szCs w:val="21"/>
        </w:rPr>
        <w:t xml:space="preserve"> </w:t>
      </w:r>
      <w:r w:rsidR="00043FCA" w:rsidRPr="002867E2">
        <w:rPr>
          <w:rFonts w:ascii="Verdana" w:hAnsi="Verdana"/>
          <w:color w:val="000000"/>
          <w:sz w:val="21"/>
          <w:szCs w:val="21"/>
        </w:rPr>
        <w:t>–</w:t>
      </w:r>
      <w:r w:rsidR="007F485E">
        <w:rPr>
          <w:rFonts w:ascii="Verdana" w:hAnsi="Verdana"/>
          <w:color w:val="000000"/>
          <w:sz w:val="21"/>
          <w:szCs w:val="21"/>
        </w:rPr>
        <w:t xml:space="preserve"> </w:t>
      </w:r>
      <w:r w:rsidR="00FE11E3">
        <w:rPr>
          <w:rFonts w:ascii="Verdana" w:hAnsi="Verdana"/>
          <w:color w:val="000000"/>
          <w:sz w:val="21"/>
          <w:szCs w:val="21"/>
        </w:rPr>
        <w:t xml:space="preserve"> </w:t>
      </w:r>
      <w:r>
        <w:rPr>
          <w:rFonts w:ascii="Verdana" w:hAnsi="Verdana"/>
          <w:color w:val="000000"/>
          <w:sz w:val="21"/>
          <w:szCs w:val="21"/>
        </w:rPr>
        <w:t xml:space="preserve">the absorption of the CoreShares ETF business by 10X has created the fourth largest issuing house, based on AUM. </w:t>
      </w:r>
    </w:p>
    <w:p w14:paraId="553CB449" w14:textId="20D9D7DB" w:rsidR="00DF1B13" w:rsidRDefault="00DF1B13" w:rsidP="00692911">
      <w:pPr>
        <w:spacing w:before="120" w:after="40" w:line="320" w:lineRule="atLeast"/>
        <w:jc w:val="both"/>
        <w:rPr>
          <w:rFonts w:ascii="Verdana" w:hAnsi="Verdana"/>
          <w:color w:val="000000"/>
          <w:sz w:val="21"/>
          <w:szCs w:val="21"/>
        </w:rPr>
      </w:pPr>
      <w:r>
        <w:rPr>
          <w:rFonts w:ascii="Verdana" w:hAnsi="Verdana"/>
          <w:color w:val="000000"/>
          <w:sz w:val="21"/>
          <w:szCs w:val="21"/>
        </w:rPr>
        <w:t>This house has been the most active issuer of ET</w:t>
      </w:r>
      <w:r w:rsidR="00D166DE">
        <w:rPr>
          <w:rFonts w:ascii="Verdana" w:hAnsi="Verdana"/>
          <w:color w:val="000000"/>
          <w:sz w:val="21"/>
          <w:szCs w:val="21"/>
        </w:rPr>
        <w:t xml:space="preserve">P products in </w:t>
      </w:r>
      <w:r>
        <w:rPr>
          <w:rFonts w:ascii="Verdana" w:hAnsi="Verdana"/>
          <w:color w:val="000000"/>
          <w:sz w:val="21"/>
          <w:szCs w:val="21"/>
        </w:rPr>
        <w:t xml:space="preserve">2023, including 3 new ETFs and 2 AMETFs </w:t>
      </w:r>
      <w:r w:rsidR="00D166DE">
        <w:rPr>
          <w:rFonts w:ascii="Verdana" w:hAnsi="Verdana"/>
          <w:color w:val="000000"/>
          <w:sz w:val="21"/>
          <w:szCs w:val="21"/>
        </w:rPr>
        <w:t xml:space="preserve">listed </w:t>
      </w:r>
      <w:r>
        <w:rPr>
          <w:rFonts w:ascii="Verdana" w:hAnsi="Verdana"/>
          <w:color w:val="000000"/>
          <w:sz w:val="21"/>
          <w:szCs w:val="21"/>
        </w:rPr>
        <w:t>during the course of this year.  Th</w:t>
      </w:r>
      <w:r w:rsidR="00D166DE">
        <w:rPr>
          <w:rFonts w:ascii="Verdana" w:hAnsi="Verdana"/>
          <w:color w:val="000000"/>
          <w:sz w:val="21"/>
          <w:szCs w:val="21"/>
        </w:rPr>
        <w:t xml:space="preserve">ree </w:t>
      </w:r>
      <w:r>
        <w:rPr>
          <w:rFonts w:ascii="Verdana" w:hAnsi="Verdana"/>
          <w:color w:val="000000"/>
          <w:sz w:val="21"/>
          <w:szCs w:val="21"/>
        </w:rPr>
        <w:t>new ETFs, two of which track the JSE Top 20 and Next 40 indices, appear to have been issued to meet the specific investment re</w:t>
      </w:r>
      <w:r w:rsidR="0099591D">
        <w:rPr>
          <w:rFonts w:ascii="Verdana" w:hAnsi="Verdana"/>
          <w:color w:val="000000"/>
          <w:sz w:val="21"/>
          <w:szCs w:val="21"/>
        </w:rPr>
        <w:t>qu</w:t>
      </w:r>
      <w:r>
        <w:rPr>
          <w:rFonts w:ascii="Verdana" w:hAnsi="Verdana"/>
          <w:color w:val="000000"/>
          <w:sz w:val="21"/>
          <w:szCs w:val="21"/>
        </w:rPr>
        <w:t>irement</w:t>
      </w:r>
      <w:r w:rsidR="00D166DE">
        <w:rPr>
          <w:rFonts w:ascii="Verdana" w:hAnsi="Verdana"/>
          <w:color w:val="000000"/>
          <w:sz w:val="21"/>
          <w:szCs w:val="21"/>
        </w:rPr>
        <w:t>s</w:t>
      </w:r>
      <w:r>
        <w:rPr>
          <w:rFonts w:ascii="Verdana" w:hAnsi="Verdana"/>
          <w:color w:val="000000"/>
          <w:sz w:val="21"/>
          <w:szCs w:val="21"/>
        </w:rPr>
        <w:t xml:space="preserve"> of Old Mutual. </w:t>
      </w:r>
    </w:p>
    <w:p w14:paraId="107C7086" w14:textId="482838C1" w:rsidR="00DF1B13" w:rsidRDefault="00DF1B13"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CoreShares/10X was the first issuer to introduce </w:t>
      </w:r>
      <w:r w:rsidR="00D166DE">
        <w:rPr>
          <w:rFonts w:ascii="Verdana" w:hAnsi="Verdana"/>
          <w:color w:val="000000"/>
          <w:sz w:val="21"/>
          <w:szCs w:val="21"/>
        </w:rPr>
        <w:t xml:space="preserve">an </w:t>
      </w:r>
      <w:r>
        <w:rPr>
          <w:rFonts w:ascii="Verdana" w:hAnsi="Verdana"/>
          <w:color w:val="000000"/>
          <w:sz w:val="21"/>
          <w:szCs w:val="21"/>
        </w:rPr>
        <w:t>actively managed ETF to the South African market.  The two such products it has listed t</w:t>
      </w:r>
      <w:r w:rsidR="00D166DE">
        <w:rPr>
          <w:rFonts w:ascii="Verdana" w:hAnsi="Verdana"/>
          <w:color w:val="000000"/>
          <w:sz w:val="21"/>
          <w:szCs w:val="21"/>
        </w:rPr>
        <w:t>o</w:t>
      </w:r>
      <w:r>
        <w:rPr>
          <w:rFonts w:ascii="Verdana" w:hAnsi="Verdana"/>
          <w:color w:val="000000"/>
          <w:sz w:val="21"/>
          <w:szCs w:val="21"/>
        </w:rPr>
        <w:t xml:space="preserve"> date this year, are the CoreShares/10X Income AMETF, which is an income find, made up </w:t>
      </w:r>
      <w:r w:rsidR="00D166DE">
        <w:rPr>
          <w:rFonts w:ascii="Verdana" w:hAnsi="Verdana"/>
          <w:color w:val="000000"/>
          <w:sz w:val="21"/>
          <w:szCs w:val="21"/>
        </w:rPr>
        <w:t>o</w:t>
      </w:r>
      <w:r>
        <w:rPr>
          <w:rFonts w:ascii="Verdana" w:hAnsi="Verdana"/>
          <w:color w:val="000000"/>
          <w:sz w:val="21"/>
          <w:szCs w:val="21"/>
        </w:rPr>
        <w:t xml:space="preserve">f fixed interest and inflation-linked bonds, both locally and globally as well as private credit and other income bearing </w:t>
      </w:r>
      <w:r w:rsidR="0099591D">
        <w:rPr>
          <w:rFonts w:ascii="Verdana" w:hAnsi="Verdana"/>
          <w:color w:val="000000"/>
          <w:sz w:val="21"/>
          <w:szCs w:val="21"/>
        </w:rPr>
        <w:t>instruments</w:t>
      </w:r>
      <w:r>
        <w:rPr>
          <w:rFonts w:ascii="Verdana" w:hAnsi="Verdana"/>
          <w:color w:val="000000"/>
          <w:sz w:val="21"/>
          <w:szCs w:val="21"/>
        </w:rPr>
        <w:t>.  The other product is the All Asia AMETF, which actively manages a basket</w:t>
      </w:r>
      <w:r w:rsidR="000E7CE2">
        <w:rPr>
          <w:rFonts w:ascii="Verdana" w:hAnsi="Verdana"/>
          <w:color w:val="000000"/>
          <w:sz w:val="21"/>
          <w:szCs w:val="21"/>
        </w:rPr>
        <w:t xml:space="preserve"> of shares listed on the Asian stockmarkets, plus Australia and New Zealand, but excluding Japan, to provide Asia Pacific coverage.  Both of these products have raised some R700 million in new capital during their short existence. </w:t>
      </w:r>
    </w:p>
    <w:p w14:paraId="0D33E3DB" w14:textId="52C5B757" w:rsidR="000E7CE2" w:rsidRDefault="000E7CE2" w:rsidP="00692911">
      <w:pPr>
        <w:spacing w:before="200" w:after="40" w:line="320" w:lineRule="atLeast"/>
        <w:jc w:val="both"/>
        <w:rPr>
          <w:rFonts w:ascii="Verdana" w:hAnsi="Verdana"/>
          <w:color w:val="000000"/>
          <w:sz w:val="21"/>
          <w:szCs w:val="21"/>
        </w:rPr>
      </w:pPr>
      <w:r>
        <w:rPr>
          <w:rFonts w:ascii="Verdana" w:hAnsi="Verdana"/>
          <w:b/>
          <w:bCs/>
          <w:color w:val="C00000"/>
          <w:sz w:val="21"/>
          <w:szCs w:val="21"/>
        </w:rPr>
        <w:t>Union Bank of Switzerland (UBS)</w:t>
      </w:r>
      <w:r w:rsidRPr="006C0C1F">
        <w:rPr>
          <w:rFonts w:ascii="Verdana" w:hAnsi="Verdana"/>
          <w:color w:val="C00000"/>
          <w:sz w:val="21"/>
          <w:szCs w:val="21"/>
        </w:rPr>
        <w:t xml:space="preserve"> </w:t>
      </w:r>
      <w:r>
        <w:rPr>
          <w:rFonts w:ascii="Verdana" w:hAnsi="Verdana"/>
          <w:color w:val="000000"/>
          <w:sz w:val="21"/>
          <w:szCs w:val="21"/>
        </w:rPr>
        <w:t xml:space="preserve">– UBS have been very active in using their balance sheet to support the listings of Exchange traded Notes (ETNs) on the JSE, where the creditworthiness of the issuer is of </w:t>
      </w:r>
      <w:r w:rsidR="000734C3">
        <w:rPr>
          <w:rFonts w:ascii="Verdana" w:hAnsi="Verdana"/>
          <w:color w:val="000000"/>
          <w:sz w:val="21"/>
          <w:szCs w:val="21"/>
        </w:rPr>
        <w:t>c</w:t>
      </w:r>
      <w:r>
        <w:rPr>
          <w:rFonts w:ascii="Verdana" w:hAnsi="Verdana"/>
          <w:color w:val="000000"/>
          <w:sz w:val="21"/>
          <w:szCs w:val="21"/>
        </w:rPr>
        <w:t xml:space="preserve">ritical concern to the investor. </w:t>
      </w:r>
    </w:p>
    <w:p w14:paraId="1AB8FEA9" w14:textId="2FF0F697" w:rsidR="000E7CE2" w:rsidRDefault="000E7CE2" w:rsidP="00692911">
      <w:pPr>
        <w:spacing w:before="120" w:after="40" w:line="320" w:lineRule="atLeast"/>
        <w:jc w:val="both"/>
        <w:rPr>
          <w:rFonts w:ascii="Verdana" w:hAnsi="Verdana"/>
          <w:color w:val="000000"/>
          <w:sz w:val="21"/>
          <w:szCs w:val="21"/>
        </w:rPr>
      </w:pPr>
      <w:r>
        <w:rPr>
          <w:rFonts w:ascii="Verdana" w:hAnsi="Verdana"/>
          <w:color w:val="000000"/>
          <w:sz w:val="21"/>
          <w:szCs w:val="21"/>
        </w:rPr>
        <w:t>UBS now have 22 “themed” index tracking ET</w:t>
      </w:r>
      <w:r w:rsidR="00D166DE">
        <w:rPr>
          <w:rFonts w:ascii="Verdana" w:hAnsi="Verdana"/>
          <w:color w:val="000000"/>
          <w:sz w:val="21"/>
          <w:szCs w:val="21"/>
        </w:rPr>
        <w:t>P</w:t>
      </w:r>
      <w:r>
        <w:rPr>
          <w:rFonts w:ascii="Verdana" w:hAnsi="Verdana"/>
          <w:color w:val="000000"/>
          <w:sz w:val="21"/>
          <w:szCs w:val="21"/>
        </w:rPr>
        <w:t xml:space="preserve">s which track global indices, many of them offering unique exposure to </w:t>
      </w:r>
      <w:r w:rsidR="000734C3">
        <w:rPr>
          <w:rFonts w:ascii="Verdana" w:hAnsi="Verdana"/>
          <w:color w:val="000000"/>
          <w:sz w:val="21"/>
          <w:szCs w:val="21"/>
        </w:rPr>
        <w:t xml:space="preserve">unique themes or </w:t>
      </w:r>
      <w:r w:rsidR="00D166DE">
        <w:rPr>
          <w:rFonts w:ascii="Verdana" w:hAnsi="Verdana"/>
          <w:color w:val="000000"/>
          <w:sz w:val="21"/>
          <w:szCs w:val="21"/>
        </w:rPr>
        <w:t>sectors</w:t>
      </w:r>
      <w:r w:rsidR="000734C3">
        <w:rPr>
          <w:rFonts w:ascii="Verdana" w:hAnsi="Verdana"/>
          <w:color w:val="000000"/>
          <w:sz w:val="21"/>
          <w:szCs w:val="21"/>
        </w:rPr>
        <w:t xml:space="preserve">, not available elsewhere in the South African market.  During 2023, UBS has boosted its </w:t>
      </w:r>
      <w:r w:rsidR="00D166DE">
        <w:rPr>
          <w:rFonts w:ascii="Verdana" w:hAnsi="Verdana"/>
          <w:color w:val="000000"/>
          <w:sz w:val="21"/>
          <w:szCs w:val="21"/>
        </w:rPr>
        <w:t>range</w:t>
      </w:r>
      <w:r w:rsidR="000734C3">
        <w:rPr>
          <w:rFonts w:ascii="Verdana" w:hAnsi="Verdana"/>
          <w:color w:val="000000"/>
          <w:sz w:val="21"/>
          <w:szCs w:val="21"/>
        </w:rPr>
        <w:t xml:space="preserve"> by listing new ETNs tracking such themes as global Biotechnology companies, global L</w:t>
      </w:r>
      <w:r w:rsidR="00D166DE">
        <w:rPr>
          <w:rFonts w:ascii="Verdana" w:hAnsi="Verdana"/>
          <w:color w:val="000000"/>
          <w:sz w:val="21"/>
          <w:szCs w:val="21"/>
        </w:rPr>
        <w:t xml:space="preserve">uxury Goods </w:t>
      </w:r>
      <w:r w:rsidR="000734C3">
        <w:rPr>
          <w:rFonts w:ascii="Verdana" w:hAnsi="Verdana"/>
          <w:color w:val="000000"/>
          <w:sz w:val="21"/>
          <w:szCs w:val="21"/>
        </w:rPr>
        <w:t xml:space="preserve">companies, </w:t>
      </w:r>
      <w:r w:rsidR="00D166DE">
        <w:rPr>
          <w:rFonts w:ascii="Verdana" w:hAnsi="Verdana"/>
          <w:color w:val="000000"/>
          <w:sz w:val="21"/>
          <w:szCs w:val="21"/>
        </w:rPr>
        <w:t>O</w:t>
      </w:r>
      <w:r w:rsidR="000734C3">
        <w:rPr>
          <w:rFonts w:ascii="Verdana" w:hAnsi="Verdana"/>
          <w:color w:val="000000"/>
          <w:sz w:val="21"/>
          <w:szCs w:val="21"/>
        </w:rPr>
        <w:t xml:space="preserve">il and </w:t>
      </w:r>
      <w:r w:rsidR="00D166DE">
        <w:rPr>
          <w:rFonts w:ascii="Verdana" w:hAnsi="Verdana"/>
          <w:color w:val="000000"/>
          <w:sz w:val="21"/>
          <w:szCs w:val="21"/>
        </w:rPr>
        <w:t>G</w:t>
      </w:r>
      <w:r w:rsidR="000734C3">
        <w:rPr>
          <w:rFonts w:ascii="Verdana" w:hAnsi="Verdana"/>
          <w:color w:val="000000"/>
          <w:sz w:val="21"/>
          <w:szCs w:val="21"/>
        </w:rPr>
        <w:t xml:space="preserve">as companies, companies involved in the Space and Aerospace industry and </w:t>
      </w:r>
      <w:r w:rsidR="00D166DE">
        <w:rPr>
          <w:rFonts w:ascii="Verdana" w:hAnsi="Verdana"/>
          <w:color w:val="000000"/>
          <w:sz w:val="21"/>
          <w:szCs w:val="21"/>
        </w:rPr>
        <w:t>a</w:t>
      </w:r>
      <w:r w:rsidR="000734C3">
        <w:rPr>
          <w:rFonts w:ascii="Verdana" w:hAnsi="Verdana"/>
          <w:color w:val="000000"/>
          <w:sz w:val="21"/>
          <w:szCs w:val="21"/>
        </w:rPr>
        <w:t xml:space="preserve"> </w:t>
      </w:r>
      <w:r w:rsidR="00431322">
        <w:rPr>
          <w:rFonts w:ascii="Verdana" w:hAnsi="Verdana"/>
          <w:color w:val="000000"/>
          <w:sz w:val="21"/>
          <w:szCs w:val="21"/>
        </w:rPr>
        <w:t>M</w:t>
      </w:r>
      <w:r w:rsidR="00D166DE">
        <w:rPr>
          <w:rFonts w:ascii="Verdana" w:hAnsi="Verdana"/>
          <w:color w:val="000000"/>
          <w:sz w:val="21"/>
          <w:szCs w:val="21"/>
        </w:rPr>
        <w:t>etaverse ETN.</w:t>
      </w:r>
      <w:r w:rsidR="00431322">
        <w:rPr>
          <w:rFonts w:ascii="Verdana" w:hAnsi="Verdana"/>
          <w:color w:val="000000"/>
          <w:sz w:val="21"/>
          <w:szCs w:val="21"/>
        </w:rPr>
        <w:t xml:space="preserve">  A total amount of R616 million is invested in these index tracking ETNs.  </w:t>
      </w:r>
    </w:p>
    <w:p w14:paraId="7529C340" w14:textId="0A0673A8" w:rsidR="00431322" w:rsidRDefault="00431322" w:rsidP="00692911">
      <w:pPr>
        <w:spacing w:before="120" w:after="40" w:line="320" w:lineRule="atLeast"/>
        <w:jc w:val="both"/>
        <w:rPr>
          <w:rFonts w:ascii="Verdana" w:hAnsi="Verdana"/>
          <w:color w:val="000000"/>
          <w:sz w:val="21"/>
          <w:szCs w:val="21"/>
        </w:rPr>
      </w:pPr>
      <w:r>
        <w:rPr>
          <w:rFonts w:ascii="Verdana" w:hAnsi="Verdana"/>
          <w:color w:val="000000"/>
          <w:sz w:val="21"/>
          <w:szCs w:val="21"/>
        </w:rPr>
        <w:t xml:space="preserve">UBS has also been a pioneer in the development of the Actively Managed Certificate (AMC) market in South Africa.  They converted 19 of the actively managed ETNs they were operating, to AMCs, when the JSE published its new listing requirements for such products.  This helped kick-start the AMC business and acceptability in the local market.  Since then, UBS have listed a further 13 AMCs in 2023 to date.  These actively managed portfolios have been listed, through the UBS platform and structure, by 20 different asset managers, both local and global. </w:t>
      </w:r>
    </w:p>
    <w:p w14:paraId="0A142592" w14:textId="4B3301A9" w:rsidR="00431322" w:rsidRDefault="00431322" w:rsidP="00692911">
      <w:pPr>
        <w:spacing w:before="120" w:after="40" w:line="320" w:lineRule="atLeast"/>
        <w:jc w:val="both"/>
        <w:rPr>
          <w:rFonts w:ascii="Verdana" w:hAnsi="Verdana"/>
          <w:color w:val="000000"/>
          <w:sz w:val="21"/>
          <w:szCs w:val="21"/>
        </w:rPr>
      </w:pPr>
      <w:r>
        <w:rPr>
          <w:rFonts w:ascii="Verdana" w:hAnsi="Verdana"/>
          <w:color w:val="000000"/>
          <w:sz w:val="21"/>
          <w:szCs w:val="21"/>
        </w:rPr>
        <w:t>At the end of September 2023, R8</w:t>
      </w:r>
      <w:r w:rsidR="00154CA3">
        <w:rPr>
          <w:rFonts w:ascii="Verdana" w:hAnsi="Verdana"/>
          <w:color w:val="000000"/>
          <w:sz w:val="21"/>
          <w:szCs w:val="21"/>
        </w:rPr>
        <w:t> </w:t>
      </w:r>
      <w:r>
        <w:rPr>
          <w:rFonts w:ascii="Verdana" w:hAnsi="Verdana"/>
          <w:color w:val="000000"/>
          <w:sz w:val="21"/>
          <w:szCs w:val="21"/>
        </w:rPr>
        <w:t>279</w:t>
      </w:r>
      <w:r w:rsidR="00154CA3">
        <w:rPr>
          <w:rFonts w:ascii="Verdana" w:hAnsi="Verdana"/>
          <w:color w:val="000000"/>
          <w:sz w:val="21"/>
          <w:szCs w:val="21"/>
        </w:rPr>
        <w:t xml:space="preserve"> million was invested in these UBS AMCs, with R1 973,6 million new capital raised on the JSE in 2</w:t>
      </w:r>
      <w:r w:rsidR="00D166DE">
        <w:rPr>
          <w:rFonts w:ascii="Verdana" w:hAnsi="Verdana"/>
          <w:color w:val="000000"/>
          <w:sz w:val="21"/>
          <w:szCs w:val="21"/>
        </w:rPr>
        <w:t>0</w:t>
      </w:r>
      <w:r w:rsidR="00154CA3">
        <w:rPr>
          <w:rFonts w:ascii="Verdana" w:hAnsi="Verdana"/>
          <w:color w:val="000000"/>
          <w:sz w:val="21"/>
          <w:szCs w:val="21"/>
        </w:rPr>
        <w:t xml:space="preserve">23 for such products. </w:t>
      </w:r>
    </w:p>
    <w:p w14:paraId="4B4DE33A" w14:textId="71FF18DC" w:rsidR="000E7CE2" w:rsidRDefault="00154CA3" w:rsidP="002A0846">
      <w:pPr>
        <w:spacing w:before="160" w:after="40" w:line="320" w:lineRule="atLeast"/>
        <w:jc w:val="both"/>
        <w:rPr>
          <w:rFonts w:ascii="Verdana" w:hAnsi="Verdana"/>
          <w:color w:val="000000"/>
          <w:sz w:val="21"/>
          <w:szCs w:val="21"/>
        </w:rPr>
      </w:pPr>
      <w:r>
        <w:rPr>
          <w:rFonts w:ascii="Verdana" w:hAnsi="Verdana"/>
          <w:b/>
          <w:bCs/>
          <w:color w:val="C00000"/>
          <w:sz w:val="21"/>
          <w:szCs w:val="21"/>
        </w:rPr>
        <w:t>Standard Bank</w:t>
      </w:r>
      <w:r w:rsidR="000E7CE2" w:rsidRPr="006C0C1F">
        <w:rPr>
          <w:rFonts w:ascii="Verdana" w:hAnsi="Verdana"/>
          <w:color w:val="C00000"/>
          <w:sz w:val="21"/>
          <w:szCs w:val="21"/>
        </w:rPr>
        <w:t xml:space="preserve"> </w:t>
      </w:r>
      <w:r w:rsidR="000E7CE2">
        <w:rPr>
          <w:rFonts w:ascii="Verdana" w:hAnsi="Verdana"/>
          <w:color w:val="000000"/>
          <w:sz w:val="21"/>
          <w:szCs w:val="21"/>
        </w:rPr>
        <w:t xml:space="preserve">– </w:t>
      </w:r>
      <w:r w:rsidR="001A5982">
        <w:rPr>
          <w:rFonts w:ascii="Verdana" w:hAnsi="Verdana"/>
          <w:color w:val="000000"/>
          <w:sz w:val="21"/>
          <w:szCs w:val="21"/>
        </w:rPr>
        <w:t>Standard Bank, which has been an issuer of ETNs, under its own brand, for the past number of years, also embraced the opportunities offered by AMCs.  By lending its balance sheet to extend the creditworthiness of such notes, Standard Bank has now listed a total 11 AMCs to da</w:t>
      </w:r>
      <w:r w:rsidR="009C65B3">
        <w:rPr>
          <w:rFonts w:ascii="Verdana" w:hAnsi="Verdana"/>
          <w:color w:val="000000"/>
          <w:sz w:val="21"/>
          <w:szCs w:val="21"/>
        </w:rPr>
        <w:t>te</w:t>
      </w:r>
      <w:r w:rsidR="001A5982">
        <w:rPr>
          <w:rFonts w:ascii="Verdana" w:hAnsi="Verdana"/>
          <w:color w:val="000000"/>
          <w:sz w:val="21"/>
          <w:szCs w:val="21"/>
        </w:rPr>
        <w:t>.  Eight different local asset managers have used this mechanism to “white label” their p</w:t>
      </w:r>
      <w:r w:rsidR="00BF47E2">
        <w:rPr>
          <w:rFonts w:ascii="Verdana" w:hAnsi="Verdana"/>
          <w:color w:val="000000"/>
          <w:sz w:val="21"/>
          <w:szCs w:val="21"/>
        </w:rPr>
        <w:t xml:space="preserve">ortfolios for listing on the JSE.  R850 million new capital was raised by Standard Bank backed AMCs in the first nine months of 2023. </w:t>
      </w:r>
    </w:p>
    <w:p w14:paraId="46E363F1" w14:textId="1C7DFFC7" w:rsidR="00D166DE" w:rsidRDefault="00D166DE">
      <w:pPr>
        <w:rPr>
          <w:rFonts w:ascii="Verdana" w:hAnsi="Verdana"/>
          <w:color w:val="000000"/>
          <w:sz w:val="21"/>
          <w:szCs w:val="21"/>
        </w:rPr>
      </w:pPr>
      <w:r>
        <w:rPr>
          <w:rFonts w:ascii="Verdana" w:hAnsi="Verdana"/>
          <w:color w:val="000000"/>
          <w:sz w:val="21"/>
          <w:szCs w:val="21"/>
        </w:rPr>
        <w:br w:type="page"/>
      </w:r>
    </w:p>
    <w:p w14:paraId="4FFE7C44" w14:textId="76B0465C" w:rsidR="000E7CE2" w:rsidRDefault="000E7CE2" w:rsidP="002A0846">
      <w:pPr>
        <w:spacing w:before="200" w:after="40" w:line="320" w:lineRule="atLeast"/>
        <w:jc w:val="both"/>
        <w:rPr>
          <w:rFonts w:ascii="Verdana" w:hAnsi="Verdana"/>
          <w:color w:val="000000"/>
          <w:sz w:val="21"/>
          <w:szCs w:val="21"/>
        </w:rPr>
      </w:pPr>
      <w:r>
        <w:rPr>
          <w:rFonts w:ascii="Verdana" w:hAnsi="Verdana"/>
          <w:b/>
          <w:bCs/>
          <w:color w:val="C00000"/>
          <w:sz w:val="21"/>
          <w:szCs w:val="21"/>
        </w:rPr>
        <w:lastRenderedPageBreak/>
        <w:t>Prescient Management Company</w:t>
      </w:r>
      <w:r w:rsidRPr="006C0C1F">
        <w:rPr>
          <w:rFonts w:ascii="Verdana" w:hAnsi="Verdana"/>
          <w:color w:val="C00000"/>
          <w:sz w:val="21"/>
          <w:szCs w:val="21"/>
        </w:rPr>
        <w:t xml:space="preserve"> </w:t>
      </w:r>
      <w:r>
        <w:rPr>
          <w:rFonts w:ascii="Verdana" w:hAnsi="Verdana"/>
          <w:color w:val="000000"/>
          <w:sz w:val="21"/>
          <w:szCs w:val="21"/>
        </w:rPr>
        <w:t xml:space="preserve">– </w:t>
      </w:r>
      <w:r w:rsidR="00BF47E2">
        <w:rPr>
          <w:rFonts w:ascii="Verdana" w:hAnsi="Verdana"/>
          <w:color w:val="000000"/>
          <w:sz w:val="21"/>
          <w:szCs w:val="21"/>
        </w:rPr>
        <w:t xml:space="preserve">Prescient are a new addition to the issuing houses for ETPs in South Africa.  They have developed a platform to facilitate the pre-listing process for such </w:t>
      </w:r>
      <w:r w:rsidR="009B7B7F">
        <w:rPr>
          <w:rFonts w:ascii="Verdana" w:hAnsi="Verdana"/>
          <w:color w:val="000000"/>
          <w:sz w:val="21"/>
          <w:szCs w:val="21"/>
        </w:rPr>
        <w:t>products</w:t>
      </w:r>
      <w:r w:rsidR="00BF47E2">
        <w:rPr>
          <w:rFonts w:ascii="Verdana" w:hAnsi="Verdana"/>
          <w:color w:val="000000"/>
          <w:sz w:val="21"/>
          <w:szCs w:val="21"/>
        </w:rPr>
        <w:t xml:space="preserve">, as well as the post-listing </w:t>
      </w:r>
      <w:r w:rsidR="002A0846">
        <w:rPr>
          <w:rFonts w:ascii="Verdana" w:hAnsi="Verdana"/>
          <w:color w:val="000000"/>
          <w:sz w:val="21"/>
          <w:szCs w:val="21"/>
        </w:rPr>
        <w:t>administration</w:t>
      </w:r>
      <w:r w:rsidR="00BF47E2">
        <w:rPr>
          <w:rFonts w:ascii="Verdana" w:hAnsi="Verdana"/>
          <w:color w:val="000000"/>
          <w:sz w:val="21"/>
          <w:szCs w:val="21"/>
        </w:rPr>
        <w:t xml:space="preserve">. </w:t>
      </w:r>
    </w:p>
    <w:p w14:paraId="70F22A2C" w14:textId="178C0003" w:rsidR="000E7CE2" w:rsidRDefault="00BF47E2" w:rsidP="002A0846">
      <w:pPr>
        <w:spacing w:before="120" w:after="40" w:line="320" w:lineRule="atLeast"/>
        <w:jc w:val="both"/>
        <w:rPr>
          <w:rFonts w:ascii="Verdana" w:hAnsi="Verdana"/>
          <w:color w:val="000000"/>
          <w:sz w:val="21"/>
          <w:szCs w:val="21"/>
        </w:rPr>
      </w:pPr>
      <w:r>
        <w:rPr>
          <w:rFonts w:ascii="Verdana" w:hAnsi="Verdana"/>
          <w:color w:val="000000"/>
          <w:sz w:val="21"/>
          <w:szCs w:val="21"/>
        </w:rPr>
        <w:t xml:space="preserve">To date, the </w:t>
      </w:r>
      <w:r w:rsidR="009B7B7F">
        <w:rPr>
          <w:rFonts w:ascii="Verdana" w:hAnsi="Verdana"/>
          <w:color w:val="000000"/>
          <w:sz w:val="21"/>
          <w:szCs w:val="21"/>
        </w:rPr>
        <w:t>Prescient structure has been used to list two global property index tracking ETFs and, very recently, an actively managed ETF, which also focusses on global property</w:t>
      </w:r>
      <w:r w:rsidR="002A0846">
        <w:rPr>
          <w:rFonts w:ascii="Verdana" w:hAnsi="Verdana"/>
          <w:color w:val="000000"/>
          <w:sz w:val="21"/>
          <w:szCs w:val="21"/>
        </w:rPr>
        <w:t>, was listed</w:t>
      </w:r>
      <w:r w:rsidR="009B7B7F">
        <w:rPr>
          <w:rFonts w:ascii="Verdana" w:hAnsi="Verdana"/>
          <w:color w:val="000000"/>
          <w:sz w:val="21"/>
          <w:szCs w:val="21"/>
        </w:rPr>
        <w:t xml:space="preserve">.  The asset manager for all these products is Reitway Global (Pty) Ltd, a Cape-based financial services provider.  </w:t>
      </w:r>
    </w:p>
    <w:p w14:paraId="665C5A2D" w14:textId="3F82DA2E" w:rsidR="001A0C85" w:rsidRDefault="001A0C85" w:rsidP="002A0846">
      <w:pPr>
        <w:spacing w:before="200" w:after="40" w:line="320" w:lineRule="atLeast"/>
        <w:jc w:val="both"/>
        <w:rPr>
          <w:rFonts w:ascii="Verdana" w:hAnsi="Verdana"/>
          <w:color w:val="000000"/>
          <w:sz w:val="21"/>
          <w:szCs w:val="21"/>
        </w:rPr>
      </w:pPr>
      <w:r>
        <w:rPr>
          <w:rFonts w:ascii="Verdana" w:hAnsi="Verdana"/>
          <w:b/>
          <w:bCs/>
          <w:color w:val="C00000"/>
          <w:sz w:val="21"/>
          <w:szCs w:val="21"/>
        </w:rPr>
        <w:t>Easy Equities</w:t>
      </w:r>
      <w:r w:rsidRPr="006C0C1F">
        <w:rPr>
          <w:rFonts w:ascii="Verdana" w:hAnsi="Verdana"/>
          <w:color w:val="C00000"/>
          <w:sz w:val="21"/>
          <w:szCs w:val="21"/>
        </w:rPr>
        <w:t xml:space="preserve"> </w:t>
      </w:r>
      <w:r>
        <w:rPr>
          <w:rFonts w:ascii="Verdana" w:hAnsi="Verdana"/>
          <w:color w:val="000000"/>
          <w:sz w:val="21"/>
          <w:szCs w:val="21"/>
        </w:rPr>
        <w:t xml:space="preserve">–First World Tracker (Pty) Ltd T/A Easy Equities, has purchased 100% ownership of Cloud Atlas, who has been issuing ETFs on the JSE since 2017.  Cloud Atlas had listed two ETFs tracking African equities and bonds respectively, neither of which have gained any traction in the market.  Easy Equities have announced that they intend delisting these two products, which had a combined market capitalisation of some R6 million, as they are not economically viable.  They are currently suspended on the JSE. </w:t>
      </w:r>
    </w:p>
    <w:p w14:paraId="0ED08157" w14:textId="1473E6D3" w:rsidR="00580F19" w:rsidRDefault="006A3FC7" w:rsidP="002A0846">
      <w:pPr>
        <w:spacing w:before="120" w:after="40" w:line="320" w:lineRule="atLeast"/>
        <w:jc w:val="both"/>
        <w:rPr>
          <w:rFonts w:ascii="Verdana" w:hAnsi="Verdana"/>
          <w:color w:val="000000"/>
          <w:sz w:val="21"/>
          <w:szCs w:val="21"/>
        </w:rPr>
      </w:pPr>
      <w:r>
        <w:rPr>
          <w:rFonts w:ascii="Verdana" w:hAnsi="Verdana"/>
          <w:color w:val="000000"/>
          <w:sz w:val="21"/>
          <w:szCs w:val="21"/>
        </w:rPr>
        <w:t xml:space="preserve">Easy </w:t>
      </w:r>
      <w:r w:rsidR="0099591D">
        <w:rPr>
          <w:rFonts w:ascii="Verdana" w:hAnsi="Verdana"/>
          <w:color w:val="000000"/>
          <w:sz w:val="21"/>
          <w:szCs w:val="21"/>
        </w:rPr>
        <w:t>Equities</w:t>
      </w:r>
      <w:r>
        <w:rPr>
          <w:rFonts w:ascii="Verdana" w:hAnsi="Verdana"/>
          <w:color w:val="000000"/>
          <w:sz w:val="21"/>
          <w:szCs w:val="21"/>
        </w:rPr>
        <w:t xml:space="preserve"> have announced that they intend using the MANCO license, acquired from Cloud Atlas, to list a series of actively managed ETFs and developments in this regard</w:t>
      </w:r>
      <w:r w:rsidR="009C65B3">
        <w:rPr>
          <w:rFonts w:ascii="Verdana" w:hAnsi="Verdana"/>
          <w:color w:val="000000"/>
          <w:sz w:val="21"/>
          <w:szCs w:val="21"/>
        </w:rPr>
        <w:t xml:space="preserve"> a</w:t>
      </w:r>
      <w:r>
        <w:rPr>
          <w:rFonts w:ascii="Verdana" w:hAnsi="Verdana"/>
          <w:color w:val="000000"/>
          <w:sz w:val="21"/>
          <w:szCs w:val="21"/>
        </w:rPr>
        <w:t>re awaited with interest</w:t>
      </w:r>
      <w:r w:rsidR="001A0C85">
        <w:rPr>
          <w:rFonts w:ascii="Verdana" w:hAnsi="Verdana"/>
          <w:color w:val="000000"/>
          <w:sz w:val="21"/>
          <w:szCs w:val="21"/>
        </w:rPr>
        <w:t xml:space="preserve">.  </w:t>
      </w:r>
    </w:p>
    <w:p w14:paraId="655439B6" w14:textId="660D6A7B" w:rsidR="00EE72B6" w:rsidRDefault="00636507" w:rsidP="008E7E18">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7A737B8">
                <wp:simplePos x="0" y="0"/>
                <wp:positionH relativeFrom="column">
                  <wp:posOffset>80010</wp:posOffset>
                </wp:positionH>
                <wp:positionV relativeFrom="paragraph">
                  <wp:posOffset>227965</wp:posOffset>
                </wp:positionV>
                <wp:extent cx="607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06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4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7.95pt" to="48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rnvQEAAN8DAAAOAAAAZHJzL2Uyb0RvYy54bWysU8tu2zAQvBfoPxC815J9cArBcg4OkkvQ&#10;Bn18AE0tLQJ8Ycla8t93Scly0AYFWlQHSkvuzM4OV7v70Rp2Bozau5avVzVn4KTvtDu1/Pu3xw8f&#10;OYtJuE4Y76DlF4j8fv/+3W4IDWx8700HyIjExWYILe9TCk1VRdmDFXHlAzg6VB6tSBTiqepQDMRu&#10;TbWp6201eOwCegkx0u7DdMj3hV8pkOmzUhESMy0nbamsWNZjXqv9TjQnFKHXcpYh/kGFFdpR0YXq&#10;QSTBfqD+jcpqiT56lVbS28orpSWUHqibdf1LN197EaD0QubEsNgU/x+t/HQ+uBckG4YQmxheMHcx&#10;KrT5TfrYWMy6LGbBmJikzW19V29r8lRez6obMGBMT+Atyx8tN9rlPkQjzs8xUTFKvabkbePYQNOz&#10;uSO+HEdvdPeojSkBno4Hg+ws6A4PdX7ytRHFqzSKjKPNWxflK10MTAW+gGK6I93rqUIeMFhohZTg&#10;0nrmNY6yM0yRhAU4S/sTcM7PUCjD9zfgBVEqe5cWsNXO41uy03iVrKb8qwNT39mCo+8u5X6LNTRF&#10;xbl54vOYvo4L/PZf7n8CAAD//wMAUEsDBBQABgAIAAAAIQDACXb22gAAAAgBAAAPAAAAZHJzL2Rv&#10;d25yZXYueG1sTI/dSsQwEIXvBd8hjOCdm7pi6damiwiKsiAYfYBsM7Zdm0lJ0t327R3xQi/PD2e+&#10;qbazG8QRQ+w9KbheZSCQGm97ahV8vD9eFSBiMmTN4AkVLBhhW5+fVaa0/kRveNSpFTxCsTQKupTG&#10;UsrYdOhMXPkRibNPH5xJLEMrbTAnHneDXGdZLp3piS90ZsSHDpsvPTkFhX/RY9jZw/PTTh+WV9LT&#10;bBalLi/m+zsQCef0V4YffEaHmpn2fiIbxcB6nXNTwc3tBgTnm7xgY/9ryLqS/x+ovwEAAP//AwBQ&#10;SwECLQAUAAYACAAAACEAtoM4kv4AAADhAQAAEwAAAAAAAAAAAAAAAAAAAAAAW0NvbnRlbnRfVHlw&#10;ZXNdLnhtbFBLAQItABQABgAIAAAAIQA4/SH/1gAAAJQBAAALAAAAAAAAAAAAAAAAAC8BAABfcmVs&#10;cy8ucmVsc1BLAQItABQABgAIAAAAIQBnQsrnvQEAAN8DAAAOAAAAAAAAAAAAAAAAAC4CAABkcnMv&#10;ZTJvRG9jLnhtbFBLAQItABQABgAIAAAAIQDACXb22gAAAAgBAAAPAAAAAAAAAAAAAAAAABcEAABk&#10;cnMvZG93bnJldi54bWxQSwUGAAAAAAQABADzAAAAHgUAAAAA&#10;" strokecolor="#c00000" strokeweight="1pt">
                <v:stroke joinstyle="miter"/>
              </v:line>
            </w:pict>
          </mc:Fallback>
        </mc:AlternateContent>
      </w:r>
    </w:p>
    <w:p w14:paraId="29BEC766" w14:textId="77777777" w:rsidR="001B5446" w:rsidRDefault="001B5446" w:rsidP="008156F5">
      <w:pPr>
        <w:spacing w:after="0" w:line="280" w:lineRule="atLeast"/>
        <w:jc w:val="center"/>
        <w:rPr>
          <w:rFonts w:ascii="Verdana" w:hAnsi="Verdana"/>
          <w:color w:val="000000"/>
          <w:sz w:val="21"/>
          <w:szCs w:val="21"/>
        </w:rPr>
      </w:pPr>
    </w:p>
    <w:p w14:paraId="3094944C" w14:textId="745B9C1E" w:rsidR="00F13A0B" w:rsidRPr="00602DDF" w:rsidRDefault="00602DDF" w:rsidP="008156F5">
      <w:pPr>
        <w:spacing w:after="0" w:line="28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w:t>
      </w:r>
      <w:r w:rsidR="00FE5D24">
        <w:rPr>
          <w:rFonts w:ascii="Verdana" w:hAnsi="Verdana"/>
          <w:color w:val="000000" w:themeColor="text1"/>
          <w:sz w:val="21"/>
          <w:szCs w:val="21"/>
        </w:rPr>
        <w:t>Product</w:t>
      </w:r>
      <w:r>
        <w:rPr>
          <w:rFonts w:ascii="Verdana" w:hAnsi="Verdana"/>
          <w:color w:val="000000" w:themeColor="text1"/>
          <w:sz w:val="21"/>
          <w:szCs w:val="21"/>
        </w:rPr>
        <w:t xml:space="preserve"> </w:t>
      </w:r>
      <w:r w:rsidR="00FE5D24">
        <w:rPr>
          <w:rFonts w:ascii="Verdana" w:hAnsi="Verdana"/>
          <w:color w:val="000000" w:themeColor="text1"/>
          <w:sz w:val="21"/>
          <w:szCs w:val="21"/>
        </w:rPr>
        <w:t>is</w:t>
      </w:r>
      <w:r>
        <w:rPr>
          <w:rFonts w:ascii="Verdana" w:hAnsi="Verdana"/>
          <w:color w:val="000000" w:themeColor="text1"/>
          <w:sz w:val="21"/>
          <w:szCs w:val="21"/>
        </w:rPr>
        <w:t xml:space="preserv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8156F5">
      <w:pPr>
        <w:spacing w:after="0" w:line="280" w:lineRule="atLeast"/>
        <w:jc w:val="both"/>
        <w:rPr>
          <w:rFonts w:ascii="Verdana" w:hAnsi="Verdana"/>
          <w:sz w:val="21"/>
          <w:szCs w:val="21"/>
        </w:rPr>
      </w:pPr>
    </w:p>
    <w:p w14:paraId="54885B65" w14:textId="53A5121C" w:rsidR="00602DDF" w:rsidRDefault="00602DDF" w:rsidP="008156F5">
      <w:pPr>
        <w:pStyle w:val="ListParagraph"/>
        <w:numPr>
          <w:ilvl w:val="0"/>
          <w:numId w:val="17"/>
        </w:numPr>
        <w:spacing w:after="0" w:line="280" w:lineRule="atLeast"/>
        <w:jc w:val="both"/>
        <w:rPr>
          <w:rFonts w:ascii="Verdana" w:hAnsi="Verdana"/>
          <w:sz w:val="21"/>
          <w:szCs w:val="21"/>
        </w:rPr>
      </w:pPr>
      <w:r>
        <w:rPr>
          <w:rFonts w:ascii="Verdana" w:hAnsi="Verdana"/>
          <w:sz w:val="21"/>
          <w:szCs w:val="21"/>
        </w:rPr>
        <w:t>All South African ETFs</w:t>
      </w:r>
      <w:r w:rsidR="005D7F7B">
        <w:rPr>
          <w:rFonts w:ascii="Verdana" w:hAnsi="Verdana"/>
          <w:sz w:val="21"/>
          <w:szCs w:val="21"/>
        </w:rPr>
        <w:t>,</w:t>
      </w:r>
      <w:r>
        <w:rPr>
          <w:rFonts w:ascii="Verdana" w:hAnsi="Verdana"/>
          <w:sz w:val="21"/>
          <w:szCs w:val="21"/>
        </w:rPr>
        <w:t xml:space="preserve"> ETNs</w:t>
      </w:r>
      <w:r w:rsidR="005D7F7B">
        <w:rPr>
          <w:rFonts w:ascii="Verdana" w:hAnsi="Verdana"/>
          <w:sz w:val="21"/>
          <w:szCs w:val="21"/>
        </w:rPr>
        <w:t xml:space="preserve"> &amp; AMCs</w:t>
      </w:r>
      <w:r>
        <w:rPr>
          <w:rFonts w:ascii="Verdana" w:hAnsi="Verdana"/>
          <w:sz w:val="21"/>
          <w:szCs w:val="21"/>
        </w:rPr>
        <w:t xml:space="preserve"> – Market Capitalisation </w:t>
      </w:r>
      <w:r w:rsidR="00A37F02">
        <w:rPr>
          <w:rFonts w:ascii="Verdana" w:hAnsi="Verdana"/>
          <w:sz w:val="21"/>
          <w:szCs w:val="21"/>
        </w:rPr>
        <w:t>Totals</w:t>
      </w:r>
      <w:r>
        <w:rPr>
          <w:rFonts w:ascii="Verdana" w:hAnsi="Verdana"/>
          <w:sz w:val="21"/>
          <w:szCs w:val="21"/>
        </w:rPr>
        <w:t xml:space="preserve"> – December 20</w:t>
      </w:r>
      <w:r w:rsidR="00580F19">
        <w:rPr>
          <w:rFonts w:ascii="Verdana" w:hAnsi="Verdana"/>
          <w:sz w:val="21"/>
          <w:szCs w:val="21"/>
        </w:rPr>
        <w:t>13</w:t>
      </w:r>
      <w:r>
        <w:rPr>
          <w:rFonts w:ascii="Verdana" w:hAnsi="Verdana"/>
          <w:sz w:val="21"/>
          <w:szCs w:val="21"/>
        </w:rPr>
        <w:t xml:space="preserve"> to </w:t>
      </w:r>
      <w:r w:rsidR="00E61ABF">
        <w:rPr>
          <w:rFonts w:ascii="Verdana" w:hAnsi="Verdana"/>
          <w:sz w:val="21"/>
          <w:szCs w:val="21"/>
        </w:rPr>
        <w:t>September</w:t>
      </w:r>
      <w:r w:rsidR="007D7A8F">
        <w:rPr>
          <w:rFonts w:ascii="Verdana" w:hAnsi="Verdana"/>
          <w:sz w:val="21"/>
          <w:szCs w:val="21"/>
        </w:rPr>
        <w:t xml:space="preserve"> 2023</w:t>
      </w:r>
      <w:r>
        <w:rPr>
          <w:rFonts w:ascii="Verdana" w:hAnsi="Verdana"/>
          <w:sz w:val="21"/>
          <w:szCs w:val="21"/>
        </w:rPr>
        <w:t xml:space="preserve">. </w:t>
      </w:r>
    </w:p>
    <w:p w14:paraId="687B4DFB" w14:textId="77777777" w:rsidR="0025163D" w:rsidRDefault="0025163D" w:rsidP="008156F5">
      <w:pPr>
        <w:pStyle w:val="ListParagraph"/>
        <w:spacing w:after="0" w:line="280" w:lineRule="atLeast"/>
        <w:jc w:val="both"/>
        <w:rPr>
          <w:rFonts w:ascii="Verdana" w:hAnsi="Verdana"/>
          <w:sz w:val="21"/>
          <w:szCs w:val="21"/>
        </w:rPr>
      </w:pPr>
    </w:p>
    <w:p w14:paraId="045E74ED" w14:textId="695B50C0" w:rsidR="00602DDF" w:rsidRPr="00602DDF" w:rsidRDefault="00602DDF" w:rsidP="008156F5">
      <w:pPr>
        <w:pStyle w:val="ListParagraph"/>
        <w:numPr>
          <w:ilvl w:val="0"/>
          <w:numId w:val="17"/>
        </w:numPr>
        <w:spacing w:after="0" w:line="280" w:lineRule="atLeast"/>
        <w:jc w:val="both"/>
        <w:rPr>
          <w:rFonts w:ascii="Verdana" w:hAnsi="Verdana"/>
          <w:sz w:val="21"/>
          <w:szCs w:val="21"/>
        </w:rPr>
      </w:pPr>
      <w:r>
        <w:rPr>
          <w:rFonts w:ascii="Verdana" w:hAnsi="Verdana"/>
          <w:sz w:val="21"/>
          <w:szCs w:val="21"/>
        </w:rPr>
        <w:t>ET</w:t>
      </w:r>
      <w:r w:rsidR="005D7F7B">
        <w:rPr>
          <w:rFonts w:ascii="Verdana" w:hAnsi="Verdana"/>
          <w:sz w:val="21"/>
          <w:szCs w:val="21"/>
        </w:rPr>
        <w:t>P</w:t>
      </w:r>
      <w:r>
        <w:rPr>
          <w:rFonts w:ascii="Verdana" w:hAnsi="Verdana"/>
          <w:sz w:val="21"/>
          <w:szCs w:val="21"/>
        </w:rPr>
        <w:t xml:space="preserve"> survey – Securities in Issue and New Capital Raised/Redeemed (for period ended </w:t>
      </w:r>
      <w:r w:rsidR="00E61ABF">
        <w:rPr>
          <w:rFonts w:ascii="Verdana" w:hAnsi="Verdana"/>
          <w:sz w:val="21"/>
          <w:szCs w:val="21"/>
        </w:rPr>
        <w:t>29</w:t>
      </w:r>
      <w:r>
        <w:rPr>
          <w:rFonts w:ascii="Verdana" w:hAnsi="Verdana"/>
          <w:sz w:val="21"/>
          <w:szCs w:val="21"/>
        </w:rPr>
        <w:t xml:space="preserve"> </w:t>
      </w:r>
      <w:r w:rsidR="00E61ABF">
        <w:rPr>
          <w:rFonts w:ascii="Verdana" w:hAnsi="Verdana"/>
          <w:sz w:val="21"/>
          <w:szCs w:val="21"/>
        </w:rPr>
        <w:t>September</w:t>
      </w:r>
      <w:r>
        <w:rPr>
          <w:rFonts w:ascii="Verdana" w:hAnsi="Verdana"/>
          <w:sz w:val="21"/>
          <w:szCs w:val="21"/>
        </w:rPr>
        <w:t xml:space="preserve"> 202</w:t>
      </w:r>
      <w:r w:rsidR="007D7A8F">
        <w:rPr>
          <w:rFonts w:ascii="Verdana" w:hAnsi="Verdana"/>
          <w:sz w:val="21"/>
          <w:szCs w:val="21"/>
        </w:rPr>
        <w:t>3</w:t>
      </w:r>
      <w:r>
        <w:rPr>
          <w:rFonts w:ascii="Verdana" w:hAnsi="Verdana"/>
          <w:sz w:val="21"/>
          <w:szCs w:val="21"/>
        </w:rPr>
        <w:t xml:space="preserve">). </w:t>
      </w:r>
    </w:p>
    <w:p w14:paraId="542E835E" w14:textId="77777777" w:rsidR="001470DA" w:rsidRDefault="001470DA" w:rsidP="008156F5">
      <w:pPr>
        <w:pBdr>
          <w:bottom w:val="single" w:sz="12" w:space="1" w:color="C00000"/>
        </w:pBdr>
        <w:spacing w:after="0" w:line="280" w:lineRule="atLeast"/>
        <w:jc w:val="both"/>
        <w:rPr>
          <w:rFonts w:ascii="Verdana" w:hAnsi="Verdana"/>
          <w:sz w:val="21"/>
          <w:szCs w:val="21"/>
        </w:rPr>
      </w:pPr>
    </w:p>
    <w:p w14:paraId="659F85C8" w14:textId="77777777" w:rsidR="00580F19" w:rsidRDefault="00580F19" w:rsidP="00DB4A11">
      <w:pPr>
        <w:spacing w:after="0" w:line="320" w:lineRule="atLeast"/>
        <w:jc w:val="both"/>
        <w:rPr>
          <w:rFonts w:ascii="Verdana" w:hAnsi="Verdana"/>
          <w:sz w:val="21"/>
          <w:szCs w:val="21"/>
        </w:rPr>
      </w:pPr>
    </w:p>
    <w:p w14:paraId="5766412D" w14:textId="1F70D688" w:rsidR="0048656A" w:rsidRDefault="00DA4A8E" w:rsidP="00DA4A8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46E2E7DD" wp14:editId="09E5D591">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5B45E591" w14:textId="6E75A140" w:rsidR="00A9509E" w:rsidRDefault="00A9509E" w:rsidP="00DB4A11">
      <w:pPr>
        <w:spacing w:after="0" w:line="320" w:lineRule="atLeast"/>
        <w:jc w:val="both"/>
        <w:rPr>
          <w:rFonts w:ascii="Verdana" w:hAnsi="Verdana"/>
          <w:sz w:val="21"/>
          <w:szCs w:val="21"/>
        </w:rPr>
      </w:pPr>
    </w:p>
    <w:p w14:paraId="31B7FFA0" w14:textId="798E2CD9" w:rsidR="00561B5C" w:rsidRPr="00C43C49" w:rsidRDefault="000802B7" w:rsidP="00561B5C">
      <w:pPr>
        <w:spacing w:after="0" w:line="320" w:lineRule="atLeast"/>
        <w:jc w:val="center"/>
        <w:rPr>
          <w:rFonts w:ascii="Verdana" w:hAnsi="Verdana"/>
          <w:b/>
          <w:bCs/>
          <w:color w:val="C00000"/>
        </w:rPr>
      </w:pPr>
      <w:hyperlink r:id="rId12" w:history="1">
        <w:r w:rsidR="00C43C49" w:rsidRPr="00C43C49">
          <w:rPr>
            <w:rStyle w:val="Hyperlink"/>
            <w:rFonts w:ascii="Verdana" w:hAnsi="Verdana"/>
            <w:b/>
            <w:bCs/>
            <w:color w:val="C00000"/>
            <w:u w:val="none"/>
          </w:rPr>
          <w:t>www.etfsa.co.za</w:t>
        </w:r>
      </w:hyperlink>
    </w:p>
    <w:p w14:paraId="302EE78E" w14:textId="77777777" w:rsidR="007D7A8F" w:rsidRPr="008156F5" w:rsidRDefault="007D7A8F" w:rsidP="00DB4A11">
      <w:pPr>
        <w:spacing w:after="0" w:line="320" w:lineRule="atLeast"/>
        <w:jc w:val="both"/>
        <w:rPr>
          <w:rFonts w:ascii="Verdana" w:hAnsi="Verdana"/>
          <w:sz w:val="16"/>
          <w:szCs w:val="16"/>
        </w:rPr>
      </w:pPr>
    </w:p>
    <w:p w14:paraId="348057A5" w14:textId="77777777" w:rsidR="00C6212D" w:rsidRPr="008156F5" w:rsidRDefault="00C6212D" w:rsidP="00B53F4B">
      <w:pPr>
        <w:pBdr>
          <w:top w:val="single" w:sz="4" w:space="1" w:color="auto"/>
        </w:pBdr>
        <w:spacing w:after="0" w:line="240" w:lineRule="auto"/>
        <w:jc w:val="both"/>
        <w:rPr>
          <w:sz w:val="14"/>
          <w:szCs w:val="14"/>
          <w:lang w:eastAsia="en-ZA"/>
        </w:rPr>
      </w:pPr>
      <w:r w:rsidRPr="008156F5">
        <w:rPr>
          <w:rFonts w:ascii="Arial" w:hAnsi="Arial"/>
          <w:b/>
          <w:i/>
          <w:color w:val="0F0D35"/>
          <w:sz w:val="14"/>
          <w:szCs w:val="14"/>
        </w:rPr>
        <w:t xml:space="preserve">Disclaimer: </w:t>
      </w:r>
      <w:r w:rsidRPr="008156F5">
        <w:rPr>
          <w:rFonts w:ascii="Arial" w:hAnsi="Arial"/>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179796E9"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 xml:space="preserve">etfSA.co.za is managed by M F Brown, who is a registered financial services provider (FSP No. 39217). M F Brown has Professional Indemnity Insurance as required by FAIS. The etfSA </w:t>
      </w:r>
      <w:r w:rsidR="00CD6927" w:rsidRPr="008156F5">
        <w:rPr>
          <w:rFonts w:ascii="Arial" w:hAnsi="Arial"/>
          <w:color w:val="000000"/>
          <w:sz w:val="14"/>
          <w:szCs w:val="14"/>
          <w:lang w:eastAsia="en-ZA"/>
        </w:rPr>
        <w:t>Portfolio Management Company</w:t>
      </w:r>
      <w:r w:rsidRPr="008156F5">
        <w:rPr>
          <w:rFonts w:ascii="Arial" w:hAnsi="Arial"/>
          <w:color w:val="000000"/>
          <w:sz w:val="14"/>
          <w:szCs w:val="14"/>
          <w:lang w:eastAsia="en-ZA"/>
        </w:rPr>
        <w:t xml:space="preserve"> (Pty) Ltd (FSP No </w:t>
      </w:r>
      <w:r w:rsidR="00CD6927" w:rsidRPr="008156F5">
        <w:rPr>
          <w:rFonts w:ascii="Arial" w:hAnsi="Arial"/>
          <w:color w:val="000000"/>
          <w:sz w:val="14"/>
          <w:szCs w:val="14"/>
          <w:lang w:eastAsia="en-ZA"/>
        </w:rPr>
        <w:t>5</w:t>
      </w:r>
      <w:r w:rsidR="00CC181B" w:rsidRPr="008156F5">
        <w:rPr>
          <w:rFonts w:ascii="Arial" w:hAnsi="Arial"/>
          <w:color w:val="000000"/>
          <w:sz w:val="14"/>
          <w:szCs w:val="14"/>
          <w:lang w:eastAsia="en-ZA"/>
        </w:rPr>
        <w:t>23</w:t>
      </w:r>
      <w:r w:rsidR="00CD6927" w:rsidRPr="008156F5">
        <w:rPr>
          <w:rFonts w:ascii="Arial" w:hAnsi="Arial"/>
          <w:color w:val="000000"/>
          <w:sz w:val="14"/>
          <w:szCs w:val="14"/>
          <w:lang w:eastAsia="en-ZA"/>
        </w:rPr>
        <w:t>14</w:t>
      </w:r>
      <w:r w:rsidRPr="008156F5">
        <w:rPr>
          <w:rFonts w:ascii="Arial" w:hAnsi="Arial"/>
          <w:color w:val="000000"/>
          <w:sz w:val="14"/>
          <w:szCs w:val="14"/>
          <w:lang w:eastAsia="en-ZA"/>
        </w:rPr>
        <w:t>)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8156F5" w:rsidSect="00281835">
      <w:footerReference w:type="default" r:id="rId13"/>
      <w:pgSz w:w="11906" w:h="16838" w:code="9"/>
      <w:pgMar w:top="851" w:right="851" w:bottom="567" w:left="851"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5C01" w14:textId="77777777" w:rsidR="00EE2080" w:rsidRDefault="00EE2080" w:rsidP="001860C2">
      <w:pPr>
        <w:spacing w:after="0" w:line="240" w:lineRule="auto"/>
      </w:pPr>
      <w:r>
        <w:separator/>
      </w:r>
    </w:p>
  </w:endnote>
  <w:endnote w:type="continuationSeparator" w:id="0">
    <w:p w14:paraId="3CF9A0A3" w14:textId="77777777" w:rsidR="00EE2080" w:rsidRDefault="00EE208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9F9B" w14:textId="77777777" w:rsidR="00EE2080" w:rsidRDefault="00EE2080" w:rsidP="001860C2">
      <w:pPr>
        <w:spacing w:after="0" w:line="240" w:lineRule="auto"/>
      </w:pPr>
      <w:r>
        <w:separator/>
      </w:r>
    </w:p>
  </w:footnote>
  <w:footnote w:type="continuationSeparator" w:id="0">
    <w:p w14:paraId="1ADD33A2" w14:textId="77777777" w:rsidR="00EE2080" w:rsidRDefault="00EE208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1B17352"/>
    <w:multiLevelType w:val="hybridMultilevel"/>
    <w:tmpl w:val="E4EE4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0578FC"/>
    <w:multiLevelType w:val="hybridMultilevel"/>
    <w:tmpl w:val="6C464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EC76903"/>
    <w:multiLevelType w:val="hybridMultilevel"/>
    <w:tmpl w:val="E9E6E2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EE24671"/>
    <w:multiLevelType w:val="hybridMultilevel"/>
    <w:tmpl w:val="80326B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1097734">
    <w:abstractNumId w:val="16"/>
  </w:num>
  <w:num w:numId="2" w16cid:durableId="17001586">
    <w:abstractNumId w:val="1"/>
  </w:num>
  <w:num w:numId="3" w16cid:durableId="2038045481">
    <w:abstractNumId w:val="11"/>
  </w:num>
  <w:num w:numId="4" w16cid:durableId="795762004">
    <w:abstractNumId w:val="8"/>
  </w:num>
  <w:num w:numId="5" w16cid:durableId="371735613">
    <w:abstractNumId w:val="2"/>
  </w:num>
  <w:num w:numId="6" w16cid:durableId="517550290">
    <w:abstractNumId w:val="19"/>
  </w:num>
  <w:num w:numId="7" w16cid:durableId="1561330142">
    <w:abstractNumId w:val="6"/>
  </w:num>
  <w:num w:numId="8" w16cid:durableId="348874987">
    <w:abstractNumId w:val="9"/>
  </w:num>
  <w:num w:numId="9" w16cid:durableId="2114863552">
    <w:abstractNumId w:val="3"/>
  </w:num>
  <w:num w:numId="10" w16cid:durableId="4289105">
    <w:abstractNumId w:val="10"/>
  </w:num>
  <w:num w:numId="11" w16cid:durableId="379133763">
    <w:abstractNumId w:val="12"/>
  </w:num>
  <w:num w:numId="12" w16cid:durableId="611714100">
    <w:abstractNumId w:val="15"/>
  </w:num>
  <w:num w:numId="13" w16cid:durableId="1294755904">
    <w:abstractNumId w:val="13"/>
  </w:num>
  <w:num w:numId="14" w16cid:durableId="968047313">
    <w:abstractNumId w:val="26"/>
  </w:num>
  <w:num w:numId="15" w16cid:durableId="825977546">
    <w:abstractNumId w:val="27"/>
  </w:num>
  <w:num w:numId="16" w16cid:durableId="2069525158">
    <w:abstractNumId w:val="22"/>
  </w:num>
  <w:num w:numId="17" w16cid:durableId="1090082934">
    <w:abstractNumId w:val="5"/>
  </w:num>
  <w:num w:numId="18" w16cid:durableId="667833823">
    <w:abstractNumId w:val="25"/>
  </w:num>
  <w:num w:numId="19" w16cid:durableId="1101994540">
    <w:abstractNumId w:val="23"/>
  </w:num>
  <w:num w:numId="20" w16cid:durableId="962422017">
    <w:abstractNumId w:val="20"/>
  </w:num>
  <w:num w:numId="21" w16cid:durableId="673382833">
    <w:abstractNumId w:val="4"/>
  </w:num>
  <w:num w:numId="22" w16cid:durableId="229968107">
    <w:abstractNumId w:val="0"/>
  </w:num>
  <w:num w:numId="23" w16cid:durableId="1523741481">
    <w:abstractNumId w:val="7"/>
  </w:num>
  <w:num w:numId="24" w16cid:durableId="1352487742">
    <w:abstractNumId w:val="24"/>
  </w:num>
  <w:num w:numId="25" w16cid:durableId="490101877">
    <w:abstractNumId w:val="17"/>
  </w:num>
  <w:num w:numId="26" w16cid:durableId="177739802">
    <w:abstractNumId w:val="18"/>
  </w:num>
  <w:num w:numId="27" w16cid:durableId="37557070">
    <w:abstractNumId w:val="21"/>
  </w:num>
  <w:num w:numId="28" w16cid:durableId="438109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2BE4"/>
    <w:rsid w:val="000435BE"/>
    <w:rsid w:val="00043FCA"/>
    <w:rsid w:val="00046AC3"/>
    <w:rsid w:val="00050A63"/>
    <w:rsid w:val="00051559"/>
    <w:rsid w:val="0005247E"/>
    <w:rsid w:val="000542DC"/>
    <w:rsid w:val="0005437D"/>
    <w:rsid w:val="00054445"/>
    <w:rsid w:val="00063719"/>
    <w:rsid w:val="000637AD"/>
    <w:rsid w:val="00064D86"/>
    <w:rsid w:val="0006568F"/>
    <w:rsid w:val="00065FC4"/>
    <w:rsid w:val="00067065"/>
    <w:rsid w:val="00072FB5"/>
    <w:rsid w:val="000734C3"/>
    <w:rsid w:val="000736A9"/>
    <w:rsid w:val="0007371D"/>
    <w:rsid w:val="000752F6"/>
    <w:rsid w:val="000802B7"/>
    <w:rsid w:val="00080314"/>
    <w:rsid w:val="0008356F"/>
    <w:rsid w:val="00083E17"/>
    <w:rsid w:val="0008652A"/>
    <w:rsid w:val="00086ECE"/>
    <w:rsid w:val="000871E0"/>
    <w:rsid w:val="00093396"/>
    <w:rsid w:val="0009342B"/>
    <w:rsid w:val="000A2715"/>
    <w:rsid w:val="000A3329"/>
    <w:rsid w:val="000A5E4A"/>
    <w:rsid w:val="000A6521"/>
    <w:rsid w:val="000B1353"/>
    <w:rsid w:val="000B189D"/>
    <w:rsid w:val="000B1900"/>
    <w:rsid w:val="000B77EA"/>
    <w:rsid w:val="000C024A"/>
    <w:rsid w:val="000C1ACB"/>
    <w:rsid w:val="000C2A04"/>
    <w:rsid w:val="000C74EB"/>
    <w:rsid w:val="000D0FF5"/>
    <w:rsid w:val="000D5C7D"/>
    <w:rsid w:val="000E7CE2"/>
    <w:rsid w:val="000F1A9D"/>
    <w:rsid w:val="000F2E19"/>
    <w:rsid w:val="000F3F0B"/>
    <w:rsid w:val="000F4D11"/>
    <w:rsid w:val="000F676D"/>
    <w:rsid w:val="000F7310"/>
    <w:rsid w:val="001004CA"/>
    <w:rsid w:val="00100BC7"/>
    <w:rsid w:val="001011BA"/>
    <w:rsid w:val="00105881"/>
    <w:rsid w:val="00110027"/>
    <w:rsid w:val="001113DA"/>
    <w:rsid w:val="001113EA"/>
    <w:rsid w:val="001118CB"/>
    <w:rsid w:val="00111B11"/>
    <w:rsid w:val="00112914"/>
    <w:rsid w:val="001149F4"/>
    <w:rsid w:val="001161FE"/>
    <w:rsid w:val="001169ED"/>
    <w:rsid w:val="001204A0"/>
    <w:rsid w:val="00121080"/>
    <w:rsid w:val="00121661"/>
    <w:rsid w:val="00122449"/>
    <w:rsid w:val="0012529E"/>
    <w:rsid w:val="001255EF"/>
    <w:rsid w:val="0013147F"/>
    <w:rsid w:val="0013275D"/>
    <w:rsid w:val="00137500"/>
    <w:rsid w:val="00141CB8"/>
    <w:rsid w:val="001435C1"/>
    <w:rsid w:val="00143C23"/>
    <w:rsid w:val="00145C7E"/>
    <w:rsid w:val="001470DA"/>
    <w:rsid w:val="00147712"/>
    <w:rsid w:val="00154CA3"/>
    <w:rsid w:val="00161566"/>
    <w:rsid w:val="0016315C"/>
    <w:rsid w:val="00164CDA"/>
    <w:rsid w:val="0016524A"/>
    <w:rsid w:val="0017124F"/>
    <w:rsid w:val="001723F2"/>
    <w:rsid w:val="00175BD4"/>
    <w:rsid w:val="0018165B"/>
    <w:rsid w:val="00181E64"/>
    <w:rsid w:val="00185009"/>
    <w:rsid w:val="001860C2"/>
    <w:rsid w:val="00187148"/>
    <w:rsid w:val="00193608"/>
    <w:rsid w:val="0019419C"/>
    <w:rsid w:val="001945CA"/>
    <w:rsid w:val="001951A8"/>
    <w:rsid w:val="001976A7"/>
    <w:rsid w:val="00197B1E"/>
    <w:rsid w:val="001A0812"/>
    <w:rsid w:val="001A0C85"/>
    <w:rsid w:val="001A440E"/>
    <w:rsid w:val="001A5982"/>
    <w:rsid w:val="001A631C"/>
    <w:rsid w:val="001A6952"/>
    <w:rsid w:val="001A7023"/>
    <w:rsid w:val="001B09C4"/>
    <w:rsid w:val="001B0CAA"/>
    <w:rsid w:val="001B2714"/>
    <w:rsid w:val="001B3A67"/>
    <w:rsid w:val="001B5446"/>
    <w:rsid w:val="001C419C"/>
    <w:rsid w:val="001C426E"/>
    <w:rsid w:val="001C48EF"/>
    <w:rsid w:val="001D0D90"/>
    <w:rsid w:val="001D1426"/>
    <w:rsid w:val="001D145F"/>
    <w:rsid w:val="001D296F"/>
    <w:rsid w:val="001D3AD8"/>
    <w:rsid w:val="001D4816"/>
    <w:rsid w:val="001D53A8"/>
    <w:rsid w:val="001D7C34"/>
    <w:rsid w:val="001E3615"/>
    <w:rsid w:val="001E36F8"/>
    <w:rsid w:val="001F12A9"/>
    <w:rsid w:val="001F137C"/>
    <w:rsid w:val="001F33BD"/>
    <w:rsid w:val="001F6BD9"/>
    <w:rsid w:val="00201C15"/>
    <w:rsid w:val="00202A1E"/>
    <w:rsid w:val="002062BC"/>
    <w:rsid w:val="00211E65"/>
    <w:rsid w:val="00213163"/>
    <w:rsid w:val="00214624"/>
    <w:rsid w:val="00215EC5"/>
    <w:rsid w:val="00217F89"/>
    <w:rsid w:val="00222E4A"/>
    <w:rsid w:val="00227D20"/>
    <w:rsid w:val="00227D37"/>
    <w:rsid w:val="00231639"/>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77B61"/>
    <w:rsid w:val="00281835"/>
    <w:rsid w:val="002821C1"/>
    <w:rsid w:val="00283442"/>
    <w:rsid w:val="0028371C"/>
    <w:rsid w:val="0028580C"/>
    <w:rsid w:val="002867E2"/>
    <w:rsid w:val="00287580"/>
    <w:rsid w:val="00290F56"/>
    <w:rsid w:val="002944F7"/>
    <w:rsid w:val="00295FE0"/>
    <w:rsid w:val="002A024C"/>
    <w:rsid w:val="002A0846"/>
    <w:rsid w:val="002A12CA"/>
    <w:rsid w:val="002A439C"/>
    <w:rsid w:val="002A4EC3"/>
    <w:rsid w:val="002A6445"/>
    <w:rsid w:val="002A6914"/>
    <w:rsid w:val="002A6D67"/>
    <w:rsid w:val="002B14B3"/>
    <w:rsid w:val="002B51E7"/>
    <w:rsid w:val="002C05CF"/>
    <w:rsid w:val="002C252D"/>
    <w:rsid w:val="002C48B1"/>
    <w:rsid w:val="002D1ED9"/>
    <w:rsid w:val="002D4D18"/>
    <w:rsid w:val="002D4E12"/>
    <w:rsid w:val="002D7097"/>
    <w:rsid w:val="002E2F39"/>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262AF"/>
    <w:rsid w:val="00330C63"/>
    <w:rsid w:val="00332256"/>
    <w:rsid w:val="003352CA"/>
    <w:rsid w:val="003353CB"/>
    <w:rsid w:val="00336154"/>
    <w:rsid w:val="00337675"/>
    <w:rsid w:val="00340453"/>
    <w:rsid w:val="00340ED3"/>
    <w:rsid w:val="00345103"/>
    <w:rsid w:val="003453A7"/>
    <w:rsid w:val="003453E4"/>
    <w:rsid w:val="003455BD"/>
    <w:rsid w:val="00346C09"/>
    <w:rsid w:val="00354846"/>
    <w:rsid w:val="00356055"/>
    <w:rsid w:val="003615D4"/>
    <w:rsid w:val="003622B9"/>
    <w:rsid w:val="00362595"/>
    <w:rsid w:val="00371A95"/>
    <w:rsid w:val="00373E18"/>
    <w:rsid w:val="00374625"/>
    <w:rsid w:val="00375ADA"/>
    <w:rsid w:val="003768E4"/>
    <w:rsid w:val="00376CA0"/>
    <w:rsid w:val="00377095"/>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B775C"/>
    <w:rsid w:val="003C278D"/>
    <w:rsid w:val="003C3187"/>
    <w:rsid w:val="003C34BA"/>
    <w:rsid w:val="003C36D7"/>
    <w:rsid w:val="003C4C24"/>
    <w:rsid w:val="003C4CE2"/>
    <w:rsid w:val="003C6031"/>
    <w:rsid w:val="003C6447"/>
    <w:rsid w:val="003C700A"/>
    <w:rsid w:val="003D13C9"/>
    <w:rsid w:val="003D3AB6"/>
    <w:rsid w:val="003D5B90"/>
    <w:rsid w:val="003E41CF"/>
    <w:rsid w:val="003E6D07"/>
    <w:rsid w:val="003F1BC4"/>
    <w:rsid w:val="003F5A00"/>
    <w:rsid w:val="003F5A9C"/>
    <w:rsid w:val="003F6A02"/>
    <w:rsid w:val="003F76E0"/>
    <w:rsid w:val="003F7712"/>
    <w:rsid w:val="004038EE"/>
    <w:rsid w:val="0040423E"/>
    <w:rsid w:val="00405F9A"/>
    <w:rsid w:val="00407678"/>
    <w:rsid w:val="00410B7D"/>
    <w:rsid w:val="00410B90"/>
    <w:rsid w:val="00412295"/>
    <w:rsid w:val="00413262"/>
    <w:rsid w:val="00415026"/>
    <w:rsid w:val="00415851"/>
    <w:rsid w:val="00416503"/>
    <w:rsid w:val="00417CC4"/>
    <w:rsid w:val="00420382"/>
    <w:rsid w:val="0042225F"/>
    <w:rsid w:val="00431322"/>
    <w:rsid w:val="00433C1B"/>
    <w:rsid w:val="00434DA5"/>
    <w:rsid w:val="00435E56"/>
    <w:rsid w:val="00441724"/>
    <w:rsid w:val="004423A7"/>
    <w:rsid w:val="00443433"/>
    <w:rsid w:val="004474C0"/>
    <w:rsid w:val="00451766"/>
    <w:rsid w:val="00451A86"/>
    <w:rsid w:val="004534EE"/>
    <w:rsid w:val="004544E3"/>
    <w:rsid w:val="004545BB"/>
    <w:rsid w:val="004568F5"/>
    <w:rsid w:val="00464D4D"/>
    <w:rsid w:val="00464F85"/>
    <w:rsid w:val="00467DA9"/>
    <w:rsid w:val="004775BA"/>
    <w:rsid w:val="0048656A"/>
    <w:rsid w:val="00486A17"/>
    <w:rsid w:val="0049405F"/>
    <w:rsid w:val="004A1759"/>
    <w:rsid w:val="004A185A"/>
    <w:rsid w:val="004A2267"/>
    <w:rsid w:val="004A28B2"/>
    <w:rsid w:val="004A53EA"/>
    <w:rsid w:val="004A6384"/>
    <w:rsid w:val="004A687F"/>
    <w:rsid w:val="004A7DA9"/>
    <w:rsid w:val="004B0423"/>
    <w:rsid w:val="004B0713"/>
    <w:rsid w:val="004B1BB0"/>
    <w:rsid w:val="004B2D37"/>
    <w:rsid w:val="004B4A66"/>
    <w:rsid w:val="004B7AF5"/>
    <w:rsid w:val="004C1102"/>
    <w:rsid w:val="004C18EC"/>
    <w:rsid w:val="004C60DA"/>
    <w:rsid w:val="004D0295"/>
    <w:rsid w:val="004D1524"/>
    <w:rsid w:val="004D6498"/>
    <w:rsid w:val="004E2922"/>
    <w:rsid w:val="004E4B2F"/>
    <w:rsid w:val="004E4DAF"/>
    <w:rsid w:val="004E53E1"/>
    <w:rsid w:val="004E5FC6"/>
    <w:rsid w:val="004E60C8"/>
    <w:rsid w:val="004E69A5"/>
    <w:rsid w:val="004E7608"/>
    <w:rsid w:val="004F0766"/>
    <w:rsid w:val="004F1DF6"/>
    <w:rsid w:val="004F47FC"/>
    <w:rsid w:val="004F5E09"/>
    <w:rsid w:val="004F60D3"/>
    <w:rsid w:val="00506218"/>
    <w:rsid w:val="0050685E"/>
    <w:rsid w:val="00511FB5"/>
    <w:rsid w:val="005135D4"/>
    <w:rsid w:val="005138C3"/>
    <w:rsid w:val="0051590D"/>
    <w:rsid w:val="005248F6"/>
    <w:rsid w:val="00525AD3"/>
    <w:rsid w:val="005269C6"/>
    <w:rsid w:val="00527C9E"/>
    <w:rsid w:val="00532E7F"/>
    <w:rsid w:val="005355B2"/>
    <w:rsid w:val="0054188E"/>
    <w:rsid w:val="005447D2"/>
    <w:rsid w:val="005475A6"/>
    <w:rsid w:val="005509A2"/>
    <w:rsid w:val="00553990"/>
    <w:rsid w:val="005557F1"/>
    <w:rsid w:val="00557D80"/>
    <w:rsid w:val="00561B5C"/>
    <w:rsid w:val="00561C75"/>
    <w:rsid w:val="005628FE"/>
    <w:rsid w:val="00570341"/>
    <w:rsid w:val="00573EA2"/>
    <w:rsid w:val="00574118"/>
    <w:rsid w:val="0057426E"/>
    <w:rsid w:val="00574800"/>
    <w:rsid w:val="00575220"/>
    <w:rsid w:val="00576C93"/>
    <w:rsid w:val="00576EDC"/>
    <w:rsid w:val="00580F19"/>
    <w:rsid w:val="00581B69"/>
    <w:rsid w:val="00587E90"/>
    <w:rsid w:val="005923A8"/>
    <w:rsid w:val="005A16E0"/>
    <w:rsid w:val="005A21ED"/>
    <w:rsid w:val="005A38E1"/>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1E49"/>
    <w:rsid w:val="005D52D2"/>
    <w:rsid w:val="005D54DF"/>
    <w:rsid w:val="005D7F7B"/>
    <w:rsid w:val="005D7F9E"/>
    <w:rsid w:val="005E6456"/>
    <w:rsid w:val="005F02F6"/>
    <w:rsid w:val="005F2A62"/>
    <w:rsid w:val="005F3966"/>
    <w:rsid w:val="005F3B27"/>
    <w:rsid w:val="005F4274"/>
    <w:rsid w:val="005F5553"/>
    <w:rsid w:val="005F72F5"/>
    <w:rsid w:val="005F7544"/>
    <w:rsid w:val="00600116"/>
    <w:rsid w:val="006015AB"/>
    <w:rsid w:val="00602DDF"/>
    <w:rsid w:val="006052EB"/>
    <w:rsid w:val="00605876"/>
    <w:rsid w:val="00606273"/>
    <w:rsid w:val="00607890"/>
    <w:rsid w:val="00610270"/>
    <w:rsid w:val="006108AD"/>
    <w:rsid w:val="00611D35"/>
    <w:rsid w:val="006124A0"/>
    <w:rsid w:val="00614644"/>
    <w:rsid w:val="00617B74"/>
    <w:rsid w:val="0062560E"/>
    <w:rsid w:val="00630A2B"/>
    <w:rsid w:val="006345C7"/>
    <w:rsid w:val="00634A9D"/>
    <w:rsid w:val="00636507"/>
    <w:rsid w:val="00637C5B"/>
    <w:rsid w:val="006427A5"/>
    <w:rsid w:val="00644501"/>
    <w:rsid w:val="00650F13"/>
    <w:rsid w:val="0065322B"/>
    <w:rsid w:val="00653EAC"/>
    <w:rsid w:val="006557AA"/>
    <w:rsid w:val="006607FA"/>
    <w:rsid w:val="00662063"/>
    <w:rsid w:val="00662A3A"/>
    <w:rsid w:val="00665208"/>
    <w:rsid w:val="00665AFA"/>
    <w:rsid w:val="00665C94"/>
    <w:rsid w:val="006666EF"/>
    <w:rsid w:val="00667B94"/>
    <w:rsid w:val="0067082E"/>
    <w:rsid w:val="0067088C"/>
    <w:rsid w:val="00670E82"/>
    <w:rsid w:val="006726E7"/>
    <w:rsid w:val="00674425"/>
    <w:rsid w:val="006806B9"/>
    <w:rsid w:val="00681EB2"/>
    <w:rsid w:val="006820C0"/>
    <w:rsid w:val="00685233"/>
    <w:rsid w:val="00690162"/>
    <w:rsid w:val="006924BC"/>
    <w:rsid w:val="00692911"/>
    <w:rsid w:val="00692B83"/>
    <w:rsid w:val="00695F0A"/>
    <w:rsid w:val="006A0C56"/>
    <w:rsid w:val="006A24D6"/>
    <w:rsid w:val="006A3FC7"/>
    <w:rsid w:val="006A6635"/>
    <w:rsid w:val="006B399B"/>
    <w:rsid w:val="006B3D57"/>
    <w:rsid w:val="006B40F7"/>
    <w:rsid w:val="006B41B5"/>
    <w:rsid w:val="006B620E"/>
    <w:rsid w:val="006C0C1F"/>
    <w:rsid w:val="006C1593"/>
    <w:rsid w:val="006C31C8"/>
    <w:rsid w:val="006C3432"/>
    <w:rsid w:val="006C3AD1"/>
    <w:rsid w:val="006C3C9A"/>
    <w:rsid w:val="006C4164"/>
    <w:rsid w:val="006C5667"/>
    <w:rsid w:val="006C58B8"/>
    <w:rsid w:val="006C780E"/>
    <w:rsid w:val="006D30DE"/>
    <w:rsid w:val="006D32E9"/>
    <w:rsid w:val="006D3930"/>
    <w:rsid w:val="006D3B08"/>
    <w:rsid w:val="006D49CD"/>
    <w:rsid w:val="006D66CE"/>
    <w:rsid w:val="006E0E3D"/>
    <w:rsid w:val="006E70F6"/>
    <w:rsid w:val="006F12EA"/>
    <w:rsid w:val="006F464E"/>
    <w:rsid w:val="007017CF"/>
    <w:rsid w:val="007026CA"/>
    <w:rsid w:val="00702765"/>
    <w:rsid w:val="007028A0"/>
    <w:rsid w:val="00705212"/>
    <w:rsid w:val="007153E8"/>
    <w:rsid w:val="00715DF1"/>
    <w:rsid w:val="00717144"/>
    <w:rsid w:val="00727AC5"/>
    <w:rsid w:val="007319EA"/>
    <w:rsid w:val="00737776"/>
    <w:rsid w:val="0074101D"/>
    <w:rsid w:val="00742511"/>
    <w:rsid w:val="00744360"/>
    <w:rsid w:val="00744B64"/>
    <w:rsid w:val="0075135D"/>
    <w:rsid w:val="007520C0"/>
    <w:rsid w:val="00752C5D"/>
    <w:rsid w:val="00754226"/>
    <w:rsid w:val="0075479F"/>
    <w:rsid w:val="007549A4"/>
    <w:rsid w:val="00754CF9"/>
    <w:rsid w:val="0075574D"/>
    <w:rsid w:val="00755DEC"/>
    <w:rsid w:val="007561FE"/>
    <w:rsid w:val="0075656E"/>
    <w:rsid w:val="007617B4"/>
    <w:rsid w:val="00761DC1"/>
    <w:rsid w:val="007624E8"/>
    <w:rsid w:val="007640DF"/>
    <w:rsid w:val="00765BCF"/>
    <w:rsid w:val="00767654"/>
    <w:rsid w:val="00770F05"/>
    <w:rsid w:val="00771D6F"/>
    <w:rsid w:val="00773DC7"/>
    <w:rsid w:val="00774D53"/>
    <w:rsid w:val="00774F11"/>
    <w:rsid w:val="00784C81"/>
    <w:rsid w:val="00785EC3"/>
    <w:rsid w:val="00786573"/>
    <w:rsid w:val="0078694D"/>
    <w:rsid w:val="00792524"/>
    <w:rsid w:val="007967FF"/>
    <w:rsid w:val="007A7050"/>
    <w:rsid w:val="007A7A18"/>
    <w:rsid w:val="007B1D8E"/>
    <w:rsid w:val="007B3F08"/>
    <w:rsid w:val="007C2AC1"/>
    <w:rsid w:val="007C4EB1"/>
    <w:rsid w:val="007C6C67"/>
    <w:rsid w:val="007D0DE9"/>
    <w:rsid w:val="007D1C48"/>
    <w:rsid w:val="007D3765"/>
    <w:rsid w:val="007D7A8F"/>
    <w:rsid w:val="007E5C23"/>
    <w:rsid w:val="007E68F3"/>
    <w:rsid w:val="007F0BD2"/>
    <w:rsid w:val="007F2E9B"/>
    <w:rsid w:val="007F439B"/>
    <w:rsid w:val="007F4718"/>
    <w:rsid w:val="007F485E"/>
    <w:rsid w:val="007F543C"/>
    <w:rsid w:val="007F5E1E"/>
    <w:rsid w:val="0080262B"/>
    <w:rsid w:val="0080317E"/>
    <w:rsid w:val="008033A1"/>
    <w:rsid w:val="00803DCA"/>
    <w:rsid w:val="00805B57"/>
    <w:rsid w:val="00810312"/>
    <w:rsid w:val="008156F5"/>
    <w:rsid w:val="008168D7"/>
    <w:rsid w:val="00816E0D"/>
    <w:rsid w:val="008214E0"/>
    <w:rsid w:val="0082551A"/>
    <w:rsid w:val="00826CE1"/>
    <w:rsid w:val="00827678"/>
    <w:rsid w:val="00831695"/>
    <w:rsid w:val="00833166"/>
    <w:rsid w:val="00834896"/>
    <w:rsid w:val="00837416"/>
    <w:rsid w:val="008468F3"/>
    <w:rsid w:val="008555E3"/>
    <w:rsid w:val="00863949"/>
    <w:rsid w:val="00864626"/>
    <w:rsid w:val="00864914"/>
    <w:rsid w:val="008678CF"/>
    <w:rsid w:val="00867BCA"/>
    <w:rsid w:val="00870751"/>
    <w:rsid w:val="00871780"/>
    <w:rsid w:val="008723C3"/>
    <w:rsid w:val="00873A85"/>
    <w:rsid w:val="00874BC3"/>
    <w:rsid w:val="008767CE"/>
    <w:rsid w:val="008820A2"/>
    <w:rsid w:val="008870CE"/>
    <w:rsid w:val="008927A0"/>
    <w:rsid w:val="00892847"/>
    <w:rsid w:val="00893171"/>
    <w:rsid w:val="0089751B"/>
    <w:rsid w:val="0089761A"/>
    <w:rsid w:val="008A3D62"/>
    <w:rsid w:val="008A4C09"/>
    <w:rsid w:val="008A7891"/>
    <w:rsid w:val="008B0AC5"/>
    <w:rsid w:val="008B14A6"/>
    <w:rsid w:val="008B1AB4"/>
    <w:rsid w:val="008B346F"/>
    <w:rsid w:val="008B4F73"/>
    <w:rsid w:val="008B6F18"/>
    <w:rsid w:val="008C19C4"/>
    <w:rsid w:val="008C2BE8"/>
    <w:rsid w:val="008C4FF1"/>
    <w:rsid w:val="008C6006"/>
    <w:rsid w:val="008C75B2"/>
    <w:rsid w:val="008C7E9E"/>
    <w:rsid w:val="008D1027"/>
    <w:rsid w:val="008D5DE6"/>
    <w:rsid w:val="008D743D"/>
    <w:rsid w:val="008E0841"/>
    <w:rsid w:val="008E2FDF"/>
    <w:rsid w:val="008E7E18"/>
    <w:rsid w:val="008F0636"/>
    <w:rsid w:val="008F5B96"/>
    <w:rsid w:val="00900106"/>
    <w:rsid w:val="00900795"/>
    <w:rsid w:val="00902C9D"/>
    <w:rsid w:val="00905468"/>
    <w:rsid w:val="0090660B"/>
    <w:rsid w:val="0090715C"/>
    <w:rsid w:val="00912273"/>
    <w:rsid w:val="0091603A"/>
    <w:rsid w:val="00921CF9"/>
    <w:rsid w:val="0092591D"/>
    <w:rsid w:val="00925D2A"/>
    <w:rsid w:val="0092766E"/>
    <w:rsid w:val="0093030D"/>
    <w:rsid w:val="009307DF"/>
    <w:rsid w:val="00931166"/>
    <w:rsid w:val="00932B35"/>
    <w:rsid w:val="00933922"/>
    <w:rsid w:val="00934D40"/>
    <w:rsid w:val="00935C75"/>
    <w:rsid w:val="00937453"/>
    <w:rsid w:val="0094215A"/>
    <w:rsid w:val="00943D73"/>
    <w:rsid w:val="00944E04"/>
    <w:rsid w:val="00947A6D"/>
    <w:rsid w:val="009542C9"/>
    <w:rsid w:val="00960987"/>
    <w:rsid w:val="00964DB3"/>
    <w:rsid w:val="00967F07"/>
    <w:rsid w:val="0097094A"/>
    <w:rsid w:val="00972CCD"/>
    <w:rsid w:val="009732C5"/>
    <w:rsid w:val="00975BA8"/>
    <w:rsid w:val="00975CA7"/>
    <w:rsid w:val="00976701"/>
    <w:rsid w:val="00976971"/>
    <w:rsid w:val="00977364"/>
    <w:rsid w:val="00980BD8"/>
    <w:rsid w:val="00990E6C"/>
    <w:rsid w:val="009928D9"/>
    <w:rsid w:val="00993934"/>
    <w:rsid w:val="0099591D"/>
    <w:rsid w:val="00996EDA"/>
    <w:rsid w:val="009A0517"/>
    <w:rsid w:val="009A1B53"/>
    <w:rsid w:val="009A4055"/>
    <w:rsid w:val="009A4B52"/>
    <w:rsid w:val="009B7B7F"/>
    <w:rsid w:val="009C3FDD"/>
    <w:rsid w:val="009C4664"/>
    <w:rsid w:val="009C65B3"/>
    <w:rsid w:val="009C71D3"/>
    <w:rsid w:val="009D06A1"/>
    <w:rsid w:val="009D16BC"/>
    <w:rsid w:val="009D1D25"/>
    <w:rsid w:val="009D2502"/>
    <w:rsid w:val="009D49A1"/>
    <w:rsid w:val="009D539F"/>
    <w:rsid w:val="009D5939"/>
    <w:rsid w:val="009D63BC"/>
    <w:rsid w:val="009E05E9"/>
    <w:rsid w:val="009E06CC"/>
    <w:rsid w:val="009E08B1"/>
    <w:rsid w:val="009E0A31"/>
    <w:rsid w:val="009E15A9"/>
    <w:rsid w:val="009E19AA"/>
    <w:rsid w:val="009E4AA6"/>
    <w:rsid w:val="009F4C0C"/>
    <w:rsid w:val="009F598B"/>
    <w:rsid w:val="009F66FE"/>
    <w:rsid w:val="009F7261"/>
    <w:rsid w:val="00A00FDB"/>
    <w:rsid w:val="00A018BA"/>
    <w:rsid w:val="00A01E0B"/>
    <w:rsid w:val="00A029E7"/>
    <w:rsid w:val="00A051FB"/>
    <w:rsid w:val="00A06583"/>
    <w:rsid w:val="00A1052C"/>
    <w:rsid w:val="00A1059D"/>
    <w:rsid w:val="00A143F4"/>
    <w:rsid w:val="00A167E1"/>
    <w:rsid w:val="00A24DE7"/>
    <w:rsid w:val="00A25A8D"/>
    <w:rsid w:val="00A30C9E"/>
    <w:rsid w:val="00A3197A"/>
    <w:rsid w:val="00A32F36"/>
    <w:rsid w:val="00A34964"/>
    <w:rsid w:val="00A35AAF"/>
    <w:rsid w:val="00A35F6E"/>
    <w:rsid w:val="00A36CF5"/>
    <w:rsid w:val="00A37F02"/>
    <w:rsid w:val="00A41EC0"/>
    <w:rsid w:val="00A422C0"/>
    <w:rsid w:val="00A42787"/>
    <w:rsid w:val="00A4782C"/>
    <w:rsid w:val="00A547A7"/>
    <w:rsid w:val="00A572A0"/>
    <w:rsid w:val="00A65E16"/>
    <w:rsid w:val="00A668A9"/>
    <w:rsid w:val="00A66F58"/>
    <w:rsid w:val="00A6703F"/>
    <w:rsid w:val="00A67209"/>
    <w:rsid w:val="00A7546F"/>
    <w:rsid w:val="00A836BC"/>
    <w:rsid w:val="00A8447A"/>
    <w:rsid w:val="00A84E5F"/>
    <w:rsid w:val="00A85809"/>
    <w:rsid w:val="00A85AC4"/>
    <w:rsid w:val="00A87409"/>
    <w:rsid w:val="00A904A9"/>
    <w:rsid w:val="00A92F14"/>
    <w:rsid w:val="00A933CB"/>
    <w:rsid w:val="00A94957"/>
    <w:rsid w:val="00A9509E"/>
    <w:rsid w:val="00A95B1E"/>
    <w:rsid w:val="00A96CC9"/>
    <w:rsid w:val="00A97831"/>
    <w:rsid w:val="00AA129F"/>
    <w:rsid w:val="00AA2591"/>
    <w:rsid w:val="00AA3690"/>
    <w:rsid w:val="00AB1469"/>
    <w:rsid w:val="00AB5637"/>
    <w:rsid w:val="00AB659F"/>
    <w:rsid w:val="00AB65D9"/>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5515"/>
    <w:rsid w:val="00AE6B7A"/>
    <w:rsid w:val="00AE720D"/>
    <w:rsid w:val="00AF6530"/>
    <w:rsid w:val="00AF734A"/>
    <w:rsid w:val="00AF7BAB"/>
    <w:rsid w:val="00B010F5"/>
    <w:rsid w:val="00B01CAB"/>
    <w:rsid w:val="00B04A5D"/>
    <w:rsid w:val="00B0556F"/>
    <w:rsid w:val="00B064A2"/>
    <w:rsid w:val="00B06DBF"/>
    <w:rsid w:val="00B06F95"/>
    <w:rsid w:val="00B07BDB"/>
    <w:rsid w:val="00B11A47"/>
    <w:rsid w:val="00B11DFE"/>
    <w:rsid w:val="00B133BE"/>
    <w:rsid w:val="00B15601"/>
    <w:rsid w:val="00B157B7"/>
    <w:rsid w:val="00B1692D"/>
    <w:rsid w:val="00B17F8F"/>
    <w:rsid w:val="00B228FA"/>
    <w:rsid w:val="00B238F4"/>
    <w:rsid w:val="00B23C71"/>
    <w:rsid w:val="00B2533D"/>
    <w:rsid w:val="00B33939"/>
    <w:rsid w:val="00B352AB"/>
    <w:rsid w:val="00B373FE"/>
    <w:rsid w:val="00B42190"/>
    <w:rsid w:val="00B43C70"/>
    <w:rsid w:val="00B46D9E"/>
    <w:rsid w:val="00B47480"/>
    <w:rsid w:val="00B5062D"/>
    <w:rsid w:val="00B53321"/>
    <w:rsid w:val="00B5384D"/>
    <w:rsid w:val="00B539B4"/>
    <w:rsid w:val="00B53CF2"/>
    <w:rsid w:val="00B53F4B"/>
    <w:rsid w:val="00B544F8"/>
    <w:rsid w:val="00B5674F"/>
    <w:rsid w:val="00B600A0"/>
    <w:rsid w:val="00B6448D"/>
    <w:rsid w:val="00B65933"/>
    <w:rsid w:val="00B7090D"/>
    <w:rsid w:val="00B7153C"/>
    <w:rsid w:val="00B76B5D"/>
    <w:rsid w:val="00B80A20"/>
    <w:rsid w:val="00B80B89"/>
    <w:rsid w:val="00B81DF4"/>
    <w:rsid w:val="00B822A3"/>
    <w:rsid w:val="00B82C05"/>
    <w:rsid w:val="00B84B3B"/>
    <w:rsid w:val="00B86862"/>
    <w:rsid w:val="00B8742E"/>
    <w:rsid w:val="00BA3DC2"/>
    <w:rsid w:val="00BA7F27"/>
    <w:rsid w:val="00BB3618"/>
    <w:rsid w:val="00BB3813"/>
    <w:rsid w:val="00BB61E9"/>
    <w:rsid w:val="00BB7E35"/>
    <w:rsid w:val="00BC4EB7"/>
    <w:rsid w:val="00BC654E"/>
    <w:rsid w:val="00BC6FBB"/>
    <w:rsid w:val="00BD198C"/>
    <w:rsid w:val="00BD2909"/>
    <w:rsid w:val="00BD2BD9"/>
    <w:rsid w:val="00BD35C4"/>
    <w:rsid w:val="00BD4AED"/>
    <w:rsid w:val="00BD60FD"/>
    <w:rsid w:val="00BD73DC"/>
    <w:rsid w:val="00BE106B"/>
    <w:rsid w:val="00BE1AB8"/>
    <w:rsid w:val="00BE1EE9"/>
    <w:rsid w:val="00BE33A6"/>
    <w:rsid w:val="00BE387A"/>
    <w:rsid w:val="00BE58F6"/>
    <w:rsid w:val="00BE6DE2"/>
    <w:rsid w:val="00BF214D"/>
    <w:rsid w:val="00BF47E2"/>
    <w:rsid w:val="00BF60E0"/>
    <w:rsid w:val="00BF6A40"/>
    <w:rsid w:val="00C01B7D"/>
    <w:rsid w:val="00C0251E"/>
    <w:rsid w:val="00C11C7B"/>
    <w:rsid w:val="00C12C3D"/>
    <w:rsid w:val="00C130B1"/>
    <w:rsid w:val="00C157CF"/>
    <w:rsid w:val="00C16778"/>
    <w:rsid w:val="00C16C3A"/>
    <w:rsid w:val="00C2040D"/>
    <w:rsid w:val="00C262C9"/>
    <w:rsid w:val="00C266EE"/>
    <w:rsid w:val="00C33973"/>
    <w:rsid w:val="00C34AA3"/>
    <w:rsid w:val="00C361AA"/>
    <w:rsid w:val="00C36612"/>
    <w:rsid w:val="00C36D78"/>
    <w:rsid w:val="00C43586"/>
    <w:rsid w:val="00C43C49"/>
    <w:rsid w:val="00C47F84"/>
    <w:rsid w:val="00C5148B"/>
    <w:rsid w:val="00C6212D"/>
    <w:rsid w:val="00C623CC"/>
    <w:rsid w:val="00C6310E"/>
    <w:rsid w:val="00C63F43"/>
    <w:rsid w:val="00C648B8"/>
    <w:rsid w:val="00C67C90"/>
    <w:rsid w:val="00C70110"/>
    <w:rsid w:val="00C72345"/>
    <w:rsid w:val="00C72A43"/>
    <w:rsid w:val="00C74DB9"/>
    <w:rsid w:val="00C83652"/>
    <w:rsid w:val="00C848CE"/>
    <w:rsid w:val="00C849A0"/>
    <w:rsid w:val="00C9155D"/>
    <w:rsid w:val="00C96C19"/>
    <w:rsid w:val="00C9721C"/>
    <w:rsid w:val="00C97248"/>
    <w:rsid w:val="00CA0778"/>
    <w:rsid w:val="00CA0977"/>
    <w:rsid w:val="00CA5F6B"/>
    <w:rsid w:val="00CB421E"/>
    <w:rsid w:val="00CC181B"/>
    <w:rsid w:val="00CC34CF"/>
    <w:rsid w:val="00CC53BB"/>
    <w:rsid w:val="00CD0246"/>
    <w:rsid w:val="00CD1139"/>
    <w:rsid w:val="00CD37BB"/>
    <w:rsid w:val="00CD5761"/>
    <w:rsid w:val="00CD6927"/>
    <w:rsid w:val="00CD73C2"/>
    <w:rsid w:val="00CE0539"/>
    <w:rsid w:val="00CE0B76"/>
    <w:rsid w:val="00CE27F1"/>
    <w:rsid w:val="00CE2B2F"/>
    <w:rsid w:val="00CE3BAE"/>
    <w:rsid w:val="00CE3CC2"/>
    <w:rsid w:val="00CE72B9"/>
    <w:rsid w:val="00CF2053"/>
    <w:rsid w:val="00CF407A"/>
    <w:rsid w:val="00CF7150"/>
    <w:rsid w:val="00CF7569"/>
    <w:rsid w:val="00CF781A"/>
    <w:rsid w:val="00D01489"/>
    <w:rsid w:val="00D019A9"/>
    <w:rsid w:val="00D02BBA"/>
    <w:rsid w:val="00D040F4"/>
    <w:rsid w:val="00D04BC6"/>
    <w:rsid w:val="00D07C81"/>
    <w:rsid w:val="00D10188"/>
    <w:rsid w:val="00D11DEF"/>
    <w:rsid w:val="00D121D5"/>
    <w:rsid w:val="00D13577"/>
    <w:rsid w:val="00D14769"/>
    <w:rsid w:val="00D15D09"/>
    <w:rsid w:val="00D166DE"/>
    <w:rsid w:val="00D1779C"/>
    <w:rsid w:val="00D17A57"/>
    <w:rsid w:val="00D20525"/>
    <w:rsid w:val="00D22956"/>
    <w:rsid w:val="00D250C6"/>
    <w:rsid w:val="00D2618D"/>
    <w:rsid w:val="00D26E18"/>
    <w:rsid w:val="00D271F3"/>
    <w:rsid w:val="00D27571"/>
    <w:rsid w:val="00D307D7"/>
    <w:rsid w:val="00D33107"/>
    <w:rsid w:val="00D331A9"/>
    <w:rsid w:val="00D3426D"/>
    <w:rsid w:val="00D34CE5"/>
    <w:rsid w:val="00D36A69"/>
    <w:rsid w:val="00D40369"/>
    <w:rsid w:val="00D435A8"/>
    <w:rsid w:val="00D43D4C"/>
    <w:rsid w:val="00D47F65"/>
    <w:rsid w:val="00D5059A"/>
    <w:rsid w:val="00D5118F"/>
    <w:rsid w:val="00D515DF"/>
    <w:rsid w:val="00D52692"/>
    <w:rsid w:val="00D529C5"/>
    <w:rsid w:val="00D52C3B"/>
    <w:rsid w:val="00D53225"/>
    <w:rsid w:val="00D549D1"/>
    <w:rsid w:val="00D54A88"/>
    <w:rsid w:val="00D57E29"/>
    <w:rsid w:val="00D653E2"/>
    <w:rsid w:val="00D65796"/>
    <w:rsid w:val="00D65EA8"/>
    <w:rsid w:val="00D72BC0"/>
    <w:rsid w:val="00D74A04"/>
    <w:rsid w:val="00D75B21"/>
    <w:rsid w:val="00D826DB"/>
    <w:rsid w:val="00D85866"/>
    <w:rsid w:val="00D9077C"/>
    <w:rsid w:val="00D90B55"/>
    <w:rsid w:val="00D92FEA"/>
    <w:rsid w:val="00D958E2"/>
    <w:rsid w:val="00D97D04"/>
    <w:rsid w:val="00DA0759"/>
    <w:rsid w:val="00DA4A8E"/>
    <w:rsid w:val="00DA4AAF"/>
    <w:rsid w:val="00DB1C85"/>
    <w:rsid w:val="00DB291B"/>
    <w:rsid w:val="00DB4A11"/>
    <w:rsid w:val="00DB6E1D"/>
    <w:rsid w:val="00DB6EB9"/>
    <w:rsid w:val="00DB71F9"/>
    <w:rsid w:val="00DB77B9"/>
    <w:rsid w:val="00DC1373"/>
    <w:rsid w:val="00DC256C"/>
    <w:rsid w:val="00DD1C15"/>
    <w:rsid w:val="00DD2D63"/>
    <w:rsid w:val="00DD461D"/>
    <w:rsid w:val="00DD487F"/>
    <w:rsid w:val="00DD5A08"/>
    <w:rsid w:val="00DD75B5"/>
    <w:rsid w:val="00DE5C90"/>
    <w:rsid w:val="00DE7139"/>
    <w:rsid w:val="00DF1B13"/>
    <w:rsid w:val="00DF3A31"/>
    <w:rsid w:val="00DF3BA1"/>
    <w:rsid w:val="00DF6902"/>
    <w:rsid w:val="00DF7E2F"/>
    <w:rsid w:val="00E00161"/>
    <w:rsid w:val="00E01551"/>
    <w:rsid w:val="00E01C02"/>
    <w:rsid w:val="00E06C77"/>
    <w:rsid w:val="00E07C73"/>
    <w:rsid w:val="00E132EA"/>
    <w:rsid w:val="00E133D0"/>
    <w:rsid w:val="00E159E7"/>
    <w:rsid w:val="00E2008F"/>
    <w:rsid w:val="00E20B2D"/>
    <w:rsid w:val="00E21946"/>
    <w:rsid w:val="00E23E04"/>
    <w:rsid w:val="00E24417"/>
    <w:rsid w:val="00E24F85"/>
    <w:rsid w:val="00E30126"/>
    <w:rsid w:val="00E3031D"/>
    <w:rsid w:val="00E31961"/>
    <w:rsid w:val="00E34CCA"/>
    <w:rsid w:val="00E35FA2"/>
    <w:rsid w:val="00E378EF"/>
    <w:rsid w:val="00E444E6"/>
    <w:rsid w:val="00E54244"/>
    <w:rsid w:val="00E61ABF"/>
    <w:rsid w:val="00E61D18"/>
    <w:rsid w:val="00E63CE0"/>
    <w:rsid w:val="00E64BE4"/>
    <w:rsid w:val="00E67412"/>
    <w:rsid w:val="00E674AE"/>
    <w:rsid w:val="00E67F46"/>
    <w:rsid w:val="00E67F82"/>
    <w:rsid w:val="00E71803"/>
    <w:rsid w:val="00E72DBE"/>
    <w:rsid w:val="00E742FD"/>
    <w:rsid w:val="00E7506A"/>
    <w:rsid w:val="00E761AB"/>
    <w:rsid w:val="00E7626C"/>
    <w:rsid w:val="00E8446A"/>
    <w:rsid w:val="00E905BE"/>
    <w:rsid w:val="00E913B6"/>
    <w:rsid w:val="00E923F2"/>
    <w:rsid w:val="00E93A18"/>
    <w:rsid w:val="00E973F2"/>
    <w:rsid w:val="00EA0580"/>
    <w:rsid w:val="00EA42A0"/>
    <w:rsid w:val="00EA708A"/>
    <w:rsid w:val="00EB416B"/>
    <w:rsid w:val="00EB473A"/>
    <w:rsid w:val="00EB5A7B"/>
    <w:rsid w:val="00EB74F9"/>
    <w:rsid w:val="00EC0455"/>
    <w:rsid w:val="00EC06B5"/>
    <w:rsid w:val="00ED17B2"/>
    <w:rsid w:val="00ED1C62"/>
    <w:rsid w:val="00ED30AE"/>
    <w:rsid w:val="00ED466E"/>
    <w:rsid w:val="00EE0926"/>
    <w:rsid w:val="00EE147E"/>
    <w:rsid w:val="00EE2080"/>
    <w:rsid w:val="00EE2E17"/>
    <w:rsid w:val="00EE72B6"/>
    <w:rsid w:val="00EE7BDC"/>
    <w:rsid w:val="00EF242E"/>
    <w:rsid w:val="00EF38EC"/>
    <w:rsid w:val="00EF5C86"/>
    <w:rsid w:val="00EF6A3A"/>
    <w:rsid w:val="00F00380"/>
    <w:rsid w:val="00F019F8"/>
    <w:rsid w:val="00F06EC5"/>
    <w:rsid w:val="00F114FD"/>
    <w:rsid w:val="00F13A0B"/>
    <w:rsid w:val="00F14551"/>
    <w:rsid w:val="00F146AF"/>
    <w:rsid w:val="00F14ACA"/>
    <w:rsid w:val="00F246CA"/>
    <w:rsid w:val="00F25E18"/>
    <w:rsid w:val="00F2662C"/>
    <w:rsid w:val="00F27D65"/>
    <w:rsid w:val="00F32170"/>
    <w:rsid w:val="00F362F1"/>
    <w:rsid w:val="00F3655E"/>
    <w:rsid w:val="00F40D88"/>
    <w:rsid w:val="00F411F7"/>
    <w:rsid w:val="00F41953"/>
    <w:rsid w:val="00F4332E"/>
    <w:rsid w:val="00F44D41"/>
    <w:rsid w:val="00F44F89"/>
    <w:rsid w:val="00F45041"/>
    <w:rsid w:val="00F472B8"/>
    <w:rsid w:val="00F52AAE"/>
    <w:rsid w:val="00F52F55"/>
    <w:rsid w:val="00F538D4"/>
    <w:rsid w:val="00F565F3"/>
    <w:rsid w:val="00F56643"/>
    <w:rsid w:val="00F6273E"/>
    <w:rsid w:val="00F65131"/>
    <w:rsid w:val="00F660FB"/>
    <w:rsid w:val="00F70495"/>
    <w:rsid w:val="00F70B89"/>
    <w:rsid w:val="00F71E46"/>
    <w:rsid w:val="00F72AA3"/>
    <w:rsid w:val="00F7786F"/>
    <w:rsid w:val="00F822BF"/>
    <w:rsid w:val="00F8317A"/>
    <w:rsid w:val="00F83240"/>
    <w:rsid w:val="00F85305"/>
    <w:rsid w:val="00F90B5E"/>
    <w:rsid w:val="00F9104A"/>
    <w:rsid w:val="00F91371"/>
    <w:rsid w:val="00F94FB2"/>
    <w:rsid w:val="00FA0979"/>
    <w:rsid w:val="00FA0A82"/>
    <w:rsid w:val="00FA2E82"/>
    <w:rsid w:val="00FA2FD6"/>
    <w:rsid w:val="00FA4675"/>
    <w:rsid w:val="00FA51FA"/>
    <w:rsid w:val="00FA556D"/>
    <w:rsid w:val="00FA5C9F"/>
    <w:rsid w:val="00FB09AA"/>
    <w:rsid w:val="00FB18DD"/>
    <w:rsid w:val="00FB21A9"/>
    <w:rsid w:val="00FB4766"/>
    <w:rsid w:val="00FB4FEE"/>
    <w:rsid w:val="00FB618E"/>
    <w:rsid w:val="00FC15C7"/>
    <w:rsid w:val="00FC166D"/>
    <w:rsid w:val="00FC5593"/>
    <w:rsid w:val="00FC62D1"/>
    <w:rsid w:val="00FC7345"/>
    <w:rsid w:val="00FC7926"/>
    <w:rsid w:val="00FD20B5"/>
    <w:rsid w:val="00FD2AB9"/>
    <w:rsid w:val="00FD49C7"/>
    <w:rsid w:val="00FD7DBB"/>
    <w:rsid w:val="00FE0A9D"/>
    <w:rsid w:val="00FE11E3"/>
    <w:rsid w:val="00FE2ED4"/>
    <w:rsid w:val="00FE4355"/>
    <w:rsid w:val="00FE4A84"/>
    <w:rsid w:val="00FE5ACF"/>
    <w:rsid w:val="00FE5D24"/>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fsa.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etfSA.co.za\SHERRYL\ETFSA\Website\WEB%20-%20News\2023\market%20cap%202008%20to%20sep202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ED-492B-9D0B-171F7028DA4A}"/>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ED-492B-9D0B-171F7028DA4A}"/>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ED-492B-9D0B-171F7028DA4A}"/>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ED-492B-9D0B-171F7028DA4A}"/>
                </c:ext>
              </c:extLst>
            </c:dLbl>
            <c:dLbl>
              <c:idx val="13"/>
              <c:layout>
                <c:manualLayout>
                  <c:x val="-2.06451570952182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ED-492B-9D0B-171F7028DA4A}"/>
                </c:ext>
              </c:extLst>
            </c:dLbl>
            <c:dLbl>
              <c:idx val="14"/>
              <c:layout>
                <c:manualLayout>
                  <c:x val="1.8052865450714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ED-492B-9D0B-171F7028DA4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Sheet1!$A$2:$A$17</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formatCode="mmm\-yy">
                  <c:v>45170</c:v>
                </c:pt>
              </c:numCache>
            </c:numRef>
          </c:cat>
          <c:val>
            <c:numRef>
              <c:f>Sheet1!$B$2:$B$17</c:f>
              <c:numCache>
                <c:formatCode>General</c:formatCode>
                <c:ptCount val="16"/>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pt idx="14">
                  <c:v>129311</c:v>
                </c:pt>
                <c:pt idx="15">
                  <c:v>154577</c:v>
                </c:pt>
              </c:numCache>
            </c:numRef>
          </c:val>
          <c:extLst>
            <c:ext xmlns:c16="http://schemas.microsoft.com/office/drawing/2014/chart" uri="{C3380CC4-5D6E-409C-BE32-E72D297353CC}">
              <c16:uniqueId val="{00000006-52ED-492B-9D0B-171F7028DA4A}"/>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0.49763</cdr:x>
      <cdr:y>0.89111</cdr:y>
    </cdr:from>
    <cdr:to>
      <cdr:x>0.67707</cdr:x>
      <cdr:y>0.97595</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332046" y="2738740"/>
          <a:ext cx="840910" cy="26074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0.01082</cdr:x>
      <cdr:y>0.9121</cdr:y>
    </cdr:from>
    <cdr:to>
      <cdr:x>0.45648</cdr:x>
      <cdr:y>0.99694</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53282" y="2840895"/>
          <a:ext cx="2194619" cy="2642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(Sep 2023)</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2991</Words>
  <Characters>17052</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cp:revision>
  <cp:lastPrinted>2023-10-19T08:25:00Z</cp:lastPrinted>
  <dcterms:created xsi:type="dcterms:W3CDTF">2023-10-19T11:31:00Z</dcterms:created>
  <dcterms:modified xsi:type="dcterms:W3CDTF">2023-10-19T11:31:00Z</dcterms:modified>
</cp:coreProperties>
</file>