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431F" w14:textId="77777777" w:rsidR="0009727D" w:rsidRPr="008F7A94" w:rsidRDefault="0009727D" w:rsidP="00BE52D1">
      <w:pPr>
        <w:jc w:val="both"/>
      </w:pPr>
    </w:p>
    <w:tbl>
      <w:tblPr>
        <w:tblW w:w="9214" w:type="dxa"/>
        <w:tblLayout w:type="fixed"/>
        <w:tblLook w:val="04A0" w:firstRow="1" w:lastRow="0" w:firstColumn="1" w:lastColumn="0" w:noHBand="0" w:noVBand="1"/>
      </w:tblPr>
      <w:tblGrid>
        <w:gridCol w:w="1843"/>
        <w:gridCol w:w="675"/>
        <w:gridCol w:w="6696"/>
      </w:tblGrid>
      <w:tr w:rsidR="008F7A94" w:rsidRPr="007A0E0F" w14:paraId="55C673A3" w14:textId="77777777" w:rsidTr="7E200472">
        <w:trPr>
          <w:trHeight w:val="113"/>
        </w:trPr>
        <w:tc>
          <w:tcPr>
            <w:tcW w:w="1843" w:type="dxa"/>
          </w:tcPr>
          <w:p w14:paraId="1C60D9A0" w14:textId="77777777" w:rsidR="0009727D" w:rsidRPr="00080550" w:rsidRDefault="0009727D" w:rsidP="00BE52D1">
            <w:pPr>
              <w:tabs>
                <w:tab w:val="left" w:pos="2126"/>
              </w:tabs>
              <w:autoSpaceDE w:val="0"/>
              <w:autoSpaceDN w:val="0"/>
              <w:adjustRightInd w:val="0"/>
              <w:spacing w:after="0"/>
              <w:ind w:right="317"/>
              <w:jc w:val="both"/>
              <w:rPr>
                <w:rFonts w:ascii="Arial Narrow" w:hAnsi="Arial Narrow" w:cs="Arial Narrow"/>
              </w:rPr>
            </w:pPr>
            <w:r w:rsidRPr="00080550">
              <w:rPr>
                <w:rFonts w:ascii="Arial Narrow" w:hAnsi="Arial Narrow" w:cs="Arial Narrow"/>
              </w:rPr>
              <w:t>Reference:</w:t>
            </w:r>
          </w:p>
        </w:tc>
        <w:tc>
          <w:tcPr>
            <w:tcW w:w="675" w:type="dxa"/>
          </w:tcPr>
          <w:p w14:paraId="4A898F0A" w14:textId="77777777" w:rsidR="0009727D" w:rsidRPr="007A0E0F" w:rsidRDefault="0009727D" w:rsidP="00BE52D1">
            <w:pPr>
              <w:tabs>
                <w:tab w:val="left" w:pos="1600"/>
              </w:tabs>
              <w:autoSpaceDE w:val="0"/>
              <w:autoSpaceDN w:val="0"/>
              <w:adjustRightInd w:val="0"/>
              <w:spacing w:after="0"/>
              <w:ind w:right="2506"/>
              <w:jc w:val="both"/>
              <w:rPr>
                <w:rFonts w:ascii="Arial Narrow" w:hAnsi="Arial Narrow" w:cs="Arial Narrow"/>
                <w:sz w:val="20"/>
                <w:szCs w:val="20"/>
              </w:rPr>
            </w:pPr>
          </w:p>
        </w:tc>
        <w:tc>
          <w:tcPr>
            <w:tcW w:w="6696" w:type="dxa"/>
          </w:tcPr>
          <w:p w14:paraId="1A414A27" w14:textId="2E85DFF4" w:rsidR="0009727D" w:rsidRPr="00C750DF" w:rsidRDefault="00970B3F" w:rsidP="00BE52D1">
            <w:pPr>
              <w:tabs>
                <w:tab w:val="left" w:pos="1600"/>
              </w:tabs>
              <w:autoSpaceDE w:val="0"/>
              <w:autoSpaceDN w:val="0"/>
              <w:adjustRightInd w:val="0"/>
              <w:spacing w:after="0"/>
              <w:ind w:right="175"/>
              <w:jc w:val="both"/>
              <w:rPr>
                <w:rFonts w:ascii="Arial Narrow" w:hAnsi="Arial Narrow" w:cs="Arial Narrow"/>
              </w:rPr>
            </w:pPr>
            <w:r w:rsidRPr="00C750DF">
              <w:rPr>
                <w:rFonts w:ascii="Arial Narrow" w:hAnsi="Arial Narrow" w:cs="Arial Narrow"/>
              </w:rPr>
              <w:t>Guidance on contribution increases and benefits changes for 2024</w:t>
            </w:r>
          </w:p>
        </w:tc>
      </w:tr>
      <w:tr w:rsidR="008F7A94" w:rsidRPr="00747FAB" w14:paraId="0ED482EE" w14:textId="77777777" w:rsidTr="7E200472">
        <w:trPr>
          <w:trHeight w:val="113"/>
        </w:trPr>
        <w:tc>
          <w:tcPr>
            <w:tcW w:w="1843" w:type="dxa"/>
          </w:tcPr>
          <w:p w14:paraId="394F1A45" w14:textId="77777777" w:rsidR="0009727D" w:rsidRPr="00080550" w:rsidRDefault="0009727D" w:rsidP="00BE52D1">
            <w:pPr>
              <w:tabs>
                <w:tab w:val="left" w:pos="2126"/>
              </w:tabs>
              <w:autoSpaceDE w:val="0"/>
              <w:autoSpaceDN w:val="0"/>
              <w:adjustRightInd w:val="0"/>
              <w:spacing w:after="0"/>
              <w:ind w:right="317"/>
              <w:jc w:val="both"/>
              <w:rPr>
                <w:rFonts w:ascii="Arial Narrow" w:hAnsi="Arial Narrow" w:cs="Arial Narrow"/>
              </w:rPr>
            </w:pPr>
            <w:r w:rsidRPr="00080550">
              <w:rPr>
                <w:rFonts w:ascii="Arial Narrow" w:hAnsi="Arial Narrow" w:cs="Arial Narrow"/>
              </w:rPr>
              <w:t>Contact person:</w:t>
            </w:r>
          </w:p>
        </w:tc>
        <w:tc>
          <w:tcPr>
            <w:tcW w:w="675" w:type="dxa"/>
          </w:tcPr>
          <w:p w14:paraId="2AAF8BAE" w14:textId="77777777" w:rsidR="0009727D" w:rsidRPr="007A0E0F" w:rsidRDefault="0009727D" w:rsidP="00BE52D1">
            <w:pPr>
              <w:tabs>
                <w:tab w:val="left" w:pos="1600"/>
              </w:tabs>
              <w:autoSpaceDE w:val="0"/>
              <w:autoSpaceDN w:val="0"/>
              <w:adjustRightInd w:val="0"/>
              <w:spacing w:after="0"/>
              <w:ind w:right="2506"/>
              <w:jc w:val="both"/>
              <w:rPr>
                <w:rFonts w:ascii="Arial Narrow" w:hAnsi="Arial Narrow" w:cs="Arial Narrow"/>
                <w:sz w:val="20"/>
                <w:szCs w:val="20"/>
              </w:rPr>
            </w:pPr>
          </w:p>
        </w:tc>
        <w:tc>
          <w:tcPr>
            <w:tcW w:w="6696" w:type="dxa"/>
          </w:tcPr>
          <w:p w14:paraId="2B8E580C" w14:textId="06EABCCE" w:rsidR="0009727D" w:rsidRPr="00C750DF" w:rsidRDefault="00970B3F" w:rsidP="00BE52D1">
            <w:pPr>
              <w:tabs>
                <w:tab w:val="left" w:pos="1600"/>
              </w:tabs>
              <w:autoSpaceDE w:val="0"/>
              <w:autoSpaceDN w:val="0"/>
              <w:adjustRightInd w:val="0"/>
              <w:spacing w:after="0"/>
              <w:ind w:right="175"/>
              <w:jc w:val="both"/>
              <w:rPr>
                <w:rFonts w:ascii="Arial Narrow" w:hAnsi="Arial Narrow" w:cs="Arial Narrow"/>
                <w:lang w:val="de-DE"/>
              </w:rPr>
            </w:pPr>
            <w:r w:rsidRPr="00C750DF">
              <w:rPr>
                <w:rFonts w:ascii="Arial Narrow" w:hAnsi="Arial Narrow" w:cs="Arial Narrow"/>
                <w:lang w:val="de-DE"/>
              </w:rPr>
              <w:t xml:space="preserve">Mr </w:t>
            </w:r>
            <w:r w:rsidR="007574F3" w:rsidRPr="00C750DF">
              <w:rPr>
                <w:rFonts w:ascii="Arial Narrow" w:hAnsi="Arial Narrow" w:cs="Arial Narrow"/>
                <w:lang w:val="de-DE"/>
              </w:rPr>
              <w:t>Mondi Govuzela</w:t>
            </w:r>
          </w:p>
        </w:tc>
      </w:tr>
      <w:tr w:rsidR="008F7A94" w:rsidRPr="007A0E0F" w14:paraId="02BDC106" w14:textId="77777777" w:rsidTr="7E200472">
        <w:trPr>
          <w:trHeight w:val="113"/>
        </w:trPr>
        <w:tc>
          <w:tcPr>
            <w:tcW w:w="1843" w:type="dxa"/>
          </w:tcPr>
          <w:p w14:paraId="09AF8B47" w14:textId="77777777" w:rsidR="0009727D" w:rsidRPr="00080550" w:rsidRDefault="0009727D" w:rsidP="00BE52D1">
            <w:pPr>
              <w:tabs>
                <w:tab w:val="left" w:pos="2126"/>
              </w:tabs>
              <w:autoSpaceDE w:val="0"/>
              <w:autoSpaceDN w:val="0"/>
              <w:adjustRightInd w:val="0"/>
              <w:spacing w:after="0"/>
              <w:ind w:right="317"/>
              <w:jc w:val="both"/>
              <w:rPr>
                <w:rFonts w:ascii="Arial Narrow" w:hAnsi="Arial Narrow" w:cs="Arial Narrow"/>
              </w:rPr>
            </w:pPr>
            <w:r w:rsidRPr="00080550">
              <w:rPr>
                <w:rFonts w:ascii="Arial Narrow" w:hAnsi="Arial Narrow" w:cs="Arial Narrow"/>
              </w:rPr>
              <w:t>Tel:</w:t>
            </w:r>
          </w:p>
        </w:tc>
        <w:tc>
          <w:tcPr>
            <w:tcW w:w="675" w:type="dxa"/>
          </w:tcPr>
          <w:p w14:paraId="2E7ED9B8" w14:textId="77777777" w:rsidR="0009727D" w:rsidRPr="007A0E0F" w:rsidRDefault="0009727D" w:rsidP="00BE52D1">
            <w:pPr>
              <w:tabs>
                <w:tab w:val="left" w:pos="1600"/>
              </w:tabs>
              <w:autoSpaceDE w:val="0"/>
              <w:autoSpaceDN w:val="0"/>
              <w:adjustRightInd w:val="0"/>
              <w:spacing w:after="0"/>
              <w:ind w:right="2506"/>
              <w:jc w:val="both"/>
              <w:rPr>
                <w:rFonts w:ascii="Arial Narrow" w:hAnsi="Arial Narrow" w:cs="Arial Narrow"/>
                <w:sz w:val="20"/>
                <w:szCs w:val="20"/>
              </w:rPr>
            </w:pPr>
          </w:p>
        </w:tc>
        <w:tc>
          <w:tcPr>
            <w:tcW w:w="6696" w:type="dxa"/>
          </w:tcPr>
          <w:p w14:paraId="537320CA" w14:textId="34415017" w:rsidR="0009727D" w:rsidRPr="00C750DF" w:rsidRDefault="003D439B" w:rsidP="00BE52D1">
            <w:pPr>
              <w:tabs>
                <w:tab w:val="left" w:pos="1600"/>
              </w:tabs>
              <w:autoSpaceDE w:val="0"/>
              <w:autoSpaceDN w:val="0"/>
              <w:adjustRightInd w:val="0"/>
              <w:spacing w:after="0"/>
              <w:ind w:right="175"/>
              <w:jc w:val="both"/>
              <w:rPr>
                <w:rFonts w:ascii="Arial Narrow" w:hAnsi="Arial Narrow" w:cs="Arial Narrow"/>
              </w:rPr>
            </w:pPr>
            <w:r w:rsidRPr="00C750DF">
              <w:rPr>
                <w:rFonts w:ascii="Arial Narrow" w:hAnsi="Arial Narrow" w:cs="Arial Narrow"/>
              </w:rPr>
              <w:t>012</w:t>
            </w:r>
            <w:r w:rsidR="00A1320F" w:rsidRPr="00C750DF">
              <w:rPr>
                <w:rFonts w:ascii="Arial Narrow" w:hAnsi="Arial Narrow" w:cs="Arial Narrow"/>
              </w:rPr>
              <w:t> </w:t>
            </w:r>
            <w:r w:rsidRPr="00C750DF">
              <w:rPr>
                <w:rFonts w:ascii="Arial Narrow" w:hAnsi="Arial Narrow" w:cs="Arial Narrow"/>
              </w:rPr>
              <w:t>431</w:t>
            </w:r>
            <w:r w:rsidR="00A1320F" w:rsidRPr="00C750DF">
              <w:rPr>
                <w:rFonts w:ascii="Arial Narrow" w:hAnsi="Arial Narrow" w:cs="Arial Narrow"/>
              </w:rPr>
              <w:t xml:space="preserve"> </w:t>
            </w:r>
            <w:r w:rsidRPr="00C750DF">
              <w:rPr>
                <w:rFonts w:ascii="Arial Narrow" w:hAnsi="Arial Narrow" w:cs="Arial Narrow"/>
              </w:rPr>
              <w:t>0</w:t>
            </w:r>
            <w:r w:rsidR="00772CBA" w:rsidRPr="00C750DF">
              <w:rPr>
                <w:rFonts w:ascii="Arial Narrow" w:hAnsi="Arial Narrow" w:cs="Arial Narrow"/>
              </w:rPr>
              <w:t>5</w:t>
            </w:r>
            <w:r w:rsidR="00432810" w:rsidRPr="00C750DF">
              <w:rPr>
                <w:rFonts w:ascii="Arial Narrow" w:hAnsi="Arial Narrow" w:cs="Arial Narrow"/>
              </w:rPr>
              <w:t>82</w:t>
            </w:r>
          </w:p>
        </w:tc>
      </w:tr>
      <w:tr w:rsidR="008F7A94" w:rsidRPr="007A0E0F" w14:paraId="33540463" w14:textId="77777777" w:rsidTr="7E200472">
        <w:trPr>
          <w:trHeight w:val="113"/>
        </w:trPr>
        <w:tc>
          <w:tcPr>
            <w:tcW w:w="1843" w:type="dxa"/>
          </w:tcPr>
          <w:p w14:paraId="44A2BC46" w14:textId="77777777" w:rsidR="0009727D" w:rsidRPr="00080550" w:rsidRDefault="0009727D" w:rsidP="00BE52D1">
            <w:pPr>
              <w:tabs>
                <w:tab w:val="left" w:pos="2126"/>
              </w:tabs>
              <w:autoSpaceDE w:val="0"/>
              <w:autoSpaceDN w:val="0"/>
              <w:adjustRightInd w:val="0"/>
              <w:spacing w:after="0"/>
              <w:ind w:right="317"/>
              <w:jc w:val="both"/>
              <w:rPr>
                <w:rFonts w:ascii="Arial Narrow" w:hAnsi="Arial Narrow" w:cs="Arial Narrow"/>
              </w:rPr>
            </w:pPr>
            <w:r w:rsidRPr="00080550">
              <w:rPr>
                <w:rFonts w:ascii="Arial Narrow" w:hAnsi="Arial Narrow" w:cs="Arial Narrow"/>
              </w:rPr>
              <w:t>E-mail:</w:t>
            </w:r>
          </w:p>
        </w:tc>
        <w:tc>
          <w:tcPr>
            <w:tcW w:w="675" w:type="dxa"/>
          </w:tcPr>
          <w:p w14:paraId="321DB302" w14:textId="77777777" w:rsidR="0009727D" w:rsidRPr="007A0E0F" w:rsidRDefault="0009727D" w:rsidP="00BE52D1">
            <w:pPr>
              <w:tabs>
                <w:tab w:val="left" w:pos="1600"/>
              </w:tabs>
              <w:autoSpaceDE w:val="0"/>
              <w:autoSpaceDN w:val="0"/>
              <w:adjustRightInd w:val="0"/>
              <w:spacing w:after="0"/>
              <w:ind w:right="2506"/>
              <w:jc w:val="both"/>
              <w:rPr>
                <w:rFonts w:ascii="Arial Narrow" w:hAnsi="Arial Narrow" w:cs="Arial Narrow"/>
                <w:sz w:val="20"/>
                <w:szCs w:val="20"/>
              </w:rPr>
            </w:pPr>
          </w:p>
        </w:tc>
        <w:tc>
          <w:tcPr>
            <w:tcW w:w="6696" w:type="dxa"/>
          </w:tcPr>
          <w:p w14:paraId="38691B95" w14:textId="73AEA038" w:rsidR="007574F3" w:rsidRPr="00C750DF" w:rsidRDefault="002045B0" w:rsidP="00BE52D1">
            <w:pPr>
              <w:tabs>
                <w:tab w:val="left" w:pos="1600"/>
              </w:tabs>
              <w:autoSpaceDE w:val="0"/>
              <w:autoSpaceDN w:val="0"/>
              <w:adjustRightInd w:val="0"/>
              <w:spacing w:after="0"/>
              <w:ind w:right="175"/>
              <w:jc w:val="both"/>
              <w:rPr>
                <w:rFonts w:ascii="Arial Narrow" w:hAnsi="Arial Narrow"/>
              </w:rPr>
            </w:pPr>
            <w:hyperlink r:id="rId11" w:history="1">
              <w:r w:rsidR="007574F3" w:rsidRPr="00C750DF">
                <w:rPr>
                  <w:rStyle w:val="Hyperlink"/>
                  <w:rFonts w:ascii="Arial Narrow" w:hAnsi="Arial Narrow"/>
                </w:rPr>
                <w:t>m.govuzela@medicalschemes.co.za</w:t>
              </w:r>
            </w:hyperlink>
          </w:p>
        </w:tc>
      </w:tr>
      <w:tr w:rsidR="007A0E0F" w:rsidRPr="007A0E0F" w14:paraId="3DE0E6B3" w14:textId="77777777" w:rsidTr="7E200472">
        <w:trPr>
          <w:trHeight w:val="113"/>
        </w:trPr>
        <w:tc>
          <w:tcPr>
            <w:tcW w:w="1843" w:type="dxa"/>
          </w:tcPr>
          <w:p w14:paraId="39391AF7" w14:textId="77777777" w:rsidR="0009727D" w:rsidRPr="00080550" w:rsidRDefault="0009727D" w:rsidP="00BE52D1">
            <w:pPr>
              <w:tabs>
                <w:tab w:val="left" w:pos="2126"/>
              </w:tabs>
              <w:autoSpaceDE w:val="0"/>
              <w:autoSpaceDN w:val="0"/>
              <w:adjustRightInd w:val="0"/>
              <w:spacing w:after="0"/>
              <w:ind w:right="317"/>
              <w:jc w:val="both"/>
              <w:rPr>
                <w:rFonts w:ascii="Arial Narrow" w:hAnsi="Arial Narrow" w:cs="Arial Narrow"/>
              </w:rPr>
            </w:pPr>
            <w:r w:rsidRPr="00080550">
              <w:rPr>
                <w:rFonts w:ascii="Arial Narrow" w:hAnsi="Arial Narrow" w:cs="Arial Narrow"/>
              </w:rPr>
              <w:t>Date:</w:t>
            </w:r>
          </w:p>
        </w:tc>
        <w:tc>
          <w:tcPr>
            <w:tcW w:w="675" w:type="dxa"/>
          </w:tcPr>
          <w:p w14:paraId="5ECC36C4" w14:textId="77777777" w:rsidR="0009727D" w:rsidRPr="007A0E0F" w:rsidRDefault="0009727D" w:rsidP="00BE52D1">
            <w:pPr>
              <w:tabs>
                <w:tab w:val="left" w:pos="1600"/>
              </w:tabs>
              <w:autoSpaceDE w:val="0"/>
              <w:autoSpaceDN w:val="0"/>
              <w:adjustRightInd w:val="0"/>
              <w:spacing w:after="0"/>
              <w:ind w:right="2506"/>
              <w:jc w:val="both"/>
              <w:rPr>
                <w:rFonts w:ascii="Arial Narrow" w:hAnsi="Arial Narrow" w:cs="Arial Narrow"/>
                <w:sz w:val="20"/>
                <w:szCs w:val="20"/>
              </w:rPr>
            </w:pPr>
          </w:p>
        </w:tc>
        <w:tc>
          <w:tcPr>
            <w:tcW w:w="6696" w:type="dxa"/>
          </w:tcPr>
          <w:p w14:paraId="5B5DF084" w14:textId="0884CDD2" w:rsidR="0009727D" w:rsidRPr="00C750DF" w:rsidRDefault="00931F3E" w:rsidP="00BE52D1">
            <w:pPr>
              <w:tabs>
                <w:tab w:val="left" w:pos="1600"/>
              </w:tabs>
              <w:autoSpaceDE w:val="0"/>
              <w:autoSpaceDN w:val="0"/>
              <w:adjustRightInd w:val="0"/>
              <w:spacing w:after="0"/>
              <w:ind w:right="175"/>
              <w:jc w:val="both"/>
              <w:rPr>
                <w:rFonts w:ascii="Arial Narrow" w:hAnsi="Arial Narrow" w:cs="Arial Narrow"/>
              </w:rPr>
            </w:pPr>
            <w:r>
              <w:rPr>
                <w:rFonts w:ascii="Arial Narrow" w:hAnsi="Arial Narrow" w:cs="Arial Narrow"/>
                <w:noProof/>
              </w:rPr>
              <w:t>31</w:t>
            </w:r>
            <w:r w:rsidR="00F12FC8">
              <w:rPr>
                <w:rFonts w:ascii="Arial Narrow" w:hAnsi="Arial Narrow" w:cs="Arial Narrow"/>
                <w:noProof/>
              </w:rPr>
              <w:t xml:space="preserve"> July 2023</w:t>
            </w:r>
          </w:p>
        </w:tc>
      </w:tr>
    </w:tbl>
    <w:p w14:paraId="77FF2655" w14:textId="77777777" w:rsidR="0009727D" w:rsidRPr="008F7A94" w:rsidRDefault="0009727D" w:rsidP="00BE52D1">
      <w:pPr>
        <w:spacing w:after="0"/>
        <w:ind w:left="142"/>
        <w:jc w:val="both"/>
        <w:rPr>
          <w:rFonts w:ascii="Arial Narrow" w:hAnsi="Arial Narrow"/>
        </w:rPr>
      </w:pPr>
    </w:p>
    <w:tbl>
      <w:tblPr>
        <w:tblW w:w="0" w:type="auto"/>
        <w:tblInd w:w="142" w:type="dxa"/>
        <w:tblLook w:val="04A0" w:firstRow="1" w:lastRow="0" w:firstColumn="1" w:lastColumn="0" w:noHBand="0" w:noVBand="1"/>
      </w:tblPr>
      <w:tblGrid>
        <w:gridCol w:w="8885"/>
      </w:tblGrid>
      <w:tr w:rsidR="007A0E0F" w:rsidRPr="008F7A94" w14:paraId="35F45523" w14:textId="77777777" w:rsidTr="7E200472">
        <w:tc>
          <w:tcPr>
            <w:tcW w:w="9605" w:type="dxa"/>
          </w:tcPr>
          <w:p w14:paraId="70E36E93" w14:textId="77777777" w:rsidR="003D3750" w:rsidRPr="008F7A94" w:rsidRDefault="003D3750" w:rsidP="00BE52D1">
            <w:pPr>
              <w:spacing w:after="0"/>
              <w:jc w:val="both"/>
              <w:rPr>
                <w:rFonts w:ascii="Arial Narrow" w:hAnsi="Arial Narrow"/>
                <w:b/>
                <w:sz w:val="28"/>
                <w:szCs w:val="28"/>
                <w:lang w:val="en-ZA"/>
              </w:rPr>
            </w:pPr>
            <w:bookmarkStart w:id="0" w:name="Text5"/>
          </w:p>
          <w:p w14:paraId="126E8BC2" w14:textId="4ACBE7B5" w:rsidR="003D439B" w:rsidRPr="00FA2CDC" w:rsidRDefault="244293EB" w:rsidP="7E200472">
            <w:pPr>
              <w:spacing w:after="0"/>
              <w:jc w:val="both"/>
              <w:rPr>
                <w:rFonts w:ascii="Arial Narrow" w:hAnsi="Arial Narrow"/>
                <w:b/>
                <w:bCs/>
                <w:sz w:val="28"/>
                <w:szCs w:val="28"/>
                <w:lang w:val="en-ZA"/>
              </w:rPr>
            </w:pPr>
            <w:r w:rsidRPr="7E200472">
              <w:rPr>
                <w:rFonts w:ascii="Arial Narrow" w:hAnsi="Arial Narrow"/>
                <w:b/>
                <w:bCs/>
                <w:sz w:val="28"/>
                <w:szCs w:val="28"/>
                <w:lang w:val="en-ZA"/>
              </w:rPr>
              <w:t xml:space="preserve">Circular </w:t>
            </w:r>
            <w:r w:rsidR="00F367DB" w:rsidDel="00F367DB">
              <w:rPr>
                <w:rFonts w:ascii="Arial Narrow" w:hAnsi="Arial Narrow"/>
                <w:b/>
                <w:bCs/>
                <w:sz w:val="28"/>
                <w:szCs w:val="28"/>
                <w:lang w:val="en-ZA"/>
              </w:rPr>
              <w:t>27</w:t>
            </w:r>
            <w:r w:rsidR="40F72CFD" w:rsidRPr="7E200472">
              <w:rPr>
                <w:rFonts w:ascii="Arial Narrow" w:hAnsi="Arial Narrow"/>
                <w:b/>
                <w:bCs/>
                <w:sz w:val="28"/>
                <w:szCs w:val="28"/>
                <w:lang w:val="en-ZA"/>
              </w:rPr>
              <w:t xml:space="preserve"> </w:t>
            </w:r>
            <w:r w:rsidRPr="7E200472">
              <w:rPr>
                <w:rFonts w:ascii="Arial Narrow" w:hAnsi="Arial Narrow"/>
                <w:b/>
                <w:bCs/>
                <w:sz w:val="28"/>
                <w:szCs w:val="28"/>
                <w:lang w:val="en-ZA"/>
              </w:rPr>
              <w:t xml:space="preserve">of </w:t>
            </w:r>
            <w:r w:rsidR="0D77744F" w:rsidRPr="7E200472">
              <w:rPr>
                <w:rFonts w:ascii="Arial Narrow" w:hAnsi="Arial Narrow"/>
                <w:b/>
                <w:bCs/>
                <w:sz w:val="28"/>
                <w:szCs w:val="28"/>
                <w:lang w:val="en-ZA"/>
              </w:rPr>
              <w:t>2023:</w:t>
            </w:r>
            <w:bookmarkStart w:id="1" w:name="_Hlk138240438"/>
            <w:r w:rsidR="2A9CBB11" w:rsidRPr="7E200472">
              <w:rPr>
                <w:rFonts w:ascii="Arial Narrow" w:hAnsi="Arial Narrow"/>
                <w:b/>
                <w:bCs/>
                <w:sz w:val="28"/>
                <w:szCs w:val="28"/>
                <w:lang w:val="en-ZA"/>
              </w:rPr>
              <w:t xml:space="preserve"> </w:t>
            </w:r>
            <w:bookmarkEnd w:id="1"/>
            <w:r w:rsidR="001F030F">
              <w:rPr>
                <w:rFonts w:ascii="Arial Narrow" w:hAnsi="Arial Narrow"/>
                <w:b/>
                <w:bCs/>
                <w:sz w:val="28"/>
                <w:szCs w:val="28"/>
                <w:lang w:val="en-ZA"/>
              </w:rPr>
              <w:t>Guidance on contribution increases and benefit</w:t>
            </w:r>
            <w:r w:rsidR="002B08C2">
              <w:rPr>
                <w:rFonts w:ascii="Arial Narrow" w:hAnsi="Arial Narrow"/>
                <w:b/>
                <w:bCs/>
                <w:sz w:val="28"/>
                <w:szCs w:val="28"/>
                <w:lang w:val="en-ZA"/>
              </w:rPr>
              <w:t xml:space="preserve">s changes for 2024 </w:t>
            </w:r>
          </w:p>
        </w:tc>
      </w:tr>
      <w:bookmarkEnd w:id="0"/>
    </w:tbl>
    <w:p w14:paraId="4824CDF4" w14:textId="77777777" w:rsidR="002B08C2" w:rsidRDefault="002B08C2" w:rsidP="00CF27B7">
      <w:pPr>
        <w:spacing w:after="0"/>
        <w:ind w:right="96"/>
        <w:jc w:val="both"/>
        <w:rPr>
          <w:rFonts w:ascii="Arial Narrow" w:hAnsi="Arial Narrow"/>
          <w:lang w:val="en-ZA"/>
        </w:rPr>
      </w:pPr>
    </w:p>
    <w:p w14:paraId="5E21BDA0" w14:textId="1B23A972" w:rsidR="00EA46C4" w:rsidRPr="00EA46C4" w:rsidRDefault="009F6FE8" w:rsidP="00EA46C4">
      <w:pPr>
        <w:pStyle w:val="ListParagraph"/>
        <w:ind w:left="360"/>
        <w:jc w:val="both"/>
        <w:rPr>
          <w:rFonts w:ascii="Arial Narrow" w:eastAsiaTheme="minorHAnsi" w:hAnsi="Arial Narrow" w:cstheme="minorBidi"/>
          <w:lang w:val="en-GB"/>
        </w:rPr>
      </w:pPr>
      <w:proofErr w:type="gramStart"/>
      <w:r w:rsidRPr="00EA46C4">
        <w:rPr>
          <w:rFonts w:ascii="Arial Narrow" w:eastAsiaTheme="minorHAnsi" w:hAnsi="Arial Narrow" w:cstheme="minorBidi"/>
          <w:lang w:val="en-GB"/>
        </w:rPr>
        <w:t xml:space="preserve">This Circular </w:t>
      </w:r>
      <w:r>
        <w:rPr>
          <w:rFonts w:ascii="Arial Narrow" w:eastAsiaTheme="minorHAnsi" w:hAnsi="Arial Narrow" w:cstheme="minorBidi"/>
          <w:lang w:val="en-GB"/>
        </w:rPr>
        <w:t>outline</w:t>
      </w:r>
      <w:r w:rsidR="0045678D">
        <w:rPr>
          <w:rFonts w:ascii="Arial Narrow" w:eastAsiaTheme="minorHAnsi" w:hAnsi="Arial Narrow" w:cstheme="minorBidi"/>
          <w:lang w:val="en-GB"/>
        </w:rPr>
        <w:t>s</w:t>
      </w:r>
      <w:proofErr w:type="gramEnd"/>
      <w:r w:rsidR="00EA46C4" w:rsidRPr="00EA46C4">
        <w:rPr>
          <w:rFonts w:ascii="Arial Narrow" w:eastAsiaTheme="minorHAnsi" w:hAnsi="Arial Narrow" w:cstheme="minorBidi"/>
          <w:lang w:val="en-GB"/>
        </w:rPr>
        <w:t xml:space="preserve"> the requirements that must be adhered to by medical schemes for the assessment of annual medical scheme</w:t>
      </w:r>
      <w:r w:rsidR="00C822EA">
        <w:rPr>
          <w:rFonts w:ascii="Arial Narrow" w:eastAsiaTheme="minorHAnsi" w:hAnsi="Arial Narrow" w:cstheme="minorBidi"/>
          <w:lang w:val="en-GB"/>
        </w:rPr>
        <w:t>s</w:t>
      </w:r>
      <w:r w:rsidR="00EA46C4" w:rsidRPr="00EA46C4">
        <w:rPr>
          <w:rFonts w:ascii="Arial Narrow" w:eastAsiaTheme="minorHAnsi" w:hAnsi="Arial Narrow" w:cstheme="minorBidi"/>
          <w:lang w:val="en-GB"/>
        </w:rPr>
        <w:t xml:space="preserve"> contribution increases and benefit changes for the 202</w:t>
      </w:r>
      <w:r w:rsidR="000D0CF0">
        <w:rPr>
          <w:rFonts w:ascii="Arial Narrow" w:eastAsiaTheme="minorHAnsi" w:hAnsi="Arial Narrow" w:cstheme="minorBidi"/>
          <w:lang w:val="en-GB"/>
        </w:rPr>
        <w:t>4</w:t>
      </w:r>
      <w:r w:rsidR="00EA46C4" w:rsidRPr="00EA46C4">
        <w:rPr>
          <w:rFonts w:ascii="Arial Narrow" w:eastAsiaTheme="minorHAnsi" w:hAnsi="Arial Narrow" w:cstheme="minorBidi"/>
          <w:lang w:val="en-GB"/>
        </w:rPr>
        <w:t xml:space="preserve"> benefit year. </w:t>
      </w:r>
    </w:p>
    <w:p w14:paraId="620DE0E5" w14:textId="77777777" w:rsidR="00EA46C4" w:rsidRDefault="00EA46C4" w:rsidP="00BE52D1">
      <w:pPr>
        <w:pStyle w:val="ListParagraph"/>
        <w:jc w:val="both"/>
        <w:rPr>
          <w:rFonts w:ascii="Arial Narrow" w:eastAsiaTheme="minorHAnsi" w:hAnsi="Arial Narrow" w:cstheme="minorBidi"/>
          <w:lang w:val="en-GB"/>
        </w:rPr>
      </w:pPr>
    </w:p>
    <w:p w14:paraId="1C6DEF41" w14:textId="7961010C" w:rsidR="00EB2D30" w:rsidRDefault="00EA46C4" w:rsidP="00EA46C4">
      <w:pPr>
        <w:pStyle w:val="ListParagraph"/>
        <w:ind w:left="360"/>
        <w:jc w:val="both"/>
        <w:rPr>
          <w:rFonts w:ascii="Arial Narrow" w:eastAsiaTheme="minorHAnsi" w:hAnsi="Arial Narrow" w:cstheme="minorBidi"/>
          <w:lang w:val="en-GB"/>
        </w:rPr>
      </w:pPr>
      <w:r w:rsidRPr="00EA46C4">
        <w:rPr>
          <w:rFonts w:ascii="Arial Narrow" w:eastAsiaTheme="minorHAnsi" w:hAnsi="Arial Narrow" w:cstheme="minorBidi"/>
          <w:lang w:val="en-GB"/>
        </w:rPr>
        <w:t>One of the primary statutory mandates of the Council for Medical Schemes (CMS)</w:t>
      </w:r>
      <w:r w:rsidR="00B62963">
        <w:rPr>
          <w:rFonts w:ascii="Arial Narrow" w:eastAsiaTheme="minorHAnsi" w:hAnsi="Arial Narrow" w:cstheme="minorBidi"/>
          <w:lang w:val="en-GB"/>
        </w:rPr>
        <w:t>,</w:t>
      </w:r>
      <w:r w:rsidRPr="00EA46C4">
        <w:rPr>
          <w:rFonts w:ascii="Arial Narrow" w:eastAsiaTheme="minorHAnsi" w:hAnsi="Arial Narrow" w:cstheme="minorBidi"/>
          <w:lang w:val="en-GB"/>
        </w:rPr>
        <w:t xml:space="preserve"> as enshrined in Section 7 of the Medical Schemes Act </w:t>
      </w:r>
      <w:r w:rsidR="00F367DB">
        <w:rPr>
          <w:rFonts w:ascii="Arial Narrow" w:eastAsiaTheme="minorHAnsi" w:hAnsi="Arial Narrow" w:cstheme="minorBidi"/>
          <w:lang w:val="en-GB"/>
        </w:rPr>
        <w:t>(131 of 1998)</w:t>
      </w:r>
      <w:r w:rsidR="00B62963">
        <w:rPr>
          <w:rFonts w:ascii="Arial Narrow" w:eastAsiaTheme="minorHAnsi" w:hAnsi="Arial Narrow" w:cstheme="minorBidi"/>
          <w:lang w:val="en-GB"/>
        </w:rPr>
        <w:t>,</w:t>
      </w:r>
      <w:r w:rsidRPr="00EA46C4">
        <w:rPr>
          <w:rFonts w:ascii="Arial Narrow" w:eastAsiaTheme="minorHAnsi" w:hAnsi="Arial Narrow" w:cstheme="minorBidi"/>
          <w:lang w:val="en-GB"/>
        </w:rPr>
        <w:t xml:space="preserve"> is to </w:t>
      </w:r>
      <w:proofErr w:type="gramStart"/>
      <w:r w:rsidRPr="00EA46C4">
        <w:rPr>
          <w:rFonts w:ascii="Arial Narrow" w:eastAsiaTheme="minorHAnsi" w:hAnsi="Arial Narrow" w:cstheme="minorBidi"/>
          <w:lang w:val="en-GB"/>
        </w:rPr>
        <w:t>protect the interests of beneficiaries at all times</w:t>
      </w:r>
      <w:proofErr w:type="gramEnd"/>
      <w:r w:rsidRPr="00EA46C4">
        <w:rPr>
          <w:rFonts w:ascii="Arial Narrow" w:eastAsiaTheme="minorHAnsi" w:hAnsi="Arial Narrow" w:cstheme="minorBidi"/>
          <w:lang w:val="en-GB"/>
        </w:rPr>
        <w:t xml:space="preserve"> and to coordinate the functioning of medical schemes. To this end, </w:t>
      </w:r>
      <w:r w:rsidR="008D02EF" w:rsidRPr="008D02EF">
        <w:rPr>
          <w:rFonts w:ascii="Arial Narrow" w:eastAsiaTheme="minorHAnsi" w:hAnsi="Arial Narrow" w:cstheme="minorBidi"/>
          <w:lang w:val="en-GB"/>
        </w:rPr>
        <w:t>CMS' primary</w:t>
      </w:r>
      <w:r w:rsidRPr="00EA46C4">
        <w:rPr>
          <w:rFonts w:ascii="Arial Narrow" w:eastAsiaTheme="minorHAnsi" w:hAnsi="Arial Narrow" w:cstheme="minorBidi"/>
          <w:lang w:val="en-GB"/>
        </w:rPr>
        <w:t xml:space="preserve"> objective is to </w:t>
      </w:r>
      <w:r w:rsidR="008D02EF" w:rsidRPr="008D02EF">
        <w:rPr>
          <w:rFonts w:ascii="Arial Narrow" w:eastAsiaTheme="minorHAnsi" w:hAnsi="Arial Narrow" w:cstheme="minorBidi"/>
          <w:lang w:val="en-GB"/>
        </w:rPr>
        <w:t>ensure</w:t>
      </w:r>
      <w:r w:rsidRPr="00EA46C4">
        <w:rPr>
          <w:rFonts w:ascii="Arial Narrow" w:eastAsiaTheme="minorHAnsi" w:hAnsi="Arial Narrow" w:cstheme="minorBidi"/>
          <w:lang w:val="en-GB"/>
        </w:rPr>
        <w:t xml:space="preserve"> that annual medical scheme</w:t>
      </w:r>
      <w:r w:rsidR="00416C61">
        <w:rPr>
          <w:rFonts w:ascii="Arial Narrow" w:eastAsiaTheme="minorHAnsi" w:hAnsi="Arial Narrow" w:cstheme="minorBidi"/>
          <w:lang w:val="en-GB"/>
        </w:rPr>
        <w:t>s</w:t>
      </w:r>
      <w:r w:rsidRPr="00EA46C4">
        <w:rPr>
          <w:rFonts w:ascii="Arial Narrow" w:eastAsiaTheme="minorHAnsi" w:hAnsi="Arial Narrow" w:cstheme="minorBidi"/>
          <w:lang w:val="en-GB"/>
        </w:rPr>
        <w:t xml:space="preserve"> contribution rate increases remain affordable </w:t>
      </w:r>
      <w:proofErr w:type="gramStart"/>
      <w:r w:rsidR="008D02EF" w:rsidRPr="008D02EF">
        <w:rPr>
          <w:rFonts w:ascii="Arial Narrow" w:eastAsiaTheme="minorHAnsi" w:hAnsi="Arial Narrow" w:cstheme="minorBidi"/>
          <w:lang w:val="en-GB"/>
        </w:rPr>
        <w:t>in order to</w:t>
      </w:r>
      <w:proofErr w:type="gramEnd"/>
      <w:r w:rsidR="008D02EF" w:rsidRPr="008D02EF">
        <w:rPr>
          <w:rFonts w:ascii="Arial Narrow" w:eastAsiaTheme="minorHAnsi" w:hAnsi="Arial Narrow" w:cstheme="minorBidi"/>
          <w:lang w:val="en-GB"/>
        </w:rPr>
        <w:t xml:space="preserve"> promote</w:t>
      </w:r>
      <w:r w:rsidRPr="00EA46C4">
        <w:rPr>
          <w:rFonts w:ascii="Arial Narrow" w:eastAsiaTheme="minorHAnsi" w:hAnsi="Arial Narrow" w:cstheme="minorBidi"/>
          <w:lang w:val="en-GB"/>
        </w:rPr>
        <w:t xml:space="preserve"> equitable access to quality healthcare and </w:t>
      </w:r>
      <w:r w:rsidR="008D02EF" w:rsidRPr="008D02EF">
        <w:rPr>
          <w:rFonts w:ascii="Arial Narrow" w:eastAsiaTheme="minorHAnsi" w:hAnsi="Arial Narrow" w:cstheme="minorBidi"/>
          <w:lang w:val="en-GB"/>
        </w:rPr>
        <w:t xml:space="preserve">the industry's </w:t>
      </w:r>
      <w:r w:rsidRPr="00EA46C4">
        <w:rPr>
          <w:rFonts w:ascii="Arial Narrow" w:eastAsiaTheme="minorHAnsi" w:hAnsi="Arial Narrow" w:cstheme="minorBidi"/>
          <w:lang w:val="en-GB"/>
        </w:rPr>
        <w:t>overall sustainability.</w:t>
      </w:r>
    </w:p>
    <w:p w14:paraId="1AF7DFE8" w14:textId="77777777" w:rsidR="00EA46C4" w:rsidRPr="00EA46C4" w:rsidRDefault="00EA46C4" w:rsidP="00EA46C4">
      <w:pPr>
        <w:pStyle w:val="ListParagraph"/>
        <w:ind w:left="360"/>
        <w:jc w:val="both"/>
        <w:rPr>
          <w:rFonts w:ascii="Arial Narrow" w:hAnsi="Arial Narrow"/>
          <w:bCs/>
        </w:rPr>
      </w:pPr>
    </w:p>
    <w:p w14:paraId="1FAE15E2" w14:textId="1CFDDCA1" w:rsidR="00D901B9" w:rsidRPr="00D87673" w:rsidRDefault="00500195" w:rsidP="00D901B9">
      <w:pPr>
        <w:pStyle w:val="ListParagraph"/>
        <w:numPr>
          <w:ilvl w:val="0"/>
          <w:numId w:val="7"/>
        </w:numPr>
        <w:jc w:val="both"/>
        <w:rPr>
          <w:rFonts w:ascii="Arial Narrow" w:hAnsi="Arial Narrow"/>
          <w:b/>
        </w:rPr>
      </w:pPr>
      <w:r w:rsidRPr="00D87673">
        <w:rPr>
          <w:rFonts w:ascii="Arial Narrow" w:hAnsi="Arial Narrow"/>
          <w:b/>
          <w:lang w:val="en-GB"/>
        </w:rPr>
        <w:t>MACRO-ECONOMIC OUTLOOK FOR 2024</w:t>
      </w:r>
    </w:p>
    <w:p w14:paraId="45B90FD1" w14:textId="77777777" w:rsidR="00537F49" w:rsidRDefault="00537F49" w:rsidP="00537F49">
      <w:pPr>
        <w:pStyle w:val="ListParagraph"/>
        <w:ind w:left="426"/>
        <w:jc w:val="both"/>
        <w:rPr>
          <w:rFonts w:ascii="Arial Narrow" w:hAnsi="Arial Narrow"/>
          <w:b/>
        </w:rPr>
      </w:pPr>
    </w:p>
    <w:p w14:paraId="7B18A827" w14:textId="4B40A51C" w:rsidR="00D901B9" w:rsidRDefault="001636A5" w:rsidP="00537F49">
      <w:pPr>
        <w:pStyle w:val="ListParagraph"/>
        <w:ind w:left="426"/>
        <w:jc w:val="both"/>
        <w:rPr>
          <w:rFonts w:ascii="Arial Narrow" w:hAnsi="Arial Narrow"/>
          <w:b/>
        </w:rPr>
      </w:pPr>
      <w:r w:rsidRPr="000A3ABE">
        <w:rPr>
          <w:rFonts w:ascii="Arial Narrow" w:hAnsi="Arial Narrow"/>
          <w:lang w:val="en-GB"/>
        </w:rPr>
        <w:t xml:space="preserve">This section provides a </w:t>
      </w:r>
      <w:r w:rsidR="000A3ABE" w:rsidRPr="000A3ABE">
        <w:rPr>
          <w:rFonts w:ascii="Arial Narrow" w:hAnsi="Arial Narrow"/>
          <w:lang w:val="en-GB"/>
        </w:rPr>
        <w:t>concise summary</w:t>
      </w:r>
      <w:r w:rsidR="001302E7" w:rsidRPr="000A3ABE">
        <w:rPr>
          <w:rFonts w:ascii="Arial Narrow" w:hAnsi="Arial Narrow"/>
          <w:lang w:val="en-GB"/>
        </w:rPr>
        <w:t xml:space="preserve"> of key </w:t>
      </w:r>
      <w:r w:rsidR="005B1440" w:rsidRPr="000A3ABE">
        <w:rPr>
          <w:rFonts w:ascii="Arial Narrow" w:hAnsi="Arial Narrow"/>
          <w:lang w:val="en-GB"/>
        </w:rPr>
        <w:t xml:space="preserve">macroeconomic indicators such </w:t>
      </w:r>
      <w:r w:rsidR="00075B54" w:rsidRPr="000A3ABE">
        <w:rPr>
          <w:rFonts w:ascii="Arial Narrow" w:hAnsi="Arial Narrow"/>
          <w:lang w:val="en-GB"/>
        </w:rPr>
        <w:t xml:space="preserve">as </w:t>
      </w:r>
      <w:r w:rsidR="000A3ABE" w:rsidRPr="000A3ABE">
        <w:rPr>
          <w:rFonts w:ascii="Arial Narrow" w:hAnsi="Arial Narrow"/>
          <w:lang w:val="en-GB"/>
        </w:rPr>
        <w:t xml:space="preserve">the </w:t>
      </w:r>
      <w:r w:rsidR="00075B54" w:rsidRPr="000A3ABE">
        <w:rPr>
          <w:rFonts w:ascii="Arial Narrow" w:hAnsi="Arial Narrow"/>
          <w:lang w:val="en-GB"/>
        </w:rPr>
        <w:t>consumer</w:t>
      </w:r>
      <w:r w:rsidR="00BA036F" w:rsidRPr="000A3ABE">
        <w:rPr>
          <w:rFonts w:ascii="Arial Narrow" w:hAnsi="Arial Narrow"/>
          <w:lang w:val="en-GB"/>
        </w:rPr>
        <w:t xml:space="preserve"> price ind</w:t>
      </w:r>
      <w:r w:rsidR="003C0101" w:rsidRPr="000A3ABE">
        <w:rPr>
          <w:rFonts w:ascii="Arial Narrow" w:hAnsi="Arial Narrow"/>
          <w:lang w:val="en-GB"/>
        </w:rPr>
        <w:t>ex (CPI)</w:t>
      </w:r>
      <w:r w:rsidR="00746CA0" w:rsidRPr="000A3ABE">
        <w:rPr>
          <w:rFonts w:ascii="Arial Narrow" w:hAnsi="Arial Narrow"/>
          <w:lang w:val="en-GB"/>
        </w:rPr>
        <w:t xml:space="preserve">, </w:t>
      </w:r>
      <w:r w:rsidR="00292CC3" w:rsidRPr="000A3ABE">
        <w:rPr>
          <w:rFonts w:ascii="Arial Narrow" w:hAnsi="Arial Narrow"/>
          <w:lang w:val="en-GB"/>
        </w:rPr>
        <w:t>interest rates, exchange rate, household income and expenditures,</w:t>
      </w:r>
      <w:r w:rsidR="00BA036F" w:rsidRPr="000A3ABE">
        <w:rPr>
          <w:rFonts w:ascii="Arial Narrow" w:hAnsi="Arial Narrow"/>
          <w:lang w:val="en-GB"/>
        </w:rPr>
        <w:t xml:space="preserve"> </w:t>
      </w:r>
      <w:r w:rsidR="00F86040" w:rsidRPr="000A3ABE">
        <w:rPr>
          <w:rFonts w:ascii="Arial Narrow" w:hAnsi="Arial Narrow"/>
          <w:lang w:val="en-GB"/>
        </w:rPr>
        <w:t>corporate earning</w:t>
      </w:r>
      <w:r w:rsidR="000B08C1" w:rsidRPr="000A3ABE">
        <w:rPr>
          <w:rFonts w:ascii="Arial Narrow" w:hAnsi="Arial Narrow"/>
          <w:lang w:val="en-GB"/>
        </w:rPr>
        <w:t>s</w:t>
      </w:r>
      <w:r w:rsidR="008521F3" w:rsidRPr="000A3ABE">
        <w:rPr>
          <w:rFonts w:ascii="Arial Narrow" w:hAnsi="Arial Narrow"/>
          <w:lang w:val="en-GB"/>
        </w:rPr>
        <w:t xml:space="preserve">, </w:t>
      </w:r>
      <w:r w:rsidR="000A3ABE" w:rsidRPr="000A3ABE">
        <w:rPr>
          <w:rFonts w:ascii="Arial Narrow" w:hAnsi="Arial Narrow"/>
          <w:lang w:val="en-GB"/>
        </w:rPr>
        <w:t xml:space="preserve">and </w:t>
      </w:r>
      <w:r w:rsidR="008521F3" w:rsidRPr="000A3ABE">
        <w:rPr>
          <w:rFonts w:ascii="Arial Narrow" w:hAnsi="Arial Narrow"/>
          <w:lang w:val="en-GB"/>
        </w:rPr>
        <w:t>Gross Domestic Pro</w:t>
      </w:r>
      <w:r w:rsidR="001D2F2C" w:rsidRPr="000A3ABE">
        <w:rPr>
          <w:rFonts w:ascii="Arial Narrow" w:hAnsi="Arial Narrow"/>
          <w:lang w:val="en-GB"/>
        </w:rPr>
        <w:t>duct (GDP</w:t>
      </w:r>
      <w:r w:rsidR="000A3ABE" w:rsidRPr="000A3ABE">
        <w:rPr>
          <w:rFonts w:ascii="Arial Narrow" w:hAnsi="Arial Narrow"/>
          <w:lang w:val="en-GB"/>
        </w:rPr>
        <w:t>) that</w:t>
      </w:r>
      <w:r w:rsidR="00B570D5" w:rsidRPr="000A3ABE">
        <w:rPr>
          <w:rFonts w:ascii="Arial Narrow" w:hAnsi="Arial Narrow"/>
          <w:lang w:val="en-GB"/>
        </w:rPr>
        <w:t xml:space="preserve"> have </w:t>
      </w:r>
      <w:r w:rsidR="000A3ABE" w:rsidRPr="000A3ABE">
        <w:rPr>
          <w:rFonts w:ascii="Arial Narrow" w:hAnsi="Arial Narrow"/>
          <w:lang w:val="en-GB"/>
        </w:rPr>
        <w:t xml:space="preserve">an impact on </w:t>
      </w:r>
      <w:r w:rsidR="002E597A" w:rsidRPr="000A3ABE">
        <w:rPr>
          <w:rFonts w:ascii="Arial Narrow" w:hAnsi="Arial Narrow"/>
          <w:lang w:val="en-GB"/>
        </w:rPr>
        <w:t xml:space="preserve">the medical schemes industry. </w:t>
      </w:r>
      <w:r w:rsidR="0003479D" w:rsidRPr="000A3ABE">
        <w:rPr>
          <w:rFonts w:ascii="Arial Narrow" w:hAnsi="Arial Narrow"/>
          <w:lang w:val="en-GB"/>
        </w:rPr>
        <w:t>Overall,</w:t>
      </w:r>
      <w:r w:rsidR="000E50BE" w:rsidRPr="000A3ABE">
        <w:rPr>
          <w:rFonts w:ascii="Arial Narrow" w:hAnsi="Arial Narrow"/>
          <w:lang w:val="en-GB"/>
        </w:rPr>
        <w:t xml:space="preserve"> these factors have direct and indirect </w:t>
      </w:r>
      <w:r w:rsidR="000A3ABE" w:rsidRPr="000A3ABE">
        <w:rPr>
          <w:rFonts w:ascii="Arial Narrow" w:hAnsi="Arial Narrow"/>
          <w:lang w:val="en-GB"/>
        </w:rPr>
        <w:t xml:space="preserve">effects on the </w:t>
      </w:r>
      <w:r w:rsidR="000E50BE" w:rsidRPr="000A3ABE">
        <w:rPr>
          <w:rFonts w:ascii="Arial Narrow" w:hAnsi="Arial Narrow"/>
          <w:lang w:val="en-GB"/>
        </w:rPr>
        <w:t xml:space="preserve">affordability of medical </w:t>
      </w:r>
      <w:r w:rsidR="000A3ABE" w:rsidRPr="000A3ABE">
        <w:rPr>
          <w:rFonts w:ascii="Arial Narrow" w:hAnsi="Arial Narrow"/>
          <w:lang w:val="en-GB"/>
        </w:rPr>
        <w:t>scheme</w:t>
      </w:r>
      <w:r w:rsidR="000E50BE" w:rsidRPr="000A3ABE">
        <w:rPr>
          <w:rFonts w:ascii="Arial Narrow" w:hAnsi="Arial Narrow"/>
          <w:lang w:val="en-GB"/>
        </w:rPr>
        <w:t xml:space="preserve"> contribution rates, </w:t>
      </w:r>
      <w:r w:rsidR="000A3ABE" w:rsidRPr="000A3ABE">
        <w:rPr>
          <w:rFonts w:ascii="Arial Narrow" w:hAnsi="Arial Narrow"/>
          <w:lang w:val="en-GB"/>
        </w:rPr>
        <w:t xml:space="preserve">the </w:t>
      </w:r>
      <w:r w:rsidR="000E50BE" w:rsidRPr="000A3ABE">
        <w:rPr>
          <w:rFonts w:ascii="Arial Narrow" w:hAnsi="Arial Narrow"/>
          <w:lang w:val="en-GB"/>
        </w:rPr>
        <w:t xml:space="preserve">financial performance of schemes, </w:t>
      </w:r>
      <w:r w:rsidR="000A3ABE" w:rsidRPr="000A3ABE">
        <w:rPr>
          <w:rFonts w:ascii="Arial Narrow" w:hAnsi="Arial Narrow"/>
          <w:lang w:val="en-GB"/>
        </w:rPr>
        <w:t xml:space="preserve">the growth of </w:t>
      </w:r>
      <w:r w:rsidR="00075B54" w:rsidRPr="000A3ABE">
        <w:rPr>
          <w:rFonts w:ascii="Arial Narrow" w:hAnsi="Arial Narrow"/>
          <w:lang w:val="en-GB"/>
        </w:rPr>
        <w:t>membership</w:t>
      </w:r>
      <w:r w:rsidR="000A3ABE" w:rsidRPr="000A3ABE">
        <w:rPr>
          <w:rFonts w:ascii="Arial Narrow" w:hAnsi="Arial Narrow"/>
          <w:lang w:val="en-GB"/>
        </w:rPr>
        <w:t>, and the industry's</w:t>
      </w:r>
      <w:r w:rsidR="00075B54" w:rsidRPr="000A3ABE">
        <w:rPr>
          <w:rFonts w:ascii="Arial Narrow" w:hAnsi="Arial Narrow"/>
          <w:lang w:val="en-GB"/>
        </w:rPr>
        <w:t xml:space="preserve"> long-term </w:t>
      </w:r>
      <w:r w:rsidR="00075B54" w:rsidRPr="008D02EF">
        <w:rPr>
          <w:rFonts w:ascii="Arial Narrow" w:eastAsiaTheme="minorHAnsi" w:hAnsi="Arial Narrow" w:cstheme="minorBidi"/>
          <w:lang w:val="en-GB"/>
        </w:rPr>
        <w:t>sustainability</w:t>
      </w:r>
      <w:r w:rsidR="000A3ABE" w:rsidRPr="000A3ABE">
        <w:rPr>
          <w:rFonts w:ascii="Arial Narrow" w:hAnsi="Arial Narrow"/>
          <w:lang w:val="en-GB"/>
        </w:rPr>
        <w:t>.</w:t>
      </w:r>
    </w:p>
    <w:p w14:paraId="3A5AF297" w14:textId="77777777" w:rsidR="0042716B" w:rsidRPr="00537F49" w:rsidRDefault="0042716B" w:rsidP="00537F49">
      <w:pPr>
        <w:pStyle w:val="ListParagraph"/>
        <w:ind w:left="426"/>
        <w:jc w:val="both"/>
        <w:rPr>
          <w:rFonts w:ascii="Arial Narrow" w:hAnsi="Arial Narrow"/>
          <w:b/>
        </w:rPr>
      </w:pPr>
    </w:p>
    <w:p w14:paraId="4F539F2F" w14:textId="39686A83" w:rsidR="00361C92" w:rsidRPr="004655DA" w:rsidRDefault="001C6A77" w:rsidP="00361C92">
      <w:pPr>
        <w:pStyle w:val="ListParagraph"/>
        <w:numPr>
          <w:ilvl w:val="1"/>
          <w:numId w:val="7"/>
        </w:numPr>
        <w:jc w:val="both"/>
        <w:rPr>
          <w:rFonts w:ascii="Arial Narrow" w:hAnsi="Arial Narrow"/>
          <w:b/>
        </w:rPr>
      </w:pPr>
      <w:r w:rsidRPr="001C6A77">
        <w:rPr>
          <w:rFonts w:ascii="Arial Narrow" w:hAnsi="Arial Narrow"/>
          <w:b/>
          <w:bCs/>
          <w:lang w:val="en-GB"/>
        </w:rPr>
        <w:t xml:space="preserve">Global </w:t>
      </w:r>
      <w:r w:rsidR="004C441A">
        <w:rPr>
          <w:rFonts w:ascii="Arial Narrow" w:hAnsi="Arial Narrow"/>
          <w:b/>
          <w:bCs/>
          <w:lang w:val="en-GB"/>
        </w:rPr>
        <w:t xml:space="preserve">economic </w:t>
      </w:r>
      <w:r w:rsidRPr="001C6A77">
        <w:rPr>
          <w:rFonts w:ascii="Arial Narrow" w:hAnsi="Arial Narrow"/>
          <w:b/>
          <w:bCs/>
          <w:lang w:val="en-GB"/>
        </w:rPr>
        <w:t>outlook</w:t>
      </w:r>
    </w:p>
    <w:p w14:paraId="1795DB46" w14:textId="77777777" w:rsidR="00537F49" w:rsidRDefault="00537F49" w:rsidP="00537F49">
      <w:pPr>
        <w:pStyle w:val="ListParagraph"/>
        <w:ind w:left="426"/>
        <w:jc w:val="both"/>
        <w:rPr>
          <w:rFonts w:ascii="Arial Narrow" w:hAnsi="Arial Narrow"/>
          <w:b/>
        </w:rPr>
      </w:pPr>
    </w:p>
    <w:p w14:paraId="5D3F8EDC" w14:textId="33E84356" w:rsidR="00537379" w:rsidRDefault="00E03C1C" w:rsidP="00537F49">
      <w:pPr>
        <w:pStyle w:val="ListParagraph"/>
        <w:ind w:left="426"/>
        <w:jc w:val="both"/>
        <w:rPr>
          <w:rFonts w:ascii="Arial Narrow" w:hAnsi="Arial Narrow" w:cs="Helvetica"/>
          <w:noProof/>
          <w:lang w:val="en-GB"/>
        </w:rPr>
      </w:pPr>
      <w:r>
        <w:rPr>
          <w:rFonts w:ascii="Arial Narrow" w:hAnsi="Arial Narrow" w:cs="Helvetica"/>
          <w:noProof/>
          <w:lang w:val="en-GB"/>
        </w:rPr>
        <w:t xml:space="preserve">Global economic growth prospects remain muted as central </w:t>
      </w:r>
      <w:r w:rsidR="00F367DB">
        <w:rPr>
          <w:rFonts w:ascii="Arial Narrow" w:hAnsi="Arial Narrow" w:cs="Helvetica"/>
          <w:noProof/>
          <w:lang w:val="en-GB"/>
        </w:rPr>
        <w:t>banks’</w:t>
      </w:r>
      <w:r w:rsidR="00CE0A72">
        <w:rPr>
          <w:rFonts w:ascii="Arial Narrow" w:hAnsi="Arial Narrow" w:cs="Helvetica"/>
          <w:noProof/>
          <w:lang w:val="en-GB"/>
        </w:rPr>
        <w:t xml:space="preserve"> </w:t>
      </w:r>
      <w:r w:rsidR="00A140E0">
        <w:rPr>
          <w:rFonts w:ascii="Arial Narrow" w:hAnsi="Arial Narrow" w:cs="Helvetica"/>
          <w:noProof/>
          <w:lang w:val="en-GB"/>
        </w:rPr>
        <w:t xml:space="preserve">restrictive </w:t>
      </w:r>
      <w:r w:rsidR="00CC7614">
        <w:rPr>
          <w:rFonts w:ascii="Arial Narrow" w:hAnsi="Arial Narrow" w:cs="Helvetica"/>
          <w:noProof/>
          <w:lang w:val="en-GB"/>
        </w:rPr>
        <w:t xml:space="preserve">monetary </w:t>
      </w:r>
      <w:r w:rsidR="00CE0A72">
        <w:rPr>
          <w:rFonts w:ascii="Arial Narrow" w:hAnsi="Arial Narrow" w:cs="Helvetica"/>
          <w:noProof/>
          <w:lang w:val="en-GB"/>
        </w:rPr>
        <w:t>policy rate</w:t>
      </w:r>
      <w:r w:rsidR="00225019">
        <w:rPr>
          <w:rFonts w:ascii="Arial Narrow" w:hAnsi="Arial Narrow" w:cs="Helvetica"/>
          <w:noProof/>
          <w:lang w:val="en-GB"/>
        </w:rPr>
        <w:t xml:space="preserve"> </w:t>
      </w:r>
      <w:r w:rsidR="00CE0A72">
        <w:rPr>
          <w:rFonts w:ascii="Arial Narrow" w:hAnsi="Arial Narrow" w:cs="Helvetica"/>
          <w:noProof/>
          <w:lang w:val="en-GB"/>
        </w:rPr>
        <w:t xml:space="preserve">to fight inflation </w:t>
      </w:r>
      <w:r w:rsidR="00C548F5">
        <w:rPr>
          <w:rFonts w:ascii="Arial Narrow" w:hAnsi="Arial Narrow" w:cs="Helvetica"/>
          <w:noProof/>
          <w:lang w:val="en-GB"/>
        </w:rPr>
        <w:t>continues</w:t>
      </w:r>
      <w:r w:rsidR="00CE0A72">
        <w:rPr>
          <w:rFonts w:ascii="Arial Narrow" w:hAnsi="Arial Narrow" w:cs="Helvetica"/>
          <w:noProof/>
          <w:lang w:val="en-GB"/>
        </w:rPr>
        <w:t xml:space="preserve"> to weigh on economic activity. Overall, according to the</w:t>
      </w:r>
      <w:r w:rsidR="00BA4575">
        <w:rPr>
          <w:rFonts w:ascii="Arial Narrow" w:hAnsi="Arial Narrow" w:cs="Helvetica"/>
          <w:noProof/>
          <w:lang w:val="en-GB"/>
        </w:rPr>
        <w:t xml:space="preserve"> July World Economic </w:t>
      </w:r>
      <w:r w:rsidR="00F367DB">
        <w:rPr>
          <w:rFonts w:ascii="Arial Narrow" w:hAnsi="Arial Narrow" w:cs="Helvetica"/>
          <w:noProof/>
          <w:lang w:val="en-GB"/>
        </w:rPr>
        <w:t>Outlook</w:t>
      </w:r>
      <w:r w:rsidR="00BA4575">
        <w:rPr>
          <w:rFonts w:ascii="Arial Narrow" w:hAnsi="Arial Narrow" w:cs="Helvetica"/>
          <w:noProof/>
          <w:lang w:val="en-GB"/>
        </w:rPr>
        <w:t xml:space="preserve"> of the</w:t>
      </w:r>
      <w:r w:rsidR="00CE0A72">
        <w:rPr>
          <w:rFonts w:ascii="Arial Narrow" w:hAnsi="Arial Narrow" w:cs="Helvetica"/>
          <w:noProof/>
          <w:lang w:val="en-GB"/>
        </w:rPr>
        <w:t xml:space="preserve"> </w:t>
      </w:r>
      <w:r w:rsidR="00F367DB">
        <w:rPr>
          <w:rFonts w:ascii="Arial Narrow" w:hAnsi="Arial Narrow" w:cs="Helvetica"/>
          <w:noProof/>
          <w:lang w:val="en-GB"/>
        </w:rPr>
        <w:t>International</w:t>
      </w:r>
      <w:r w:rsidR="00CE0A72">
        <w:rPr>
          <w:rFonts w:ascii="Arial Narrow" w:hAnsi="Arial Narrow" w:cs="Helvetica"/>
          <w:noProof/>
          <w:lang w:val="en-GB"/>
        </w:rPr>
        <w:t xml:space="preserve"> Monetary Fund</w:t>
      </w:r>
      <w:r w:rsidR="00F0206B">
        <w:rPr>
          <w:rFonts w:ascii="Arial Narrow" w:hAnsi="Arial Narrow" w:cs="Helvetica"/>
          <w:noProof/>
          <w:lang w:val="en-GB"/>
        </w:rPr>
        <w:t xml:space="preserve"> (IMF), global economic growth is </w:t>
      </w:r>
      <w:r w:rsidR="00852510">
        <w:rPr>
          <w:rFonts w:ascii="Arial Narrow" w:hAnsi="Arial Narrow" w:cs="Helvetica"/>
          <w:noProof/>
          <w:lang w:val="en-GB"/>
        </w:rPr>
        <w:t>expected to fall from an estimated 3.5%</w:t>
      </w:r>
      <w:r w:rsidR="00C71D27">
        <w:rPr>
          <w:rFonts w:ascii="Arial Narrow" w:hAnsi="Arial Narrow" w:cs="Helvetica"/>
          <w:noProof/>
          <w:lang w:val="en-GB"/>
        </w:rPr>
        <w:t xml:space="preserve"> recor</w:t>
      </w:r>
      <w:r w:rsidR="00E1116F">
        <w:rPr>
          <w:rFonts w:ascii="Arial Narrow" w:hAnsi="Arial Narrow" w:cs="Helvetica"/>
          <w:noProof/>
          <w:lang w:val="en-GB"/>
        </w:rPr>
        <w:t>ded in 2022 to 3.0% in 2023 and 2024 (IMF,</w:t>
      </w:r>
      <w:r w:rsidR="00994047">
        <w:rPr>
          <w:rFonts w:ascii="Arial Narrow" w:hAnsi="Arial Narrow" w:cs="Helvetica"/>
          <w:noProof/>
          <w:lang w:val="en-GB"/>
        </w:rPr>
        <w:t xml:space="preserve"> </w:t>
      </w:r>
      <w:r w:rsidR="00E1116F">
        <w:rPr>
          <w:rFonts w:ascii="Arial Narrow" w:hAnsi="Arial Narrow" w:cs="Helvetica"/>
          <w:noProof/>
          <w:lang w:val="en-GB"/>
        </w:rPr>
        <w:t>2023)</w:t>
      </w:r>
      <w:r w:rsidR="00A931AA">
        <w:rPr>
          <w:rFonts w:ascii="Arial Narrow" w:hAnsi="Arial Narrow" w:cs="Helvetica"/>
          <w:noProof/>
          <w:lang w:val="en-GB"/>
        </w:rPr>
        <w:t xml:space="preserve">. The </w:t>
      </w:r>
      <w:r w:rsidR="0086056C">
        <w:rPr>
          <w:rFonts w:ascii="Arial Narrow" w:hAnsi="Arial Narrow" w:cs="Helvetica"/>
          <w:noProof/>
          <w:lang w:val="en-GB"/>
        </w:rPr>
        <w:t>near</w:t>
      </w:r>
      <w:r w:rsidR="00F367DB">
        <w:rPr>
          <w:rFonts w:ascii="Arial Narrow" w:hAnsi="Arial Narrow" w:cs="Helvetica"/>
          <w:noProof/>
          <w:lang w:val="en-GB"/>
        </w:rPr>
        <w:t>-</w:t>
      </w:r>
      <w:r w:rsidR="006A3C0F">
        <w:rPr>
          <w:rFonts w:ascii="Arial Narrow" w:hAnsi="Arial Narrow" w:cs="Helvetica"/>
          <w:noProof/>
          <w:lang w:val="en-GB"/>
        </w:rPr>
        <w:t xml:space="preserve">term economic </w:t>
      </w:r>
      <w:r w:rsidR="006F651D">
        <w:rPr>
          <w:rFonts w:ascii="Arial Narrow" w:hAnsi="Arial Narrow" w:cs="Helvetica"/>
          <w:noProof/>
          <w:lang w:val="en-GB"/>
        </w:rPr>
        <w:t xml:space="preserve">outlook </w:t>
      </w:r>
      <w:r w:rsidR="007C278C">
        <w:rPr>
          <w:rFonts w:ascii="Arial Narrow" w:hAnsi="Arial Narrow" w:cs="Helvetica"/>
          <w:noProof/>
          <w:lang w:val="en-GB"/>
        </w:rPr>
        <w:t xml:space="preserve">for the global economy </w:t>
      </w:r>
      <w:r w:rsidR="006F651D">
        <w:rPr>
          <w:rFonts w:ascii="Arial Narrow" w:hAnsi="Arial Narrow" w:cs="Helvetica"/>
          <w:noProof/>
          <w:lang w:val="en-GB"/>
        </w:rPr>
        <w:t>remain</w:t>
      </w:r>
      <w:r w:rsidR="0006024E">
        <w:rPr>
          <w:rFonts w:ascii="Arial Narrow" w:hAnsi="Arial Narrow" w:cs="Helvetica"/>
          <w:noProof/>
          <w:lang w:val="en-GB"/>
        </w:rPr>
        <w:t>s</w:t>
      </w:r>
      <w:r w:rsidR="006F651D">
        <w:rPr>
          <w:rFonts w:ascii="Arial Narrow" w:hAnsi="Arial Narrow" w:cs="Helvetica"/>
          <w:noProof/>
          <w:lang w:val="en-GB"/>
        </w:rPr>
        <w:t xml:space="preserve"> ti</w:t>
      </w:r>
      <w:r w:rsidR="00765802">
        <w:rPr>
          <w:rFonts w:ascii="Arial Narrow" w:hAnsi="Arial Narrow" w:cs="Helvetica"/>
          <w:noProof/>
          <w:lang w:val="en-GB"/>
        </w:rPr>
        <w:t xml:space="preserve">lted to the downside, mainly due to </w:t>
      </w:r>
      <w:r w:rsidR="00B62963">
        <w:rPr>
          <w:rFonts w:ascii="Arial Narrow" w:hAnsi="Arial Narrow" w:cs="Helvetica"/>
          <w:noProof/>
          <w:lang w:val="en-GB"/>
        </w:rPr>
        <w:t>uncertainty</w:t>
      </w:r>
      <w:r w:rsidR="00765802">
        <w:rPr>
          <w:rFonts w:ascii="Arial Narrow" w:hAnsi="Arial Narrow" w:cs="Helvetica"/>
          <w:noProof/>
          <w:lang w:val="en-GB"/>
        </w:rPr>
        <w:t xml:space="preserve"> about </w:t>
      </w:r>
      <w:r w:rsidR="00F367DB">
        <w:rPr>
          <w:rFonts w:ascii="Arial Narrow" w:hAnsi="Arial Narrow" w:cs="Helvetica"/>
          <w:noProof/>
          <w:lang w:val="en-GB"/>
        </w:rPr>
        <w:t xml:space="preserve">the </w:t>
      </w:r>
      <w:r w:rsidR="00765802">
        <w:rPr>
          <w:rFonts w:ascii="Arial Narrow" w:hAnsi="Arial Narrow" w:cs="Helvetica"/>
          <w:noProof/>
          <w:lang w:val="en-GB"/>
        </w:rPr>
        <w:t xml:space="preserve">inflation trajectory and the </w:t>
      </w:r>
      <w:r w:rsidR="00E85FC6">
        <w:rPr>
          <w:rFonts w:ascii="Arial Narrow" w:hAnsi="Arial Narrow" w:cs="Helvetica"/>
          <w:noProof/>
          <w:lang w:val="en-GB"/>
        </w:rPr>
        <w:t xml:space="preserve">heightened </w:t>
      </w:r>
      <w:r w:rsidR="00F367DB">
        <w:rPr>
          <w:rFonts w:ascii="Arial Narrow" w:hAnsi="Arial Narrow" w:cs="Helvetica"/>
          <w:noProof/>
          <w:lang w:val="en-GB"/>
        </w:rPr>
        <w:t>geopolitical</w:t>
      </w:r>
      <w:r w:rsidR="00765802">
        <w:rPr>
          <w:rFonts w:ascii="Arial Narrow" w:hAnsi="Arial Narrow" w:cs="Helvetica"/>
          <w:noProof/>
          <w:lang w:val="en-GB"/>
        </w:rPr>
        <w:t xml:space="preserve"> </w:t>
      </w:r>
      <w:r w:rsidR="00F367DB">
        <w:rPr>
          <w:rFonts w:ascii="Arial Narrow" w:hAnsi="Arial Narrow" w:cs="Helvetica"/>
          <w:noProof/>
          <w:lang w:val="en-GB"/>
        </w:rPr>
        <w:t>tensions</w:t>
      </w:r>
      <w:r w:rsidR="00D61AD8">
        <w:rPr>
          <w:rFonts w:ascii="Arial Narrow" w:hAnsi="Arial Narrow" w:cs="Helvetica"/>
          <w:noProof/>
          <w:lang w:val="en-GB"/>
        </w:rPr>
        <w:t xml:space="preserve"> </w:t>
      </w:r>
      <w:r w:rsidR="00AD09C3">
        <w:rPr>
          <w:rFonts w:ascii="Arial Narrow" w:hAnsi="Arial Narrow" w:cs="Helvetica"/>
          <w:noProof/>
          <w:lang w:val="en-GB"/>
        </w:rPr>
        <w:t>(</w:t>
      </w:r>
      <w:r w:rsidR="00E85FC6">
        <w:rPr>
          <w:rFonts w:ascii="Arial Narrow" w:hAnsi="Arial Narrow" w:cs="Helvetica"/>
          <w:noProof/>
          <w:lang w:val="en-GB"/>
        </w:rPr>
        <w:t>Russia</w:t>
      </w:r>
      <w:r w:rsidR="00AD09C3">
        <w:rPr>
          <w:rFonts w:ascii="Arial Narrow" w:hAnsi="Arial Narrow" w:cs="Helvetica"/>
          <w:noProof/>
          <w:lang w:val="en-GB"/>
        </w:rPr>
        <w:t>-</w:t>
      </w:r>
      <w:r w:rsidR="00E85FC6">
        <w:rPr>
          <w:rFonts w:ascii="Arial Narrow" w:hAnsi="Arial Narrow" w:cs="Helvetica"/>
          <w:noProof/>
          <w:lang w:val="en-GB"/>
        </w:rPr>
        <w:t>Ukraine</w:t>
      </w:r>
      <w:r w:rsidR="00133647">
        <w:rPr>
          <w:rFonts w:ascii="Arial Narrow" w:hAnsi="Arial Narrow" w:cs="Helvetica"/>
          <w:noProof/>
          <w:lang w:val="en-GB"/>
        </w:rPr>
        <w:t xml:space="preserve"> conflict)</w:t>
      </w:r>
      <w:r w:rsidR="000D291B">
        <w:rPr>
          <w:rFonts w:ascii="Arial Narrow" w:hAnsi="Arial Narrow" w:cs="Helvetica"/>
          <w:noProof/>
          <w:lang w:val="en-GB"/>
        </w:rPr>
        <w:t>.</w:t>
      </w:r>
      <w:r w:rsidR="009D72CA">
        <w:rPr>
          <w:rFonts w:ascii="Arial Narrow" w:hAnsi="Arial Narrow" w:cs="Helvetica"/>
          <w:noProof/>
          <w:lang w:val="en-GB"/>
        </w:rPr>
        <w:t xml:space="preserve"> </w:t>
      </w:r>
      <w:r w:rsidR="00C548F5">
        <w:rPr>
          <w:rFonts w:ascii="Arial Narrow" w:hAnsi="Arial Narrow" w:cs="Helvetica"/>
          <w:noProof/>
          <w:lang w:val="en-GB"/>
        </w:rPr>
        <w:t>Furthermore</w:t>
      </w:r>
      <w:r w:rsidR="00E27B01">
        <w:rPr>
          <w:rFonts w:ascii="Arial Narrow" w:hAnsi="Arial Narrow" w:cs="Helvetica"/>
          <w:noProof/>
          <w:lang w:val="en-GB"/>
        </w:rPr>
        <w:t xml:space="preserve">, the </w:t>
      </w:r>
      <w:r w:rsidR="00F367DB">
        <w:rPr>
          <w:rFonts w:ascii="Arial Narrow" w:hAnsi="Arial Narrow" w:cs="Helvetica"/>
          <w:noProof/>
          <w:lang w:val="en-GB"/>
        </w:rPr>
        <w:t>uncertainty</w:t>
      </w:r>
      <w:r w:rsidR="00537379">
        <w:rPr>
          <w:rFonts w:ascii="Arial Narrow" w:hAnsi="Arial Narrow" w:cs="Helvetica"/>
          <w:noProof/>
          <w:lang w:val="en-GB"/>
        </w:rPr>
        <w:t xml:space="preserve"> over whether the </w:t>
      </w:r>
      <w:r w:rsidR="00537379">
        <w:rPr>
          <w:rFonts w:ascii="Arial Narrow" w:hAnsi="Arial Narrow" w:cs="Helvetica"/>
          <w:noProof/>
          <w:lang w:val="en-GB"/>
        </w:rPr>
        <w:lastRenderedPageBreak/>
        <w:t>United State</w:t>
      </w:r>
      <w:r w:rsidR="00C6517B">
        <w:rPr>
          <w:rFonts w:ascii="Arial Narrow" w:hAnsi="Arial Narrow" w:cs="Helvetica"/>
          <w:noProof/>
          <w:lang w:val="en-GB"/>
        </w:rPr>
        <w:t>s</w:t>
      </w:r>
      <w:r w:rsidR="00537379">
        <w:rPr>
          <w:rFonts w:ascii="Arial Narrow" w:hAnsi="Arial Narrow" w:cs="Helvetica"/>
          <w:noProof/>
          <w:lang w:val="en-GB"/>
        </w:rPr>
        <w:t xml:space="preserve"> economy will continue on a path to a soft landing o</w:t>
      </w:r>
      <w:r w:rsidR="00AF498B">
        <w:rPr>
          <w:rFonts w:ascii="Arial Narrow" w:hAnsi="Arial Narrow" w:cs="Helvetica"/>
          <w:noProof/>
          <w:lang w:val="en-GB"/>
        </w:rPr>
        <w:t xml:space="preserve">r </w:t>
      </w:r>
      <w:r w:rsidR="0006494E">
        <w:rPr>
          <w:rFonts w:ascii="Arial Narrow" w:hAnsi="Arial Narrow" w:cs="Helvetica"/>
          <w:noProof/>
          <w:lang w:val="en-GB"/>
        </w:rPr>
        <w:t>enter into a technical rec</w:t>
      </w:r>
      <w:r w:rsidR="00D44989">
        <w:rPr>
          <w:rFonts w:ascii="Arial Narrow" w:hAnsi="Arial Narrow" w:cs="Helvetica"/>
          <w:noProof/>
          <w:lang w:val="en-GB"/>
        </w:rPr>
        <w:t>ession will continue to weigh negative</w:t>
      </w:r>
      <w:r w:rsidR="009B7F10">
        <w:rPr>
          <w:rFonts w:ascii="Arial Narrow" w:hAnsi="Arial Narrow" w:cs="Helvetica"/>
          <w:noProof/>
          <w:lang w:val="en-GB"/>
        </w:rPr>
        <w:t>ly</w:t>
      </w:r>
      <w:r w:rsidR="00D44989">
        <w:rPr>
          <w:rFonts w:ascii="Arial Narrow" w:hAnsi="Arial Narrow" w:cs="Helvetica"/>
          <w:noProof/>
          <w:lang w:val="en-GB"/>
        </w:rPr>
        <w:t xml:space="preserve"> over global growth sentiments. </w:t>
      </w:r>
    </w:p>
    <w:p w14:paraId="61B0B83C" w14:textId="77777777" w:rsidR="00BB7360" w:rsidRPr="00537F49" w:rsidRDefault="00BB7360" w:rsidP="00537F49">
      <w:pPr>
        <w:pStyle w:val="ListParagraph"/>
        <w:ind w:left="426"/>
        <w:jc w:val="both"/>
        <w:rPr>
          <w:rFonts w:ascii="Arial Narrow" w:hAnsi="Arial Narrow"/>
          <w:b/>
        </w:rPr>
      </w:pPr>
    </w:p>
    <w:p w14:paraId="5CB67452" w14:textId="721E72AD" w:rsidR="00A67B6D" w:rsidRDefault="000F56AF">
      <w:pPr>
        <w:pStyle w:val="ListParagraph"/>
        <w:numPr>
          <w:ilvl w:val="1"/>
          <w:numId w:val="7"/>
        </w:numPr>
        <w:jc w:val="both"/>
        <w:rPr>
          <w:rFonts w:ascii="Arial Narrow" w:hAnsi="Arial Narrow"/>
          <w:b/>
          <w:bCs/>
          <w:lang w:val="en-GB"/>
        </w:rPr>
      </w:pPr>
      <w:r w:rsidRPr="00000759">
        <w:rPr>
          <w:rFonts w:ascii="Arial Narrow" w:hAnsi="Arial Narrow"/>
          <w:b/>
          <w:bCs/>
          <w:lang w:val="en-GB"/>
        </w:rPr>
        <w:t>So</w:t>
      </w:r>
      <w:r w:rsidR="00A266D8" w:rsidRPr="00000759">
        <w:rPr>
          <w:rFonts w:ascii="Arial Narrow" w:hAnsi="Arial Narrow"/>
          <w:b/>
          <w:bCs/>
          <w:lang w:val="en-GB"/>
        </w:rPr>
        <w:t>uth Afr</w:t>
      </w:r>
      <w:r w:rsidR="00000759" w:rsidRPr="00000759">
        <w:rPr>
          <w:rFonts w:ascii="Arial Narrow" w:hAnsi="Arial Narrow"/>
          <w:b/>
          <w:bCs/>
          <w:lang w:val="en-GB"/>
        </w:rPr>
        <w:t>ican economic outlook</w:t>
      </w:r>
    </w:p>
    <w:p w14:paraId="462F505B" w14:textId="77777777" w:rsidR="00CF1435" w:rsidRPr="00000759" w:rsidRDefault="00CF1435" w:rsidP="00CF1435">
      <w:pPr>
        <w:pStyle w:val="ListParagraph"/>
        <w:ind w:left="792"/>
        <w:jc w:val="both"/>
        <w:rPr>
          <w:rFonts w:ascii="Arial Narrow" w:hAnsi="Arial Narrow"/>
          <w:b/>
          <w:bCs/>
          <w:lang w:val="en-GB"/>
        </w:rPr>
      </w:pPr>
    </w:p>
    <w:p w14:paraId="38252D48" w14:textId="053841A4" w:rsidR="00CE2EB6" w:rsidRPr="004655DA" w:rsidRDefault="004D497A" w:rsidP="00133647">
      <w:pPr>
        <w:pStyle w:val="ListParagraph"/>
        <w:ind w:left="426"/>
        <w:jc w:val="both"/>
        <w:rPr>
          <w:rFonts w:ascii="Arial Narrow" w:eastAsia="Times New Roman" w:hAnsi="Arial Narrow" w:cstheme="minorBidi"/>
          <w:lang w:val="en-GB" w:eastAsia="en-ZA"/>
        </w:rPr>
      </w:pPr>
      <w:r>
        <w:rPr>
          <w:rFonts w:ascii="Arial Narrow" w:eastAsia="Times New Roman" w:hAnsi="Arial Narrow" w:cstheme="minorBidi"/>
          <w:lang w:val="en-GB" w:eastAsia="en-ZA"/>
        </w:rPr>
        <w:t xml:space="preserve">The South African economic </w:t>
      </w:r>
      <w:r w:rsidR="004C1C53">
        <w:rPr>
          <w:rFonts w:ascii="Arial Narrow" w:eastAsia="Times New Roman" w:hAnsi="Arial Narrow" w:cstheme="minorBidi"/>
          <w:lang w:val="en-GB" w:eastAsia="en-ZA"/>
        </w:rPr>
        <w:t xml:space="preserve">growth </w:t>
      </w:r>
      <w:r w:rsidR="00431097">
        <w:rPr>
          <w:rFonts w:ascii="Arial Narrow" w:eastAsia="Times New Roman" w:hAnsi="Arial Narrow" w:cstheme="minorBidi"/>
          <w:lang w:val="en-GB" w:eastAsia="en-ZA"/>
        </w:rPr>
        <w:t>outlook mirrors the uncertainty of the global environment</w:t>
      </w:r>
      <w:r w:rsidR="00C1717C">
        <w:rPr>
          <w:rFonts w:ascii="Arial Narrow" w:eastAsia="Times New Roman" w:hAnsi="Arial Narrow" w:cstheme="minorBidi"/>
          <w:lang w:val="en-GB" w:eastAsia="en-ZA"/>
        </w:rPr>
        <w:t xml:space="preserve">. </w:t>
      </w:r>
      <w:r w:rsidR="009A5734">
        <w:rPr>
          <w:rFonts w:ascii="Arial Narrow" w:eastAsia="Times New Roman" w:hAnsi="Arial Narrow" w:cstheme="minorBidi"/>
          <w:lang w:val="en-GB" w:eastAsia="en-ZA"/>
        </w:rPr>
        <w:t>However, the</w:t>
      </w:r>
      <w:r w:rsidR="006E3F23">
        <w:rPr>
          <w:rFonts w:ascii="Arial Narrow" w:eastAsia="Times New Roman" w:hAnsi="Arial Narrow" w:cstheme="minorBidi"/>
          <w:lang w:val="en-GB" w:eastAsia="en-ZA"/>
        </w:rPr>
        <w:t xml:space="preserve"> </w:t>
      </w:r>
      <w:r w:rsidR="00731DC4" w:rsidRPr="004655DA">
        <w:rPr>
          <w:rFonts w:ascii="Arial Narrow" w:eastAsia="Times New Roman" w:hAnsi="Arial Narrow" w:cstheme="minorBidi"/>
          <w:lang w:val="en-GB" w:eastAsia="en-ZA"/>
        </w:rPr>
        <w:t xml:space="preserve">energy supply </w:t>
      </w:r>
      <w:r w:rsidR="00731DC4" w:rsidRPr="00184C0A">
        <w:rPr>
          <w:rFonts w:ascii="Arial Narrow" w:eastAsia="Times New Roman" w:hAnsi="Arial Narrow" w:cstheme="minorBidi"/>
          <w:lang w:val="en-GB" w:eastAsia="en-ZA"/>
        </w:rPr>
        <w:t>constraint</w:t>
      </w:r>
      <w:r w:rsidR="00731DC4" w:rsidRPr="004655DA">
        <w:rPr>
          <w:rFonts w:ascii="Arial Narrow" w:eastAsia="Times New Roman" w:hAnsi="Arial Narrow" w:cstheme="minorBidi"/>
          <w:lang w:val="en-GB" w:eastAsia="en-ZA"/>
        </w:rPr>
        <w:t xml:space="preserve"> </w:t>
      </w:r>
      <w:r w:rsidR="00DE3DA6">
        <w:rPr>
          <w:rFonts w:ascii="Arial Narrow" w:eastAsia="Times New Roman" w:hAnsi="Arial Narrow" w:cstheme="minorBidi"/>
          <w:lang w:val="en-GB" w:eastAsia="en-ZA"/>
        </w:rPr>
        <w:t>that has resulted in u</w:t>
      </w:r>
      <w:r w:rsidR="00731DC4" w:rsidRPr="004655DA">
        <w:rPr>
          <w:rFonts w:ascii="Arial Narrow" w:eastAsia="Times New Roman" w:hAnsi="Arial Narrow" w:cstheme="minorBidi"/>
          <w:lang w:val="en-GB" w:eastAsia="en-ZA"/>
        </w:rPr>
        <w:t xml:space="preserve">nprecedented levels of </w:t>
      </w:r>
      <w:r w:rsidR="00265AE5">
        <w:rPr>
          <w:rFonts w:ascii="Arial Narrow" w:eastAsia="Times New Roman" w:hAnsi="Arial Narrow" w:cstheme="minorBidi"/>
          <w:lang w:val="en-GB" w:eastAsia="en-ZA"/>
        </w:rPr>
        <w:t>l</w:t>
      </w:r>
      <w:r w:rsidR="00731DC4" w:rsidRPr="00184C0A">
        <w:rPr>
          <w:rFonts w:ascii="Arial Narrow" w:eastAsia="Times New Roman" w:hAnsi="Arial Narrow" w:cstheme="minorBidi"/>
          <w:lang w:val="en-GB" w:eastAsia="en-ZA"/>
        </w:rPr>
        <w:t>oad</w:t>
      </w:r>
      <w:r w:rsidR="00773C30">
        <w:rPr>
          <w:rFonts w:ascii="Arial Narrow" w:eastAsia="Times New Roman" w:hAnsi="Arial Narrow" w:cstheme="minorBidi"/>
          <w:lang w:val="en-GB" w:eastAsia="en-ZA"/>
        </w:rPr>
        <w:t>-</w:t>
      </w:r>
      <w:r w:rsidR="00265AE5">
        <w:rPr>
          <w:rFonts w:ascii="Arial Narrow" w:eastAsia="Times New Roman" w:hAnsi="Arial Narrow" w:cstheme="minorBidi"/>
          <w:lang w:val="en-GB" w:eastAsia="en-ZA"/>
        </w:rPr>
        <w:t>s</w:t>
      </w:r>
      <w:r w:rsidR="00731DC4" w:rsidRPr="00184C0A">
        <w:rPr>
          <w:rFonts w:ascii="Arial Narrow" w:eastAsia="Times New Roman" w:hAnsi="Arial Narrow" w:cstheme="minorBidi"/>
          <w:lang w:val="en-GB" w:eastAsia="en-ZA"/>
        </w:rPr>
        <w:t>hedding</w:t>
      </w:r>
      <w:r w:rsidR="006F4A7F">
        <w:rPr>
          <w:rFonts w:ascii="Arial Narrow" w:eastAsia="Times New Roman" w:hAnsi="Arial Narrow" w:cstheme="minorBidi"/>
          <w:lang w:val="en-GB" w:eastAsia="en-ZA"/>
        </w:rPr>
        <w:t xml:space="preserve"> </w:t>
      </w:r>
      <w:r w:rsidR="006B03F5">
        <w:rPr>
          <w:rFonts w:ascii="Arial Narrow" w:eastAsia="Times New Roman" w:hAnsi="Arial Narrow" w:cstheme="minorBidi"/>
          <w:lang w:val="en-GB" w:eastAsia="en-ZA"/>
        </w:rPr>
        <w:t xml:space="preserve">will </w:t>
      </w:r>
      <w:r w:rsidR="00C81BDB">
        <w:rPr>
          <w:rFonts w:ascii="Arial Narrow" w:eastAsia="Times New Roman" w:hAnsi="Arial Narrow" w:cstheme="minorBidi"/>
          <w:lang w:val="en-GB" w:eastAsia="en-ZA"/>
        </w:rPr>
        <w:t xml:space="preserve">continue to </w:t>
      </w:r>
      <w:r w:rsidR="009E3DC3">
        <w:rPr>
          <w:rFonts w:ascii="Arial Narrow" w:eastAsia="Times New Roman" w:hAnsi="Arial Narrow" w:cstheme="minorBidi"/>
          <w:lang w:val="en-GB" w:eastAsia="en-ZA"/>
        </w:rPr>
        <w:t>ha</w:t>
      </w:r>
      <w:r w:rsidR="00542804">
        <w:rPr>
          <w:rFonts w:ascii="Arial Narrow" w:eastAsia="Times New Roman" w:hAnsi="Arial Narrow" w:cstheme="minorBidi"/>
          <w:lang w:val="en-GB" w:eastAsia="en-ZA"/>
        </w:rPr>
        <w:t>mper</w:t>
      </w:r>
      <w:r w:rsidR="002D4D0A">
        <w:rPr>
          <w:rFonts w:ascii="Arial Narrow" w:eastAsia="Times New Roman" w:hAnsi="Arial Narrow" w:cstheme="minorBidi"/>
          <w:lang w:val="en-GB" w:eastAsia="en-ZA"/>
        </w:rPr>
        <w:t xml:space="preserve"> </w:t>
      </w:r>
      <w:r w:rsidR="008E014D">
        <w:rPr>
          <w:rFonts w:ascii="Arial Narrow" w:eastAsia="Times New Roman" w:hAnsi="Arial Narrow" w:cstheme="minorBidi"/>
          <w:lang w:val="en-GB" w:eastAsia="en-ZA"/>
        </w:rPr>
        <w:t>Gross Domestic Product (</w:t>
      </w:r>
      <w:r w:rsidR="002D4D0A" w:rsidRPr="227897DB">
        <w:rPr>
          <w:rFonts w:ascii="Arial Narrow" w:eastAsia="Times New Roman" w:hAnsi="Arial Narrow" w:cstheme="minorBidi"/>
          <w:lang w:val="en-GB" w:eastAsia="en-ZA"/>
        </w:rPr>
        <w:t>GDP)</w:t>
      </w:r>
      <w:r w:rsidR="0018652F">
        <w:rPr>
          <w:rFonts w:ascii="Arial Narrow" w:eastAsia="Times New Roman" w:hAnsi="Arial Narrow" w:cstheme="minorBidi"/>
          <w:lang w:val="en-GB" w:eastAsia="en-ZA"/>
        </w:rPr>
        <w:t xml:space="preserve"> </w:t>
      </w:r>
      <w:r w:rsidR="006426EA">
        <w:rPr>
          <w:rFonts w:ascii="Arial Narrow" w:eastAsia="Times New Roman" w:hAnsi="Arial Narrow" w:cstheme="minorBidi"/>
          <w:lang w:val="en-GB" w:eastAsia="en-ZA"/>
        </w:rPr>
        <w:t>and further</w:t>
      </w:r>
      <w:r w:rsidR="00055DA1" w:rsidRPr="004655DA">
        <w:rPr>
          <w:rFonts w:ascii="Arial Narrow" w:eastAsia="Times New Roman" w:hAnsi="Arial Narrow" w:cstheme="minorBidi"/>
          <w:lang w:val="en-GB" w:eastAsia="en-ZA"/>
        </w:rPr>
        <w:t xml:space="preserve"> </w:t>
      </w:r>
      <w:r w:rsidR="00F90F4A" w:rsidRPr="004655DA">
        <w:rPr>
          <w:rFonts w:ascii="Arial Narrow" w:eastAsia="Times New Roman" w:hAnsi="Arial Narrow" w:cstheme="minorBidi"/>
          <w:lang w:val="en-GB" w:eastAsia="en-ZA"/>
        </w:rPr>
        <w:t>constrain</w:t>
      </w:r>
      <w:r w:rsidR="00302D76" w:rsidRPr="004655DA">
        <w:rPr>
          <w:rFonts w:ascii="Arial Narrow" w:eastAsia="Times New Roman" w:hAnsi="Arial Narrow" w:cstheme="minorBidi"/>
          <w:lang w:val="en-GB" w:eastAsia="en-ZA"/>
        </w:rPr>
        <w:t xml:space="preserve"> job creation</w:t>
      </w:r>
      <w:r w:rsidR="00F44E90">
        <w:rPr>
          <w:rFonts w:ascii="Arial Narrow" w:eastAsia="Times New Roman" w:hAnsi="Arial Narrow" w:cstheme="minorBidi"/>
          <w:lang w:val="en-GB" w:eastAsia="en-ZA"/>
        </w:rPr>
        <w:t xml:space="preserve">. </w:t>
      </w:r>
      <w:r w:rsidR="00CE2EB6" w:rsidRPr="004655DA">
        <w:rPr>
          <w:rFonts w:ascii="Arial Narrow" w:eastAsia="Times New Roman" w:hAnsi="Arial Narrow" w:cstheme="minorBidi"/>
          <w:lang w:val="en-GB" w:eastAsia="en-ZA"/>
        </w:rPr>
        <w:t>According to the South African Reserve Bank (SARB)</w:t>
      </w:r>
      <w:r w:rsidR="005403E7">
        <w:rPr>
          <w:rFonts w:ascii="Arial Narrow" w:eastAsia="Times New Roman" w:hAnsi="Arial Narrow" w:cstheme="minorBidi"/>
          <w:lang w:val="en-GB" w:eastAsia="en-ZA"/>
        </w:rPr>
        <w:t>,</w:t>
      </w:r>
      <w:r w:rsidR="00CE2EB6" w:rsidRPr="004655DA">
        <w:rPr>
          <w:rFonts w:ascii="Arial Narrow" w:eastAsia="Times New Roman" w:hAnsi="Arial Narrow" w:cstheme="minorBidi"/>
          <w:lang w:val="en-GB" w:eastAsia="en-ZA"/>
        </w:rPr>
        <w:t xml:space="preserve"> </w:t>
      </w:r>
      <w:r w:rsidR="00E166A4">
        <w:rPr>
          <w:rFonts w:ascii="Arial Narrow" w:eastAsia="Times New Roman" w:hAnsi="Arial Narrow" w:cstheme="minorBidi"/>
          <w:lang w:val="en-GB" w:eastAsia="en-ZA"/>
        </w:rPr>
        <w:t>GDP</w:t>
      </w:r>
      <w:r w:rsidR="00CE2EB6" w:rsidRPr="00184C0A">
        <w:rPr>
          <w:rFonts w:ascii="Arial Narrow" w:eastAsia="Times New Roman" w:hAnsi="Arial Narrow" w:cstheme="minorBidi"/>
          <w:lang w:val="en-GB" w:eastAsia="en-ZA"/>
        </w:rPr>
        <w:t xml:space="preserve"> </w:t>
      </w:r>
      <w:r w:rsidR="00CE2EB6" w:rsidRPr="004655DA">
        <w:rPr>
          <w:rFonts w:ascii="Arial Narrow" w:eastAsia="Times New Roman" w:hAnsi="Arial Narrow" w:cstheme="minorBidi"/>
          <w:lang w:val="en-GB" w:eastAsia="en-ZA"/>
        </w:rPr>
        <w:t xml:space="preserve">is projected to grow by a </w:t>
      </w:r>
      <w:r w:rsidR="00A96F7C">
        <w:rPr>
          <w:rFonts w:ascii="Arial Narrow" w:eastAsia="Times New Roman" w:hAnsi="Arial Narrow" w:cstheme="minorBidi"/>
          <w:lang w:val="en-GB" w:eastAsia="en-ZA"/>
        </w:rPr>
        <w:t>meagre</w:t>
      </w:r>
      <w:r w:rsidR="00C415D5" w:rsidRPr="004655DA">
        <w:rPr>
          <w:rFonts w:ascii="Arial Narrow" w:eastAsia="Times New Roman" w:hAnsi="Arial Narrow" w:cstheme="minorBidi"/>
          <w:lang w:val="en-GB" w:eastAsia="en-ZA"/>
        </w:rPr>
        <w:t xml:space="preserve"> 1</w:t>
      </w:r>
      <w:r w:rsidR="00B21962" w:rsidRPr="004655DA">
        <w:rPr>
          <w:rFonts w:ascii="Arial Narrow" w:eastAsia="Times New Roman" w:hAnsi="Arial Narrow" w:cstheme="minorBidi"/>
          <w:lang w:val="en-GB" w:eastAsia="en-ZA"/>
        </w:rPr>
        <w:t>.0</w:t>
      </w:r>
      <w:r w:rsidR="00672724" w:rsidRPr="00672724">
        <w:rPr>
          <w:rFonts w:ascii="Arial Narrow" w:eastAsia="Times New Roman" w:hAnsi="Arial Narrow" w:cstheme="minorBidi"/>
          <w:lang w:val="en-GB" w:eastAsia="en-ZA"/>
        </w:rPr>
        <w:t xml:space="preserve">% </w:t>
      </w:r>
      <w:r w:rsidR="00EA60DE">
        <w:rPr>
          <w:rFonts w:ascii="Arial Narrow" w:eastAsia="Times New Roman" w:hAnsi="Arial Narrow" w:cstheme="minorBidi"/>
          <w:lang w:val="en-GB" w:eastAsia="en-ZA"/>
        </w:rPr>
        <w:t xml:space="preserve">in </w:t>
      </w:r>
      <w:r w:rsidR="00672724" w:rsidRPr="00672724">
        <w:rPr>
          <w:rFonts w:ascii="Arial Narrow" w:eastAsia="Times New Roman" w:hAnsi="Arial Narrow" w:cstheme="minorBidi"/>
          <w:lang w:val="en-GB" w:eastAsia="en-ZA"/>
        </w:rPr>
        <w:t>2024</w:t>
      </w:r>
      <w:r w:rsidR="00512FBE" w:rsidRPr="004655DA">
        <w:rPr>
          <w:rFonts w:ascii="Arial Narrow" w:eastAsia="Times New Roman" w:hAnsi="Arial Narrow" w:cstheme="minorBidi"/>
          <w:lang w:val="en-GB" w:eastAsia="en-ZA"/>
        </w:rPr>
        <w:t xml:space="preserve">, while according to the </w:t>
      </w:r>
      <w:r w:rsidR="00954710" w:rsidRPr="004655DA">
        <w:rPr>
          <w:rFonts w:ascii="Arial Narrow" w:eastAsia="Times New Roman" w:hAnsi="Arial Narrow" w:cstheme="minorBidi"/>
          <w:lang w:val="en-GB" w:eastAsia="en-ZA"/>
        </w:rPr>
        <w:t>slight</w:t>
      </w:r>
      <w:r w:rsidR="00EC59A4" w:rsidRPr="004655DA">
        <w:rPr>
          <w:rFonts w:ascii="Arial Narrow" w:eastAsia="Times New Roman" w:hAnsi="Arial Narrow" w:cstheme="minorBidi"/>
          <w:lang w:val="en-GB" w:eastAsia="en-ZA"/>
        </w:rPr>
        <w:t xml:space="preserve">ly more </w:t>
      </w:r>
      <w:r w:rsidR="00512FBE" w:rsidRPr="00184C0A">
        <w:rPr>
          <w:rFonts w:ascii="Arial Narrow" w:eastAsia="Times New Roman" w:hAnsi="Arial Narrow" w:cstheme="minorBidi"/>
          <w:lang w:val="en-GB" w:eastAsia="en-ZA"/>
        </w:rPr>
        <w:t>optimist</w:t>
      </w:r>
      <w:r w:rsidR="00930911">
        <w:rPr>
          <w:rFonts w:ascii="Arial Narrow" w:eastAsia="Times New Roman" w:hAnsi="Arial Narrow" w:cstheme="minorBidi"/>
          <w:lang w:val="en-GB" w:eastAsia="en-ZA"/>
        </w:rPr>
        <w:t>ic</w:t>
      </w:r>
      <w:r w:rsidR="00512FBE" w:rsidRPr="004655DA">
        <w:rPr>
          <w:rFonts w:ascii="Arial Narrow" w:eastAsia="Times New Roman" w:hAnsi="Arial Narrow" w:cstheme="minorBidi"/>
          <w:lang w:val="en-GB" w:eastAsia="en-ZA"/>
        </w:rPr>
        <w:t xml:space="preserve"> forecast of the IMF, </w:t>
      </w:r>
      <w:r w:rsidR="003F1B92" w:rsidRPr="004655DA">
        <w:rPr>
          <w:rFonts w:ascii="Arial Narrow" w:eastAsia="Times New Roman" w:hAnsi="Arial Narrow" w:cstheme="minorBidi"/>
          <w:lang w:val="en-GB" w:eastAsia="en-ZA"/>
        </w:rPr>
        <w:t xml:space="preserve">South Africa’s GDP is forecast to grow by 1.7% for the same period. </w:t>
      </w:r>
      <w:r w:rsidR="00DF5298">
        <w:rPr>
          <w:rFonts w:ascii="Arial Narrow" w:eastAsia="Times New Roman" w:hAnsi="Arial Narrow" w:cstheme="minorBidi"/>
          <w:lang w:val="en-GB" w:eastAsia="en-ZA"/>
        </w:rPr>
        <w:t xml:space="preserve">The economic </w:t>
      </w:r>
      <w:r w:rsidR="00851395">
        <w:rPr>
          <w:rFonts w:ascii="Arial Narrow" w:eastAsia="Times New Roman" w:hAnsi="Arial Narrow" w:cstheme="minorBidi"/>
          <w:lang w:val="en-GB" w:eastAsia="en-ZA"/>
        </w:rPr>
        <w:t>environment is likely to remain volatile</w:t>
      </w:r>
      <w:r w:rsidR="009E0E10">
        <w:rPr>
          <w:rFonts w:ascii="Arial Narrow" w:eastAsia="Times New Roman" w:hAnsi="Arial Narrow" w:cstheme="minorBidi"/>
          <w:lang w:val="en-GB" w:eastAsia="en-ZA"/>
        </w:rPr>
        <w:t xml:space="preserve"> </w:t>
      </w:r>
      <w:r w:rsidR="00684D5A">
        <w:rPr>
          <w:rFonts w:ascii="Arial Narrow" w:eastAsia="Times New Roman" w:hAnsi="Arial Narrow" w:cstheme="minorBidi"/>
          <w:lang w:val="en-GB" w:eastAsia="en-ZA"/>
        </w:rPr>
        <w:t xml:space="preserve">and </w:t>
      </w:r>
      <w:r w:rsidR="008B1A91">
        <w:rPr>
          <w:rFonts w:ascii="Arial Narrow" w:eastAsia="Times New Roman" w:hAnsi="Arial Narrow" w:cstheme="minorBidi"/>
          <w:lang w:val="en-GB" w:eastAsia="en-ZA"/>
        </w:rPr>
        <w:t>susceptible</w:t>
      </w:r>
      <w:r w:rsidR="00684D5A">
        <w:rPr>
          <w:rFonts w:ascii="Arial Narrow" w:eastAsia="Times New Roman" w:hAnsi="Arial Narrow" w:cstheme="minorBidi"/>
          <w:lang w:val="en-GB" w:eastAsia="en-ZA"/>
        </w:rPr>
        <w:t xml:space="preserve"> to further </w:t>
      </w:r>
      <w:r w:rsidR="00524C4D">
        <w:rPr>
          <w:rFonts w:ascii="Arial Narrow" w:eastAsia="Times New Roman" w:hAnsi="Arial Narrow" w:cstheme="minorBidi"/>
          <w:lang w:val="en-GB" w:eastAsia="en-ZA"/>
        </w:rPr>
        <w:t xml:space="preserve">global economic </w:t>
      </w:r>
      <w:r w:rsidR="00580B2F">
        <w:rPr>
          <w:rFonts w:ascii="Arial Narrow" w:eastAsia="Times New Roman" w:hAnsi="Arial Narrow" w:cstheme="minorBidi"/>
          <w:lang w:val="en-GB" w:eastAsia="en-ZA"/>
        </w:rPr>
        <w:t>shocks.</w:t>
      </w:r>
      <w:r w:rsidR="00684D5A">
        <w:rPr>
          <w:rFonts w:ascii="Arial Narrow" w:eastAsia="Times New Roman" w:hAnsi="Arial Narrow" w:cstheme="minorBidi"/>
          <w:lang w:val="en-GB" w:eastAsia="en-ZA"/>
        </w:rPr>
        <w:t xml:space="preserve"> </w:t>
      </w:r>
    </w:p>
    <w:p w14:paraId="67A0C227" w14:textId="77777777" w:rsidR="00B7739B" w:rsidRDefault="00B7739B" w:rsidP="00442993">
      <w:pPr>
        <w:pStyle w:val="ListParagraph"/>
        <w:ind w:left="792"/>
        <w:jc w:val="both"/>
        <w:rPr>
          <w:rFonts w:ascii="Arial Narrow" w:eastAsia="Times New Roman" w:hAnsi="Arial Narrow" w:cstheme="minorBidi"/>
          <w:lang w:val="en-GB" w:eastAsia="en-ZA"/>
        </w:rPr>
      </w:pPr>
    </w:p>
    <w:p w14:paraId="213E45A0" w14:textId="31418C84" w:rsidR="005B1803" w:rsidRDefault="008E735B" w:rsidP="006241F1">
      <w:pPr>
        <w:pStyle w:val="ListParagraph"/>
        <w:numPr>
          <w:ilvl w:val="2"/>
          <w:numId w:val="7"/>
        </w:numPr>
        <w:ind w:left="900"/>
        <w:jc w:val="both"/>
        <w:rPr>
          <w:rFonts w:ascii="Arial Narrow" w:hAnsi="Arial Narrow"/>
          <w:b/>
        </w:rPr>
      </w:pPr>
      <w:r>
        <w:rPr>
          <w:rFonts w:ascii="Arial Narrow" w:hAnsi="Arial Narrow"/>
          <w:b/>
        </w:rPr>
        <w:t xml:space="preserve"> Interest rates</w:t>
      </w:r>
    </w:p>
    <w:p w14:paraId="29EDBC2B" w14:textId="77777777" w:rsidR="00044803" w:rsidRPr="00184C0A" w:rsidRDefault="00044803" w:rsidP="00BE52D1">
      <w:pPr>
        <w:pStyle w:val="ListParagraph"/>
        <w:jc w:val="both"/>
        <w:rPr>
          <w:rFonts w:ascii="Arial Narrow" w:hAnsi="Arial Narrow"/>
          <w:b/>
        </w:rPr>
      </w:pPr>
    </w:p>
    <w:p w14:paraId="024BCF46" w14:textId="30969948" w:rsidR="0041624D" w:rsidRDefault="00707C60" w:rsidP="00B02F25">
      <w:pPr>
        <w:pStyle w:val="ListParagraph"/>
        <w:ind w:left="426"/>
        <w:jc w:val="both"/>
        <w:rPr>
          <w:rFonts w:ascii="Arial Narrow" w:eastAsia="Times New Roman" w:hAnsi="Arial Narrow" w:cstheme="minorBidi"/>
          <w:lang w:val="en-GB" w:eastAsia="en-ZA"/>
        </w:rPr>
      </w:pPr>
      <w:r w:rsidRPr="006241F1">
        <w:rPr>
          <w:rFonts w:ascii="Arial Narrow" w:eastAsia="Times New Roman" w:hAnsi="Arial Narrow" w:cstheme="minorBidi"/>
          <w:lang w:val="en-GB" w:eastAsia="en-ZA"/>
        </w:rPr>
        <w:t>The South African Reserve Bank (SARB</w:t>
      </w:r>
      <w:r w:rsidR="00316B3B" w:rsidRPr="00316B3B">
        <w:rPr>
          <w:rFonts w:ascii="Arial Narrow" w:eastAsia="Times New Roman" w:hAnsi="Arial Narrow" w:cstheme="minorBidi"/>
          <w:lang w:val="en-GB" w:eastAsia="en-ZA"/>
        </w:rPr>
        <w:t>) maintained the repo rate at 8.25% per annum during</w:t>
      </w:r>
      <w:r w:rsidRPr="006241F1">
        <w:rPr>
          <w:rFonts w:ascii="Arial Narrow" w:eastAsia="Times New Roman" w:hAnsi="Arial Narrow" w:cstheme="minorBidi"/>
          <w:lang w:val="en-GB" w:eastAsia="en-ZA"/>
        </w:rPr>
        <w:t xml:space="preserve"> its July Monetary Policy Committee (MPC) meeting</w:t>
      </w:r>
      <w:r w:rsidR="00316B3B" w:rsidRPr="00316B3B">
        <w:rPr>
          <w:rFonts w:ascii="Arial Narrow" w:eastAsia="Times New Roman" w:hAnsi="Arial Narrow" w:cstheme="minorBidi"/>
          <w:lang w:val="en-GB" w:eastAsia="en-ZA"/>
        </w:rPr>
        <w:t>. This decision, which comes after</w:t>
      </w:r>
      <w:r w:rsidR="00832059" w:rsidRPr="006241F1">
        <w:rPr>
          <w:rFonts w:ascii="Arial Narrow" w:eastAsia="Times New Roman" w:hAnsi="Arial Narrow" w:cstheme="minorBidi"/>
          <w:lang w:val="en-GB" w:eastAsia="en-ZA"/>
        </w:rPr>
        <w:t xml:space="preserve"> a </w:t>
      </w:r>
      <w:r w:rsidR="00316B3B" w:rsidRPr="00316B3B">
        <w:rPr>
          <w:rFonts w:ascii="Arial Narrow" w:eastAsia="Times New Roman" w:hAnsi="Arial Narrow" w:cstheme="minorBidi"/>
          <w:lang w:val="en-GB" w:eastAsia="en-ZA"/>
        </w:rPr>
        <w:t>sequence</w:t>
      </w:r>
      <w:r w:rsidR="00832059" w:rsidRPr="006241F1">
        <w:rPr>
          <w:rFonts w:ascii="Arial Narrow" w:eastAsia="Times New Roman" w:hAnsi="Arial Narrow" w:cstheme="minorBidi"/>
          <w:lang w:val="en-GB" w:eastAsia="en-ZA"/>
        </w:rPr>
        <w:t xml:space="preserve"> of </w:t>
      </w:r>
      <w:r w:rsidR="00316B3B" w:rsidRPr="00316B3B">
        <w:rPr>
          <w:rFonts w:ascii="Arial Narrow" w:eastAsia="Times New Roman" w:hAnsi="Arial Narrow" w:cstheme="minorBidi"/>
          <w:lang w:val="en-GB" w:eastAsia="en-ZA"/>
        </w:rPr>
        <w:t>substantial interest rate increases, has brought considerable</w:t>
      </w:r>
      <w:r w:rsidRPr="006241F1">
        <w:rPr>
          <w:rFonts w:ascii="Arial Narrow" w:eastAsia="Times New Roman" w:hAnsi="Arial Narrow" w:cstheme="minorBidi"/>
          <w:lang w:val="en-GB" w:eastAsia="en-ZA"/>
        </w:rPr>
        <w:t xml:space="preserve"> relief to indebted consumers. However, the bank has cautioned that </w:t>
      </w:r>
      <w:r w:rsidR="00F24937" w:rsidRPr="00F24937">
        <w:rPr>
          <w:rFonts w:ascii="Arial Narrow" w:eastAsia="Times New Roman" w:hAnsi="Arial Narrow" w:cstheme="minorBidi"/>
          <w:lang w:val="en-GB" w:eastAsia="en-ZA"/>
        </w:rPr>
        <w:t>there is still a significant</w:t>
      </w:r>
      <w:r w:rsidRPr="006241F1">
        <w:rPr>
          <w:rFonts w:ascii="Arial Narrow" w:eastAsia="Times New Roman" w:hAnsi="Arial Narrow" w:cstheme="minorBidi"/>
          <w:lang w:val="en-GB" w:eastAsia="en-ZA"/>
        </w:rPr>
        <w:t xml:space="preserve"> upside risk </w:t>
      </w:r>
      <w:r w:rsidR="008545FD" w:rsidRPr="006241F1">
        <w:rPr>
          <w:rFonts w:ascii="Arial Narrow" w:eastAsia="Times New Roman" w:hAnsi="Arial Narrow" w:cstheme="minorBidi"/>
          <w:lang w:val="en-GB" w:eastAsia="en-ZA"/>
        </w:rPr>
        <w:t xml:space="preserve">to </w:t>
      </w:r>
      <w:r w:rsidRPr="006241F1">
        <w:rPr>
          <w:rFonts w:ascii="Arial Narrow" w:eastAsia="Times New Roman" w:hAnsi="Arial Narrow" w:cstheme="minorBidi"/>
          <w:lang w:val="en-GB" w:eastAsia="en-ZA"/>
        </w:rPr>
        <w:t>inflation</w:t>
      </w:r>
      <w:r w:rsidR="00F24937" w:rsidRPr="00F24937">
        <w:rPr>
          <w:rFonts w:ascii="Arial Narrow" w:eastAsia="Times New Roman" w:hAnsi="Arial Narrow" w:cstheme="minorBidi"/>
          <w:lang w:val="en-GB" w:eastAsia="en-ZA"/>
        </w:rPr>
        <w:t>, indicating</w:t>
      </w:r>
      <w:r w:rsidRPr="006241F1">
        <w:rPr>
          <w:rFonts w:ascii="Arial Narrow" w:eastAsia="Times New Roman" w:hAnsi="Arial Narrow" w:cstheme="minorBidi"/>
          <w:lang w:val="en-GB" w:eastAsia="en-ZA"/>
        </w:rPr>
        <w:t xml:space="preserve"> that </w:t>
      </w:r>
      <w:r w:rsidR="00F24937" w:rsidRPr="00F24937">
        <w:rPr>
          <w:rFonts w:ascii="Arial Narrow" w:eastAsia="Times New Roman" w:hAnsi="Arial Narrow" w:cstheme="minorBidi"/>
          <w:lang w:val="en-GB" w:eastAsia="en-ZA"/>
        </w:rPr>
        <w:t>additional</w:t>
      </w:r>
      <w:r w:rsidRPr="006241F1">
        <w:rPr>
          <w:rFonts w:ascii="Arial Narrow" w:eastAsia="Times New Roman" w:hAnsi="Arial Narrow" w:cstheme="minorBidi"/>
          <w:lang w:val="en-GB" w:eastAsia="en-ZA"/>
        </w:rPr>
        <w:t xml:space="preserve"> interest rate </w:t>
      </w:r>
      <w:r w:rsidR="00F24937" w:rsidRPr="00F24937">
        <w:rPr>
          <w:rFonts w:ascii="Arial Narrow" w:eastAsia="Times New Roman" w:hAnsi="Arial Narrow" w:cstheme="minorBidi"/>
          <w:lang w:val="en-GB" w:eastAsia="en-ZA"/>
        </w:rPr>
        <w:t xml:space="preserve">hikes </w:t>
      </w:r>
      <w:r w:rsidRPr="006241F1">
        <w:rPr>
          <w:rFonts w:ascii="Arial Narrow" w:eastAsia="Times New Roman" w:hAnsi="Arial Narrow" w:cstheme="minorBidi"/>
          <w:lang w:val="en-GB" w:eastAsia="en-ZA"/>
        </w:rPr>
        <w:t xml:space="preserve">may be </w:t>
      </w:r>
      <w:r w:rsidR="00F24937" w:rsidRPr="00F24937">
        <w:rPr>
          <w:rFonts w:ascii="Arial Narrow" w:eastAsia="Times New Roman" w:hAnsi="Arial Narrow" w:cstheme="minorBidi"/>
          <w:lang w:val="en-GB" w:eastAsia="en-ZA"/>
        </w:rPr>
        <w:t>on</w:t>
      </w:r>
      <w:r w:rsidRPr="006241F1">
        <w:rPr>
          <w:rFonts w:ascii="Arial Narrow" w:eastAsia="Times New Roman" w:hAnsi="Arial Narrow" w:cstheme="minorBidi"/>
          <w:lang w:val="en-GB" w:eastAsia="en-ZA"/>
        </w:rPr>
        <w:t xml:space="preserve"> the </w:t>
      </w:r>
      <w:r w:rsidR="00F24937" w:rsidRPr="00F24937">
        <w:rPr>
          <w:rFonts w:ascii="Arial Narrow" w:eastAsia="Times New Roman" w:hAnsi="Arial Narrow" w:cstheme="minorBidi"/>
          <w:lang w:val="en-GB" w:eastAsia="en-ZA"/>
        </w:rPr>
        <w:t xml:space="preserve">horizon </w:t>
      </w:r>
      <w:proofErr w:type="gramStart"/>
      <w:r w:rsidR="00F24937" w:rsidRPr="00F24937">
        <w:rPr>
          <w:rFonts w:ascii="Arial Narrow" w:eastAsia="Times New Roman" w:hAnsi="Arial Narrow" w:cstheme="minorBidi"/>
          <w:lang w:val="en-GB" w:eastAsia="en-ZA"/>
        </w:rPr>
        <w:t>as a result of</w:t>
      </w:r>
      <w:proofErr w:type="gramEnd"/>
      <w:r w:rsidR="00F24937" w:rsidRPr="00F24937">
        <w:rPr>
          <w:rFonts w:ascii="Arial Narrow" w:eastAsia="Times New Roman" w:hAnsi="Arial Narrow" w:cstheme="minorBidi"/>
          <w:lang w:val="en-GB" w:eastAsia="en-ZA"/>
        </w:rPr>
        <w:t xml:space="preserve"> </w:t>
      </w:r>
      <w:r w:rsidRPr="006241F1">
        <w:rPr>
          <w:rFonts w:ascii="Arial Narrow" w:eastAsia="Times New Roman" w:hAnsi="Arial Narrow" w:cstheme="minorBidi"/>
          <w:lang w:val="en-GB" w:eastAsia="en-ZA"/>
        </w:rPr>
        <w:t xml:space="preserve">elevated inflation </w:t>
      </w:r>
      <w:r w:rsidR="00F24937" w:rsidRPr="00F24937">
        <w:rPr>
          <w:rFonts w:ascii="Arial Narrow" w:eastAsia="Times New Roman" w:hAnsi="Arial Narrow" w:cstheme="minorBidi"/>
          <w:lang w:val="en-GB" w:eastAsia="en-ZA"/>
        </w:rPr>
        <w:t>expectations.</w:t>
      </w:r>
      <w:r w:rsidRPr="006241F1">
        <w:rPr>
          <w:rFonts w:ascii="Arial Narrow" w:eastAsia="Times New Roman" w:hAnsi="Arial Narrow" w:cstheme="minorBidi"/>
          <w:lang w:val="en-GB" w:eastAsia="en-ZA"/>
        </w:rPr>
        <w:t xml:space="preserve"> </w:t>
      </w:r>
      <w:r w:rsidR="00B02F25" w:rsidRPr="00B02F25">
        <w:rPr>
          <w:rFonts w:ascii="Arial Narrow" w:eastAsia="Times New Roman" w:hAnsi="Arial Narrow" w:cstheme="minorBidi"/>
          <w:lang w:val="en-GB" w:eastAsia="en-ZA"/>
        </w:rPr>
        <w:t>The prevailing</w:t>
      </w:r>
      <w:r w:rsidRPr="006241F1">
        <w:rPr>
          <w:rFonts w:ascii="Arial Narrow" w:eastAsia="Times New Roman" w:hAnsi="Arial Narrow" w:cstheme="minorBidi"/>
          <w:lang w:val="en-GB" w:eastAsia="en-ZA"/>
        </w:rPr>
        <w:t xml:space="preserve"> high</w:t>
      </w:r>
      <w:r w:rsidR="00F367DB">
        <w:rPr>
          <w:rFonts w:ascii="Arial Narrow" w:eastAsia="Times New Roman" w:hAnsi="Arial Narrow" w:cstheme="minorBidi"/>
          <w:lang w:val="en-GB" w:eastAsia="en-ZA"/>
        </w:rPr>
        <w:t>-</w:t>
      </w:r>
      <w:r w:rsidRPr="006241F1">
        <w:rPr>
          <w:rFonts w:ascii="Arial Narrow" w:eastAsia="Times New Roman" w:hAnsi="Arial Narrow" w:cstheme="minorBidi"/>
          <w:lang w:val="en-GB" w:eastAsia="en-ZA"/>
        </w:rPr>
        <w:t>interest rate</w:t>
      </w:r>
      <w:r w:rsidR="00421B41" w:rsidRPr="006241F1">
        <w:rPr>
          <w:rFonts w:ascii="Arial Narrow" w:eastAsia="Times New Roman" w:hAnsi="Arial Narrow" w:cstheme="minorBidi"/>
          <w:lang w:val="en-GB" w:eastAsia="en-ZA"/>
        </w:rPr>
        <w:t xml:space="preserve"> </w:t>
      </w:r>
      <w:r w:rsidR="00B02F25" w:rsidRPr="00B02F25">
        <w:rPr>
          <w:rFonts w:ascii="Arial Narrow" w:eastAsia="Times New Roman" w:hAnsi="Arial Narrow" w:cstheme="minorBidi"/>
          <w:lang w:val="en-GB" w:eastAsia="en-ZA"/>
        </w:rPr>
        <w:t>conditions have imposed significant financial burdens on</w:t>
      </w:r>
      <w:r w:rsidRPr="006241F1">
        <w:rPr>
          <w:rFonts w:ascii="Arial Narrow" w:eastAsia="Times New Roman" w:hAnsi="Arial Narrow" w:cstheme="minorBidi"/>
          <w:lang w:val="en-GB" w:eastAsia="en-ZA"/>
        </w:rPr>
        <w:t xml:space="preserve"> consumers </w:t>
      </w:r>
      <w:r w:rsidR="00B02F25" w:rsidRPr="00B02F25">
        <w:rPr>
          <w:rFonts w:ascii="Arial Narrow" w:eastAsia="Times New Roman" w:hAnsi="Arial Narrow" w:cstheme="minorBidi"/>
          <w:lang w:val="en-GB" w:eastAsia="en-ZA"/>
        </w:rPr>
        <w:t>at large, including individuals who are part</w:t>
      </w:r>
      <w:r w:rsidRPr="006241F1">
        <w:rPr>
          <w:rFonts w:ascii="Arial Narrow" w:eastAsia="Times New Roman" w:hAnsi="Arial Narrow" w:cstheme="minorBidi"/>
          <w:lang w:val="en-GB" w:eastAsia="en-ZA"/>
        </w:rPr>
        <w:t xml:space="preserve"> of medical schemes</w:t>
      </w:r>
      <w:r w:rsidR="00B02F25" w:rsidRPr="00B02F25">
        <w:rPr>
          <w:rFonts w:ascii="Arial Narrow" w:eastAsia="Times New Roman" w:hAnsi="Arial Narrow" w:cstheme="minorBidi"/>
          <w:lang w:val="en-GB" w:eastAsia="en-ZA"/>
        </w:rPr>
        <w:t>. However, it is anticipated that</w:t>
      </w:r>
      <w:r w:rsidR="00DE3312" w:rsidRPr="006241F1">
        <w:rPr>
          <w:rFonts w:ascii="Arial Narrow" w:eastAsia="Times New Roman" w:hAnsi="Arial Narrow" w:cstheme="minorBidi"/>
          <w:lang w:val="en-GB" w:eastAsia="en-ZA"/>
        </w:rPr>
        <w:t xml:space="preserve"> </w:t>
      </w:r>
      <w:r w:rsidRPr="006241F1">
        <w:rPr>
          <w:rFonts w:ascii="Arial Narrow" w:eastAsia="Times New Roman" w:hAnsi="Arial Narrow" w:cstheme="minorBidi"/>
          <w:lang w:val="en-GB" w:eastAsia="en-ZA"/>
        </w:rPr>
        <w:t xml:space="preserve">medical schemes </w:t>
      </w:r>
      <w:r w:rsidR="00B02F25" w:rsidRPr="00B02F25">
        <w:rPr>
          <w:rFonts w:ascii="Arial Narrow" w:eastAsia="Times New Roman" w:hAnsi="Arial Narrow" w:cstheme="minorBidi"/>
          <w:lang w:val="en-GB" w:eastAsia="en-ZA"/>
        </w:rPr>
        <w:t>will experience advantageous outcomes due to increased</w:t>
      </w:r>
      <w:r w:rsidR="007C2112" w:rsidRPr="006241F1">
        <w:rPr>
          <w:rFonts w:ascii="Arial Narrow" w:eastAsia="Times New Roman" w:hAnsi="Arial Narrow" w:cstheme="minorBidi"/>
          <w:lang w:val="en-GB" w:eastAsia="en-ZA"/>
        </w:rPr>
        <w:t xml:space="preserve"> returns</w:t>
      </w:r>
      <w:r w:rsidR="0041624D" w:rsidRPr="006241F1">
        <w:rPr>
          <w:rFonts w:ascii="Arial Narrow" w:eastAsia="Times New Roman" w:hAnsi="Arial Narrow" w:cstheme="minorBidi"/>
          <w:lang w:val="en-GB" w:eastAsia="en-ZA"/>
        </w:rPr>
        <w:t xml:space="preserve"> </w:t>
      </w:r>
      <w:r w:rsidR="00B02F25" w:rsidRPr="00B02F25">
        <w:rPr>
          <w:rFonts w:ascii="Arial Narrow" w:eastAsia="Times New Roman" w:hAnsi="Arial Narrow" w:cstheme="minorBidi"/>
          <w:lang w:val="en-GB" w:eastAsia="en-ZA"/>
        </w:rPr>
        <w:t xml:space="preserve">derived </w:t>
      </w:r>
      <w:r w:rsidR="0041624D" w:rsidRPr="006241F1">
        <w:rPr>
          <w:rFonts w:ascii="Arial Narrow" w:eastAsia="Times New Roman" w:hAnsi="Arial Narrow" w:cstheme="minorBidi"/>
          <w:lang w:val="en-GB" w:eastAsia="en-ZA"/>
        </w:rPr>
        <w:t>from</w:t>
      </w:r>
      <w:r w:rsidR="001E0A83" w:rsidRPr="006241F1">
        <w:rPr>
          <w:rFonts w:ascii="Arial Narrow" w:eastAsia="Times New Roman" w:hAnsi="Arial Narrow" w:cstheme="minorBidi"/>
          <w:lang w:val="en-GB" w:eastAsia="en-ZA"/>
        </w:rPr>
        <w:t xml:space="preserve"> </w:t>
      </w:r>
      <w:r w:rsidR="009775C8" w:rsidRPr="006241F1">
        <w:rPr>
          <w:rFonts w:ascii="Arial Narrow" w:eastAsia="Times New Roman" w:hAnsi="Arial Narrow" w:cstheme="minorBidi"/>
          <w:lang w:val="en-GB" w:eastAsia="en-ZA"/>
        </w:rPr>
        <w:t>investment</w:t>
      </w:r>
      <w:r w:rsidR="001E0A83" w:rsidRPr="006241F1">
        <w:rPr>
          <w:rFonts w:ascii="Arial Narrow" w:eastAsia="Times New Roman" w:hAnsi="Arial Narrow" w:cstheme="minorBidi"/>
          <w:lang w:val="en-GB" w:eastAsia="en-ZA"/>
        </w:rPr>
        <w:t xml:space="preserve"> income</w:t>
      </w:r>
      <w:r w:rsidR="0041624D" w:rsidRPr="006241F1">
        <w:rPr>
          <w:rFonts w:ascii="Arial Narrow" w:eastAsia="Times New Roman" w:hAnsi="Arial Narrow" w:cstheme="minorBidi"/>
          <w:lang w:val="en-GB" w:eastAsia="en-ZA"/>
        </w:rPr>
        <w:t xml:space="preserve"> in money markets.</w:t>
      </w:r>
    </w:p>
    <w:p w14:paraId="0B97EF0B" w14:textId="77777777" w:rsidR="00B02F25" w:rsidRDefault="00B02F25" w:rsidP="00B02F25">
      <w:pPr>
        <w:pStyle w:val="ListParagraph"/>
        <w:ind w:left="426"/>
        <w:jc w:val="both"/>
        <w:rPr>
          <w:rFonts w:ascii="Arial Narrow" w:hAnsi="Arial Narrow"/>
          <w:lang w:val="en-GB"/>
        </w:rPr>
      </w:pPr>
    </w:p>
    <w:p w14:paraId="793599A6" w14:textId="12A08E53" w:rsidR="00473751" w:rsidRDefault="00D35D18" w:rsidP="006E22A6">
      <w:pPr>
        <w:pStyle w:val="ListParagraph"/>
        <w:numPr>
          <w:ilvl w:val="2"/>
          <w:numId w:val="7"/>
        </w:numPr>
        <w:ind w:left="900"/>
        <w:jc w:val="both"/>
        <w:rPr>
          <w:rFonts w:ascii="Arial Narrow" w:hAnsi="Arial Narrow"/>
          <w:b/>
        </w:rPr>
      </w:pPr>
      <w:r>
        <w:rPr>
          <w:rFonts w:ascii="Arial Narrow" w:hAnsi="Arial Narrow"/>
          <w:b/>
        </w:rPr>
        <w:t>The exchange rates</w:t>
      </w:r>
    </w:p>
    <w:p w14:paraId="0E757D62" w14:textId="6EEEA737" w:rsidR="004C34FE" w:rsidRPr="004C34FE" w:rsidRDefault="004C34FE" w:rsidP="004C34FE">
      <w:pPr>
        <w:ind w:left="396"/>
        <w:jc w:val="both"/>
        <w:rPr>
          <w:rFonts w:ascii="Arial Narrow" w:hAnsi="Arial Narrow"/>
          <w:b/>
        </w:rPr>
      </w:pPr>
      <w:r>
        <w:rPr>
          <w:rFonts w:ascii="Arial Narrow" w:hAnsi="Arial Narrow" w:cs="Helvetica"/>
          <w:lang w:val="en-GB"/>
        </w:rPr>
        <w:t>The South African rand has weakened against the US dollar depreciating by 5% over the past year (SARB, 2023). The domestic currency is expected to remain extremely volatile with further weakness</w:t>
      </w:r>
      <w:r w:rsidR="009B6BB0">
        <w:rPr>
          <w:rFonts w:ascii="Arial Narrow" w:hAnsi="Arial Narrow" w:cs="Helvetica"/>
          <w:lang w:val="en-GB"/>
        </w:rPr>
        <w:t>es</w:t>
      </w:r>
      <w:r>
        <w:rPr>
          <w:rFonts w:ascii="Arial Narrow" w:hAnsi="Arial Narrow" w:cs="Helvetica"/>
          <w:lang w:val="en-GB"/>
        </w:rPr>
        <w:t xml:space="preserve"> more likely due to tighter global financial conditions and possibly spillover effects stemming from the heightened geopolitical tensions. </w:t>
      </w:r>
      <w:r w:rsidRPr="003A73F6">
        <w:rPr>
          <w:rFonts w:ascii="Arial Narrow" w:eastAsia="Times New Roman" w:hAnsi="Arial Narrow" w:cstheme="minorBidi"/>
          <w:lang w:val="en-GB" w:eastAsia="en-ZA"/>
        </w:rPr>
        <w:t>A weak domestic currency is likely to add to the high input cost in the pharmaceutical sector</w:t>
      </w:r>
      <w:r w:rsidR="00C548F5">
        <w:rPr>
          <w:rFonts w:ascii="Arial Narrow" w:eastAsia="Times New Roman" w:hAnsi="Arial Narrow" w:cstheme="minorBidi"/>
          <w:lang w:val="en-GB" w:eastAsia="en-ZA"/>
        </w:rPr>
        <w:t>,</w:t>
      </w:r>
      <w:r w:rsidRPr="003A73F6">
        <w:rPr>
          <w:rFonts w:ascii="Arial Narrow" w:eastAsia="Times New Roman" w:hAnsi="Arial Narrow" w:cstheme="minorBidi"/>
          <w:lang w:val="en-GB" w:eastAsia="en-ZA"/>
        </w:rPr>
        <w:t xml:space="preserve"> where most of the active ingredients and new medical technologies are imported.</w:t>
      </w:r>
    </w:p>
    <w:p w14:paraId="2932CD09" w14:textId="502D187D" w:rsidR="004C34FE" w:rsidRDefault="004C34FE" w:rsidP="006E22A6">
      <w:pPr>
        <w:pStyle w:val="ListParagraph"/>
        <w:numPr>
          <w:ilvl w:val="2"/>
          <w:numId w:val="7"/>
        </w:numPr>
        <w:ind w:left="900"/>
        <w:jc w:val="both"/>
        <w:rPr>
          <w:rFonts w:ascii="Arial Narrow" w:hAnsi="Arial Narrow"/>
          <w:b/>
        </w:rPr>
      </w:pPr>
      <w:r>
        <w:rPr>
          <w:rFonts w:ascii="Arial Narrow" w:hAnsi="Arial Narrow"/>
          <w:b/>
        </w:rPr>
        <w:t>Employment statistics</w:t>
      </w:r>
    </w:p>
    <w:p w14:paraId="5FDA185F" w14:textId="77777777" w:rsidR="00D35D18" w:rsidRDefault="00D35D18" w:rsidP="00D35D18">
      <w:pPr>
        <w:pStyle w:val="ListParagraph"/>
        <w:ind w:left="1224"/>
        <w:jc w:val="both"/>
        <w:rPr>
          <w:rFonts w:ascii="Arial Narrow" w:hAnsi="Arial Narrow"/>
          <w:b/>
        </w:rPr>
      </w:pPr>
    </w:p>
    <w:p w14:paraId="71158481" w14:textId="55757D2E" w:rsidR="00735581" w:rsidRPr="00DA158E" w:rsidRDefault="005A0167" w:rsidP="00A32E8B">
      <w:pPr>
        <w:pStyle w:val="ListParagraph"/>
        <w:ind w:left="426"/>
        <w:jc w:val="both"/>
        <w:rPr>
          <w:rFonts w:ascii="Arial Narrow" w:hAnsi="Arial Narrow" w:cs="Helvetica"/>
          <w:lang w:val="en-GB"/>
        </w:rPr>
      </w:pPr>
      <w:r w:rsidRPr="00B062FE">
        <w:rPr>
          <w:rFonts w:ascii="Arial Narrow" w:hAnsi="Arial Narrow" w:cs="Helvetica"/>
          <w:lang w:val="en-GB" w:eastAsia="en-ZA"/>
        </w:rPr>
        <w:t xml:space="preserve">Medical </w:t>
      </w:r>
      <w:r w:rsidR="00F367DB">
        <w:rPr>
          <w:rFonts w:ascii="Arial Narrow" w:hAnsi="Arial Narrow" w:cs="Helvetica"/>
          <w:lang w:val="en-GB" w:eastAsia="en-ZA"/>
        </w:rPr>
        <w:t>schemes'</w:t>
      </w:r>
      <w:r w:rsidRPr="00B062FE">
        <w:rPr>
          <w:rFonts w:ascii="Arial Narrow" w:hAnsi="Arial Narrow" w:cs="Helvetica"/>
          <w:lang w:val="en-GB" w:eastAsia="en-ZA"/>
        </w:rPr>
        <w:t xml:space="preserve"> membership growth rate is highly correlated with </w:t>
      </w:r>
      <w:r w:rsidR="00B62963">
        <w:rPr>
          <w:rFonts w:ascii="Arial Narrow" w:hAnsi="Arial Narrow" w:cs="Helvetica"/>
          <w:lang w:val="en-GB" w:eastAsia="en-ZA"/>
        </w:rPr>
        <w:t xml:space="preserve">the </w:t>
      </w:r>
      <w:r w:rsidRPr="00B062FE">
        <w:rPr>
          <w:rFonts w:ascii="Arial Narrow" w:hAnsi="Arial Narrow" w:cs="Helvetica"/>
          <w:lang w:val="en-GB" w:eastAsia="en-ZA"/>
        </w:rPr>
        <w:t xml:space="preserve">unemployment </w:t>
      </w:r>
      <w:r w:rsidR="000F7E87" w:rsidRPr="00B062FE">
        <w:rPr>
          <w:rFonts w:ascii="Arial Narrow" w:hAnsi="Arial Narrow" w:cs="Helvetica"/>
          <w:lang w:val="en-GB" w:eastAsia="en-ZA"/>
        </w:rPr>
        <w:t>rate.</w:t>
      </w:r>
      <w:r w:rsidR="00B21339" w:rsidRPr="00B062FE">
        <w:rPr>
          <w:rFonts w:ascii="Arial Narrow" w:hAnsi="Arial Narrow" w:cs="Helvetica"/>
          <w:lang w:val="en-GB" w:eastAsia="en-ZA"/>
        </w:rPr>
        <w:t xml:space="preserve"> </w:t>
      </w:r>
      <w:r w:rsidR="00A32E8B" w:rsidRPr="00B062FE">
        <w:rPr>
          <w:rFonts w:ascii="Arial Narrow" w:hAnsi="Arial Narrow" w:cs="Helvetica"/>
          <w:lang w:val="en-GB" w:eastAsia="en-ZA"/>
        </w:rPr>
        <w:t xml:space="preserve">According </w:t>
      </w:r>
      <w:r w:rsidR="00B26992" w:rsidRPr="00B062FE">
        <w:rPr>
          <w:rFonts w:ascii="Arial Narrow" w:hAnsi="Arial Narrow" w:cs="Helvetica"/>
          <w:lang w:val="en-GB" w:eastAsia="en-ZA"/>
        </w:rPr>
        <w:t>to Statis</w:t>
      </w:r>
      <w:r w:rsidR="00A7549E" w:rsidRPr="00B062FE">
        <w:rPr>
          <w:rFonts w:ascii="Arial Narrow" w:hAnsi="Arial Narrow" w:cs="Helvetica"/>
          <w:lang w:val="en-GB" w:eastAsia="en-ZA"/>
        </w:rPr>
        <w:t>tics South Africa</w:t>
      </w:r>
      <w:r w:rsidR="00B45936" w:rsidRPr="00B062FE">
        <w:rPr>
          <w:rFonts w:ascii="Arial Narrow" w:hAnsi="Arial Narrow" w:cs="Helvetica"/>
          <w:lang w:val="en-GB" w:eastAsia="en-ZA"/>
        </w:rPr>
        <w:t>’s</w:t>
      </w:r>
      <w:r w:rsidR="00A32E8B" w:rsidRPr="00B062FE">
        <w:rPr>
          <w:rFonts w:ascii="Arial Narrow" w:hAnsi="Arial Narrow" w:cs="Helvetica"/>
          <w:lang w:val="en-GB"/>
        </w:rPr>
        <w:t xml:space="preserve"> Quarterly Labour Force Survey</w:t>
      </w:r>
      <w:r w:rsidR="00A7549E" w:rsidRPr="00B062FE">
        <w:rPr>
          <w:rFonts w:ascii="Arial Narrow" w:hAnsi="Arial Narrow" w:cs="Helvetica"/>
          <w:lang w:val="en-GB" w:eastAsia="en-ZA"/>
        </w:rPr>
        <w:t>,</w:t>
      </w:r>
      <w:r w:rsidR="000F7E87" w:rsidRPr="00B062FE">
        <w:rPr>
          <w:rFonts w:ascii="Arial Narrow" w:hAnsi="Arial Narrow" w:cs="Helvetica"/>
          <w:lang w:val="en-GB" w:eastAsia="en-ZA"/>
        </w:rPr>
        <w:t xml:space="preserve"> </w:t>
      </w:r>
      <w:r w:rsidR="00F367DB">
        <w:rPr>
          <w:rFonts w:ascii="Arial Narrow" w:hAnsi="Arial Narrow" w:cs="Helvetica"/>
          <w:lang w:val="en-GB" w:eastAsia="en-ZA"/>
        </w:rPr>
        <w:t xml:space="preserve">the </w:t>
      </w:r>
      <w:r w:rsidRPr="00B062FE">
        <w:rPr>
          <w:rFonts w:ascii="Arial Narrow" w:hAnsi="Arial Narrow" w:cs="Helvetica"/>
          <w:lang w:val="en-GB" w:eastAsia="en-ZA"/>
        </w:rPr>
        <w:t xml:space="preserve">unemployment rate in the first quarter of 2023 edged up to 32.9%, a tad higher than </w:t>
      </w:r>
      <w:r w:rsidR="00606D53">
        <w:rPr>
          <w:rFonts w:ascii="Arial Narrow" w:hAnsi="Arial Narrow" w:cs="Helvetica"/>
          <w:lang w:val="en-GB" w:eastAsia="en-ZA"/>
        </w:rPr>
        <w:t xml:space="preserve">the </w:t>
      </w:r>
      <w:r w:rsidRPr="00B062FE">
        <w:rPr>
          <w:rFonts w:ascii="Arial Narrow" w:hAnsi="Arial Narrow" w:cs="Helvetica"/>
          <w:lang w:val="en-GB" w:eastAsia="en-ZA"/>
        </w:rPr>
        <w:t xml:space="preserve">32.7% recorded in the fourth quarter of 2022 </w:t>
      </w:r>
      <w:r w:rsidRPr="00B062FE">
        <w:rPr>
          <w:rFonts w:ascii="Arial Narrow" w:hAnsi="Arial Narrow" w:cs="Helvetica"/>
          <w:lang w:val="en-GB"/>
        </w:rPr>
        <w:t>(Stats SA, 2023).</w:t>
      </w:r>
      <w:r w:rsidR="00A32E8B" w:rsidRPr="00B062FE">
        <w:rPr>
          <w:rFonts w:ascii="Arial Narrow" w:hAnsi="Arial Narrow" w:cs="Helvetica"/>
          <w:lang w:val="en-GB"/>
        </w:rPr>
        <w:t xml:space="preserve"> </w:t>
      </w:r>
      <w:r w:rsidR="008163E9" w:rsidRPr="00B062FE">
        <w:rPr>
          <w:rFonts w:ascii="Arial Narrow" w:hAnsi="Arial Narrow" w:cs="Helvetica"/>
          <w:lang w:val="en-GB"/>
        </w:rPr>
        <w:t xml:space="preserve">With </w:t>
      </w:r>
      <w:r w:rsidR="00B62963">
        <w:rPr>
          <w:rFonts w:ascii="Arial Narrow" w:hAnsi="Arial Narrow" w:cs="Helvetica"/>
          <w:lang w:val="en-GB"/>
        </w:rPr>
        <w:t>a</w:t>
      </w:r>
      <w:r w:rsidR="008163E9" w:rsidRPr="00B062FE">
        <w:rPr>
          <w:rFonts w:ascii="Arial Narrow" w:hAnsi="Arial Narrow" w:cs="Helvetica"/>
          <w:lang w:val="en-GB"/>
        </w:rPr>
        <w:t xml:space="preserve"> lacklustre GDP forecast for </w:t>
      </w:r>
      <w:r w:rsidR="007546C2" w:rsidRPr="00B062FE">
        <w:rPr>
          <w:rFonts w:ascii="Arial Narrow" w:hAnsi="Arial Narrow" w:cs="Helvetica"/>
          <w:lang w:val="en-GB"/>
        </w:rPr>
        <w:t xml:space="preserve">2024 unlikely to make any serious dent </w:t>
      </w:r>
      <w:r w:rsidR="00C548F5">
        <w:rPr>
          <w:rFonts w:ascii="Arial Narrow" w:hAnsi="Arial Narrow" w:cs="Helvetica"/>
          <w:lang w:val="en-GB"/>
        </w:rPr>
        <w:t>in</w:t>
      </w:r>
      <w:r w:rsidR="007546C2" w:rsidRPr="00B062FE">
        <w:rPr>
          <w:rFonts w:ascii="Arial Narrow" w:hAnsi="Arial Narrow" w:cs="Helvetica"/>
          <w:lang w:val="en-GB"/>
        </w:rPr>
        <w:t xml:space="preserve"> the high jobless rate</w:t>
      </w:r>
      <w:r w:rsidR="00F06F2F" w:rsidRPr="00B062FE">
        <w:rPr>
          <w:rFonts w:ascii="Arial Narrow" w:hAnsi="Arial Narrow" w:cs="Helvetica"/>
          <w:lang w:val="en-GB"/>
        </w:rPr>
        <w:t>, it</w:t>
      </w:r>
      <w:r w:rsidR="00A45B19">
        <w:rPr>
          <w:rFonts w:ascii="Arial Narrow" w:hAnsi="Arial Narrow" w:cs="Helvetica"/>
          <w:lang w:val="en-GB"/>
        </w:rPr>
        <w:t xml:space="preserve"> is</w:t>
      </w:r>
      <w:r w:rsidR="00F06F2F" w:rsidRPr="00B062FE">
        <w:rPr>
          <w:rFonts w:ascii="Arial Narrow" w:hAnsi="Arial Narrow" w:cs="Helvetica"/>
          <w:lang w:val="en-GB"/>
        </w:rPr>
        <w:t xml:space="preserve"> </w:t>
      </w:r>
      <w:r w:rsidR="00033F0D" w:rsidRPr="00B062FE">
        <w:rPr>
          <w:rFonts w:ascii="Arial Narrow" w:hAnsi="Arial Narrow" w:cs="Helvetica"/>
          <w:lang w:val="en-GB"/>
        </w:rPr>
        <w:t xml:space="preserve">evident that membership </w:t>
      </w:r>
      <w:r w:rsidR="005C2612" w:rsidRPr="00B062FE">
        <w:rPr>
          <w:rFonts w:ascii="Arial Narrow" w:hAnsi="Arial Narrow" w:cs="Helvetica"/>
          <w:lang w:val="en-GB"/>
        </w:rPr>
        <w:t>growth in</w:t>
      </w:r>
      <w:r w:rsidR="00003A85" w:rsidRPr="00B062FE">
        <w:rPr>
          <w:rFonts w:ascii="Arial Narrow" w:hAnsi="Arial Narrow" w:cs="Helvetica"/>
          <w:lang w:val="en-GB"/>
        </w:rPr>
        <w:t xml:space="preserve"> medical schemes </w:t>
      </w:r>
      <w:r w:rsidR="000F188C" w:rsidRPr="00B062FE">
        <w:rPr>
          <w:rFonts w:ascii="Arial Narrow" w:hAnsi="Arial Narrow" w:cs="Helvetica"/>
          <w:lang w:val="en-GB"/>
        </w:rPr>
        <w:t xml:space="preserve">is </w:t>
      </w:r>
      <w:r w:rsidR="00003A85" w:rsidRPr="00B062FE">
        <w:rPr>
          <w:rFonts w:ascii="Arial Narrow" w:hAnsi="Arial Narrow" w:cs="Helvetica"/>
          <w:lang w:val="en-GB"/>
        </w:rPr>
        <w:t>likely to remain</w:t>
      </w:r>
      <w:r w:rsidR="000F188C" w:rsidRPr="00B062FE">
        <w:rPr>
          <w:rFonts w:ascii="Arial Narrow" w:hAnsi="Arial Narrow" w:cs="Helvetica"/>
          <w:lang w:val="en-GB"/>
        </w:rPr>
        <w:t xml:space="preserve"> </w:t>
      </w:r>
      <w:r w:rsidR="00A13461" w:rsidRPr="00B062FE">
        <w:rPr>
          <w:rFonts w:ascii="Arial Narrow" w:hAnsi="Arial Narrow" w:cs="Helvetica"/>
          <w:lang w:val="en-GB"/>
        </w:rPr>
        <w:t>subdued.</w:t>
      </w:r>
      <w:r w:rsidR="00713E40" w:rsidRPr="00B062FE">
        <w:rPr>
          <w:rFonts w:ascii="Arial Narrow" w:hAnsi="Arial Narrow" w:cs="Helvetica"/>
          <w:lang w:val="en-GB"/>
        </w:rPr>
        <w:t xml:space="preserve"> </w:t>
      </w:r>
      <w:r w:rsidR="00FD599C" w:rsidRPr="00B062FE">
        <w:rPr>
          <w:rFonts w:ascii="Arial Narrow" w:hAnsi="Arial Narrow" w:cs="Helvetica"/>
          <w:lang w:val="en-GB"/>
        </w:rPr>
        <w:t xml:space="preserve">As the </w:t>
      </w:r>
      <w:r w:rsidR="000825BA" w:rsidRPr="00B062FE">
        <w:rPr>
          <w:rFonts w:ascii="Arial Narrow" w:hAnsi="Arial Narrow" w:cs="Helvetica"/>
          <w:lang w:val="en-GB"/>
        </w:rPr>
        <w:t xml:space="preserve">average </w:t>
      </w:r>
      <w:r w:rsidR="00212133" w:rsidRPr="00B062FE">
        <w:rPr>
          <w:rFonts w:ascii="Arial Narrow" w:hAnsi="Arial Narrow" w:cs="Helvetica"/>
          <w:lang w:val="en-GB"/>
        </w:rPr>
        <w:t xml:space="preserve">age of the current risk pool </w:t>
      </w:r>
      <w:r w:rsidR="00B62963">
        <w:rPr>
          <w:rFonts w:ascii="Arial Narrow" w:hAnsi="Arial Narrow" w:cs="Helvetica"/>
          <w:lang w:val="en-GB"/>
        </w:rPr>
        <w:t>continues</w:t>
      </w:r>
      <w:r w:rsidR="00212133" w:rsidRPr="00B062FE">
        <w:rPr>
          <w:rFonts w:ascii="Arial Narrow" w:hAnsi="Arial Narrow" w:cs="Helvetica"/>
          <w:lang w:val="en-GB"/>
        </w:rPr>
        <w:t xml:space="preserve"> to </w:t>
      </w:r>
      <w:r w:rsidR="00DC3A96" w:rsidRPr="00B062FE">
        <w:rPr>
          <w:rFonts w:ascii="Arial Narrow" w:hAnsi="Arial Narrow" w:cs="Helvetica"/>
          <w:lang w:val="en-GB"/>
        </w:rPr>
        <w:t>increase</w:t>
      </w:r>
      <w:r w:rsidR="00B62963">
        <w:rPr>
          <w:rFonts w:ascii="Arial Narrow" w:hAnsi="Arial Narrow" w:cs="Helvetica"/>
          <w:lang w:val="en-GB"/>
        </w:rPr>
        <w:t>,</w:t>
      </w:r>
      <w:r w:rsidR="00DC3A96" w:rsidRPr="00B062FE">
        <w:rPr>
          <w:rFonts w:ascii="Arial Narrow" w:hAnsi="Arial Narrow" w:cs="Helvetica"/>
          <w:lang w:val="en-GB"/>
        </w:rPr>
        <w:t xml:space="preserve"> coupled</w:t>
      </w:r>
      <w:r w:rsidR="00A01256" w:rsidRPr="00B062FE">
        <w:rPr>
          <w:rFonts w:ascii="Arial Narrow" w:hAnsi="Arial Narrow" w:cs="Helvetica"/>
          <w:lang w:val="en-GB"/>
        </w:rPr>
        <w:t xml:space="preserve"> with </w:t>
      </w:r>
      <w:r w:rsidR="00C61D12" w:rsidRPr="00B062FE">
        <w:rPr>
          <w:rFonts w:ascii="Arial Narrow" w:hAnsi="Arial Narrow" w:cs="Helvetica"/>
          <w:lang w:val="en-GB"/>
        </w:rPr>
        <w:t xml:space="preserve">little or no prospects of </w:t>
      </w:r>
      <w:r w:rsidR="007E6CA5" w:rsidRPr="00B062FE">
        <w:rPr>
          <w:rFonts w:ascii="Arial Narrow" w:hAnsi="Arial Narrow" w:cs="Helvetica"/>
          <w:lang w:val="en-GB"/>
        </w:rPr>
        <w:t>new</w:t>
      </w:r>
      <w:r w:rsidR="00735581" w:rsidRPr="00B062FE">
        <w:rPr>
          <w:rFonts w:ascii="Arial Narrow" w:hAnsi="Arial Narrow" w:cs="Helvetica"/>
          <w:lang w:val="en-GB"/>
        </w:rPr>
        <w:t xml:space="preserve"> </w:t>
      </w:r>
      <w:r w:rsidR="00C61D12" w:rsidRPr="00B062FE">
        <w:rPr>
          <w:rFonts w:ascii="Arial Narrow" w:hAnsi="Arial Narrow" w:cs="Helvetica"/>
          <w:lang w:val="en-GB"/>
        </w:rPr>
        <w:t xml:space="preserve">members joining </w:t>
      </w:r>
      <w:r w:rsidR="007E6CA5" w:rsidRPr="00B062FE">
        <w:rPr>
          <w:rFonts w:ascii="Arial Narrow" w:hAnsi="Arial Narrow" w:cs="Helvetica"/>
          <w:lang w:val="en-GB"/>
        </w:rPr>
        <w:t>the</w:t>
      </w:r>
      <w:r w:rsidR="00735581" w:rsidRPr="00B062FE">
        <w:rPr>
          <w:rFonts w:ascii="Arial Narrow" w:hAnsi="Arial Narrow" w:cs="Helvetica"/>
          <w:lang w:val="en-GB"/>
        </w:rPr>
        <w:t xml:space="preserve"> </w:t>
      </w:r>
      <w:r w:rsidR="00B103B9" w:rsidRPr="00B062FE">
        <w:rPr>
          <w:rFonts w:ascii="Arial Narrow" w:hAnsi="Arial Narrow" w:cs="Helvetica"/>
          <w:lang w:val="en-GB"/>
        </w:rPr>
        <w:t>schemes,</w:t>
      </w:r>
      <w:r w:rsidR="00735581" w:rsidRPr="00B062FE">
        <w:rPr>
          <w:rFonts w:ascii="Arial Narrow" w:hAnsi="Arial Narrow" w:cs="Helvetica"/>
          <w:lang w:val="en-GB"/>
        </w:rPr>
        <w:t xml:space="preserve"> </w:t>
      </w:r>
      <w:r w:rsidR="00735581" w:rsidRPr="003E657E">
        <w:rPr>
          <w:rFonts w:ascii="Arial Narrow" w:hAnsi="Arial Narrow" w:cs="Helvetica"/>
          <w:lang w:val="en-GB"/>
        </w:rPr>
        <w:t xml:space="preserve">the </w:t>
      </w:r>
      <w:r w:rsidR="003E657E" w:rsidRPr="003E657E">
        <w:rPr>
          <w:rFonts w:ascii="Arial Narrow" w:hAnsi="Arial Narrow" w:cs="Helvetica"/>
          <w:lang w:val="en-GB"/>
        </w:rPr>
        <w:t xml:space="preserve">long-term </w:t>
      </w:r>
      <w:r w:rsidR="00735581" w:rsidRPr="003E657E">
        <w:rPr>
          <w:rFonts w:ascii="Arial Narrow" w:hAnsi="Arial Narrow" w:cs="Helvetica"/>
          <w:lang w:val="en-GB"/>
        </w:rPr>
        <w:t xml:space="preserve">sustainability of the industry </w:t>
      </w:r>
      <w:r w:rsidR="00B62963">
        <w:rPr>
          <w:rFonts w:ascii="Arial Narrow" w:hAnsi="Arial Narrow" w:cs="Helvetica"/>
          <w:lang w:val="en-GB"/>
        </w:rPr>
        <w:t>remains</w:t>
      </w:r>
      <w:r w:rsidR="00735581" w:rsidRPr="003E657E">
        <w:rPr>
          <w:rFonts w:ascii="Arial Narrow" w:hAnsi="Arial Narrow" w:cs="Helvetica"/>
          <w:lang w:val="en-GB"/>
        </w:rPr>
        <w:t xml:space="preserve"> a concern.</w:t>
      </w:r>
    </w:p>
    <w:p w14:paraId="6A912540" w14:textId="77777777" w:rsidR="00735581" w:rsidRDefault="00735581" w:rsidP="00A32E8B">
      <w:pPr>
        <w:pStyle w:val="ListParagraph"/>
        <w:ind w:left="426"/>
        <w:jc w:val="both"/>
        <w:rPr>
          <w:rFonts w:ascii="Arial Narrow" w:hAnsi="Arial Narrow" w:cs="Helvetica"/>
          <w:lang w:val="en-GB"/>
        </w:rPr>
      </w:pPr>
    </w:p>
    <w:p w14:paraId="40804956" w14:textId="58D2DFC1" w:rsidR="00EB2D30" w:rsidRPr="004A3D23" w:rsidRDefault="00500195" w:rsidP="00EB2D30">
      <w:pPr>
        <w:pStyle w:val="ListParagraph"/>
        <w:numPr>
          <w:ilvl w:val="0"/>
          <w:numId w:val="7"/>
        </w:numPr>
        <w:jc w:val="both"/>
        <w:rPr>
          <w:rFonts w:ascii="Arial Narrow" w:hAnsi="Arial Narrow"/>
          <w:b/>
          <w:lang w:val="en-GB"/>
        </w:rPr>
      </w:pPr>
      <w:r w:rsidRPr="004A3D23">
        <w:rPr>
          <w:rFonts w:ascii="Arial Narrow" w:eastAsia="Times New Roman" w:hAnsi="Arial Narrow"/>
          <w:b/>
          <w:lang w:val="en-GB" w:eastAsia="en-ZA"/>
        </w:rPr>
        <w:t>GUIDANCE NOTES ON ANNUAL MEDICAL SCHEMES COST INCREASE ASSUMPTIONS</w:t>
      </w:r>
    </w:p>
    <w:p w14:paraId="70909D61" w14:textId="77777777" w:rsidR="0048205D" w:rsidRDefault="0048205D" w:rsidP="0042716B">
      <w:pPr>
        <w:pStyle w:val="ListParagraph"/>
        <w:ind w:left="360"/>
        <w:jc w:val="both"/>
        <w:rPr>
          <w:rFonts w:ascii="Arial Narrow" w:eastAsia="Times New Roman" w:hAnsi="Arial Narrow"/>
          <w:lang w:val="en-GB" w:eastAsia="en-ZA"/>
        </w:rPr>
      </w:pPr>
    </w:p>
    <w:p w14:paraId="67B3763E" w14:textId="3F2E36F1" w:rsidR="00EB2D30" w:rsidRDefault="00EB2D30" w:rsidP="0042716B">
      <w:pPr>
        <w:pStyle w:val="ListParagraph"/>
        <w:ind w:left="360"/>
        <w:jc w:val="both"/>
        <w:rPr>
          <w:rFonts w:ascii="Arial Narrow" w:eastAsia="Times New Roman" w:hAnsi="Arial Narrow"/>
          <w:lang w:val="en-GB" w:eastAsia="en-ZA"/>
        </w:rPr>
      </w:pPr>
      <w:r w:rsidRPr="00086A30">
        <w:rPr>
          <w:rFonts w:ascii="Arial Narrow" w:eastAsia="Times New Roman" w:hAnsi="Arial Narrow"/>
          <w:lang w:val="en-GB" w:eastAsia="en-ZA"/>
        </w:rPr>
        <w:t xml:space="preserve">Outlined below </w:t>
      </w:r>
      <w:r w:rsidR="00BD28A5" w:rsidRPr="00086A30">
        <w:rPr>
          <w:rFonts w:ascii="Arial Narrow" w:eastAsia="Times New Roman" w:hAnsi="Arial Narrow"/>
          <w:lang w:val="en-GB" w:eastAsia="en-ZA"/>
        </w:rPr>
        <w:t xml:space="preserve">are </w:t>
      </w:r>
      <w:r w:rsidR="00BD28A5">
        <w:rPr>
          <w:rFonts w:ascii="Arial Narrow" w:eastAsia="Times New Roman" w:hAnsi="Arial Narrow"/>
          <w:lang w:val="en-GB" w:eastAsia="en-ZA"/>
        </w:rPr>
        <w:t>key</w:t>
      </w:r>
      <w:r w:rsidR="003D4C10">
        <w:rPr>
          <w:rFonts w:ascii="Arial Narrow" w:eastAsia="Times New Roman" w:hAnsi="Arial Narrow"/>
          <w:lang w:val="en-GB" w:eastAsia="en-ZA"/>
        </w:rPr>
        <w:t xml:space="preserve"> </w:t>
      </w:r>
      <w:r w:rsidRPr="00360ACA">
        <w:rPr>
          <w:rFonts w:ascii="Arial Narrow" w:eastAsia="Times New Roman" w:hAnsi="Arial Narrow"/>
          <w:lang w:val="en-GB" w:eastAsia="en-ZA"/>
        </w:rPr>
        <w:t>industry</w:t>
      </w:r>
      <w:r>
        <w:rPr>
          <w:rFonts w:ascii="Arial Narrow" w:eastAsia="Times New Roman" w:hAnsi="Arial Narrow"/>
          <w:lang w:val="en-GB" w:eastAsia="en-ZA"/>
        </w:rPr>
        <w:t>-</w:t>
      </w:r>
      <w:r w:rsidRPr="00360ACA">
        <w:rPr>
          <w:rFonts w:ascii="Arial Narrow" w:eastAsia="Times New Roman" w:hAnsi="Arial Narrow"/>
          <w:lang w:val="en-GB" w:eastAsia="en-ZA"/>
        </w:rPr>
        <w:t xml:space="preserve">specific considerations that the CMS will consider when assessing the appropriateness of benefit changes, contribution rate increases, and overall cost increase assumptions for </w:t>
      </w:r>
      <w:r w:rsidR="00B62963">
        <w:rPr>
          <w:rFonts w:ascii="Arial Narrow" w:eastAsia="Times New Roman" w:hAnsi="Arial Narrow"/>
          <w:lang w:val="en-GB" w:eastAsia="en-ZA"/>
        </w:rPr>
        <w:t xml:space="preserve">the </w:t>
      </w:r>
      <w:r w:rsidRPr="00360ACA">
        <w:rPr>
          <w:rFonts w:ascii="Arial Narrow" w:eastAsia="Times New Roman" w:hAnsi="Arial Narrow"/>
          <w:lang w:val="en-GB" w:eastAsia="en-ZA"/>
        </w:rPr>
        <w:t>202</w:t>
      </w:r>
      <w:r>
        <w:rPr>
          <w:rFonts w:ascii="Arial Narrow" w:eastAsia="Times New Roman" w:hAnsi="Arial Narrow"/>
          <w:lang w:val="en-GB" w:eastAsia="en-ZA"/>
        </w:rPr>
        <w:t xml:space="preserve">4 </w:t>
      </w:r>
      <w:r w:rsidRPr="00086A30">
        <w:rPr>
          <w:rFonts w:ascii="Arial Narrow" w:eastAsia="Times New Roman" w:hAnsi="Arial Narrow"/>
          <w:lang w:val="en-GB" w:eastAsia="en-ZA"/>
        </w:rPr>
        <w:t>benefit year:</w:t>
      </w:r>
    </w:p>
    <w:p w14:paraId="5FB08083" w14:textId="77777777" w:rsidR="0037008F" w:rsidRDefault="0037008F" w:rsidP="0042716B">
      <w:pPr>
        <w:pStyle w:val="ListParagraph"/>
        <w:ind w:left="360"/>
        <w:jc w:val="both"/>
        <w:rPr>
          <w:rFonts w:ascii="Arial Narrow" w:hAnsi="Arial Narrow"/>
          <w:b/>
          <w:lang w:val="en-GB"/>
        </w:rPr>
      </w:pPr>
    </w:p>
    <w:p w14:paraId="6ACC0A4D" w14:textId="77777777" w:rsidR="00EB2D30" w:rsidRPr="00086A30" w:rsidRDefault="00EB2D30" w:rsidP="00834C4B">
      <w:pPr>
        <w:pStyle w:val="ListParagraph"/>
        <w:numPr>
          <w:ilvl w:val="1"/>
          <w:numId w:val="7"/>
        </w:numPr>
        <w:jc w:val="both"/>
        <w:rPr>
          <w:rFonts w:ascii="Arial Narrow" w:hAnsi="Arial Narrow"/>
          <w:b/>
          <w:lang w:val="en-GB"/>
        </w:rPr>
      </w:pPr>
      <w:r w:rsidRPr="00086A30">
        <w:rPr>
          <w:rFonts w:ascii="Arial Narrow" w:eastAsia="Times New Roman" w:hAnsi="Arial Narrow" w:cstheme="minorBidi"/>
          <w:b/>
          <w:lang w:val="en-GB" w:eastAsia="en-ZA"/>
        </w:rPr>
        <w:lastRenderedPageBreak/>
        <w:t>Headline inflationary expectations</w:t>
      </w:r>
    </w:p>
    <w:p w14:paraId="3EAF540B" w14:textId="441ED344" w:rsidR="004A05CC" w:rsidRDefault="00EB2D30" w:rsidP="004A05CC">
      <w:pPr>
        <w:tabs>
          <w:tab w:val="right" w:pos="9720"/>
        </w:tabs>
        <w:spacing w:after="0"/>
        <w:ind w:left="426" w:right="27"/>
        <w:contextualSpacing/>
        <w:jc w:val="both"/>
        <w:rPr>
          <w:rFonts w:ascii="Arial Narrow" w:eastAsia="Times New Roman" w:hAnsi="Arial Narrow" w:cstheme="minorBidi"/>
          <w:lang w:val="en-GB" w:eastAsia="en-ZA"/>
        </w:rPr>
      </w:pPr>
      <w:r w:rsidRPr="0D803B9D">
        <w:rPr>
          <w:rFonts w:ascii="Arial Narrow" w:eastAsia="Times New Roman" w:hAnsi="Arial Narrow"/>
          <w:lang w:val="en-GB" w:eastAsia="en-ZA"/>
        </w:rPr>
        <w:t>The CMS uses the consumer price index (CPI) to estimate price increases in the healthcare sector. Furthermore, the CMS uses CPI, as a proxy measure for the affordability of</w:t>
      </w:r>
      <w:r w:rsidR="00D80482" w:rsidRPr="0D803B9D">
        <w:rPr>
          <w:rFonts w:ascii="Arial Narrow" w:eastAsia="Times New Roman" w:hAnsi="Arial Narrow"/>
          <w:lang w:val="en-GB" w:eastAsia="en-ZA"/>
        </w:rPr>
        <w:t xml:space="preserve"> annual</w:t>
      </w:r>
      <w:r w:rsidRPr="0D803B9D">
        <w:rPr>
          <w:rFonts w:ascii="Arial Narrow" w:eastAsia="Times New Roman" w:hAnsi="Arial Narrow"/>
          <w:lang w:val="en-GB" w:eastAsia="en-ZA"/>
        </w:rPr>
        <w:t xml:space="preserve"> contribution increases. </w:t>
      </w:r>
      <w:r w:rsidR="23174660" w:rsidRPr="0D803B9D">
        <w:rPr>
          <w:rFonts w:ascii="Arial Narrow" w:eastAsia="Times New Roman" w:hAnsi="Arial Narrow"/>
          <w:lang w:val="en-GB" w:eastAsia="en-ZA"/>
        </w:rPr>
        <w:t>Figure 1</w:t>
      </w:r>
      <w:r w:rsidR="00426B92">
        <w:rPr>
          <w:rFonts w:ascii="Arial Narrow" w:eastAsia="Times New Roman" w:hAnsi="Arial Narrow"/>
          <w:lang w:val="en-GB" w:eastAsia="en-ZA"/>
        </w:rPr>
        <w:t xml:space="preserve"> </w:t>
      </w:r>
      <w:r w:rsidR="009761BB">
        <w:rPr>
          <w:rFonts w:ascii="Arial Narrow" w:eastAsia="Times New Roman" w:hAnsi="Arial Narrow"/>
          <w:lang w:val="en-GB" w:eastAsia="en-ZA"/>
        </w:rPr>
        <w:t>depicts</w:t>
      </w:r>
      <w:r w:rsidRPr="0D803B9D">
        <w:rPr>
          <w:rFonts w:ascii="Arial Narrow" w:eastAsia="Times New Roman" w:hAnsi="Arial Narrow"/>
          <w:lang w:val="en-GB" w:eastAsia="en-ZA"/>
        </w:rPr>
        <w:t xml:space="preserve"> historical CPI data</w:t>
      </w:r>
      <w:r w:rsidR="00B62963">
        <w:rPr>
          <w:rFonts w:ascii="Arial Narrow" w:eastAsia="Times New Roman" w:hAnsi="Arial Narrow"/>
          <w:lang w:val="en-GB" w:eastAsia="en-ZA"/>
        </w:rPr>
        <w:t>,</w:t>
      </w:r>
      <w:r w:rsidRPr="0D803B9D">
        <w:rPr>
          <w:rFonts w:ascii="Arial Narrow" w:eastAsia="Times New Roman" w:hAnsi="Arial Narrow"/>
          <w:lang w:val="en-GB" w:eastAsia="en-ZA"/>
        </w:rPr>
        <w:t xml:space="preserve"> as published by Statistics South Africa</w:t>
      </w:r>
      <w:r w:rsidRPr="0D803B9D" w:rsidDel="00EB2D30">
        <w:rPr>
          <w:rFonts w:ascii="Arial Narrow" w:eastAsia="Times New Roman" w:hAnsi="Arial Narrow"/>
          <w:lang w:val="en-GB" w:eastAsia="en-ZA"/>
        </w:rPr>
        <w:t>,</w:t>
      </w:r>
      <w:r w:rsidRPr="0D803B9D">
        <w:rPr>
          <w:rFonts w:ascii="Arial Narrow" w:eastAsia="Times New Roman" w:hAnsi="Arial Narrow"/>
          <w:lang w:val="en-GB" w:eastAsia="en-ZA"/>
        </w:rPr>
        <w:t xml:space="preserve"> </w:t>
      </w:r>
      <w:r w:rsidRPr="0D803B9D">
        <w:rPr>
          <w:rFonts w:ascii="Arial Narrow" w:hAnsi="Arial Narrow"/>
          <w:lang w:val="en-GB" w:eastAsia="en-ZA"/>
        </w:rPr>
        <w:t>for the twelve months up to June 202</w:t>
      </w:r>
      <w:r w:rsidR="00BF638D" w:rsidRPr="0D803B9D">
        <w:rPr>
          <w:rFonts w:ascii="Arial Narrow" w:hAnsi="Arial Narrow"/>
          <w:lang w:val="en-GB" w:eastAsia="en-ZA"/>
        </w:rPr>
        <w:t>3</w:t>
      </w:r>
      <w:r w:rsidR="2430194F" w:rsidRPr="0D803B9D">
        <w:rPr>
          <w:rFonts w:ascii="Arial Narrow" w:hAnsi="Arial Narrow"/>
          <w:lang w:val="en-GB" w:eastAsia="en-ZA"/>
        </w:rPr>
        <w:t xml:space="preserve">. </w:t>
      </w:r>
      <w:r w:rsidR="0010416B" w:rsidRPr="0010416B">
        <w:rPr>
          <w:rFonts w:ascii="Arial Narrow" w:hAnsi="Arial Narrow"/>
          <w:lang w:val="en-GB" w:eastAsia="en-ZA"/>
        </w:rPr>
        <w:t xml:space="preserve">In addition, the </w:t>
      </w:r>
      <w:r w:rsidR="2430194F" w:rsidRPr="0D803B9D">
        <w:rPr>
          <w:rFonts w:ascii="Arial Narrow" w:hAnsi="Arial Narrow"/>
          <w:lang w:val="en-GB" w:eastAsia="en-ZA"/>
        </w:rPr>
        <w:t xml:space="preserve">graph </w:t>
      </w:r>
      <w:r w:rsidR="0010416B" w:rsidRPr="0010416B">
        <w:rPr>
          <w:rFonts w:ascii="Arial Narrow" w:hAnsi="Arial Narrow"/>
          <w:lang w:val="en-GB" w:eastAsia="en-ZA"/>
        </w:rPr>
        <w:t>depicts</w:t>
      </w:r>
      <w:r w:rsidRPr="0D803B9D">
        <w:rPr>
          <w:rFonts w:ascii="Arial Narrow" w:hAnsi="Arial Narrow"/>
          <w:lang w:val="en-GB" w:eastAsia="en-ZA"/>
        </w:rPr>
        <w:t xml:space="preserve"> the inflation </w:t>
      </w:r>
      <w:r w:rsidR="0010416B" w:rsidRPr="0010416B">
        <w:rPr>
          <w:rFonts w:ascii="Arial Narrow" w:hAnsi="Arial Narrow"/>
          <w:lang w:val="en-GB" w:eastAsia="en-ZA"/>
        </w:rPr>
        <w:t>target</w:t>
      </w:r>
      <w:r w:rsidRPr="0D803B9D">
        <w:rPr>
          <w:rFonts w:ascii="Arial Narrow" w:hAnsi="Arial Narrow"/>
          <w:lang w:val="en-GB" w:eastAsia="en-ZA"/>
        </w:rPr>
        <w:t xml:space="preserve"> </w:t>
      </w:r>
      <w:r w:rsidR="00426B92" w:rsidRPr="0D803B9D">
        <w:rPr>
          <w:rFonts w:ascii="Arial Narrow" w:hAnsi="Arial Narrow"/>
          <w:lang w:val="en-GB" w:eastAsia="en-ZA"/>
        </w:rPr>
        <w:t>range</w:t>
      </w:r>
      <w:r w:rsidRPr="00A8638A">
        <w:rPr>
          <w:rFonts w:ascii="Arial Narrow" w:hAnsi="Arial Narrow"/>
          <w:lang w:val="en-GB" w:eastAsia="en-ZA"/>
        </w:rPr>
        <w:t xml:space="preserve"> of </w:t>
      </w:r>
      <w:r w:rsidRPr="0D803B9D">
        <w:rPr>
          <w:rFonts w:ascii="Arial Narrow" w:hAnsi="Arial Narrow"/>
          <w:lang w:val="en-GB" w:eastAsia="en-ZA"/>
        </w:rPr>
        <w:t>the South African Reserve Bank (SARB) and the CPI forecast for 202</w:t>
      </w:r>
      <w:r w:rsidR="00DA0C8C" w:rsidRPr="0D803B9D">
        <w:rPr>
          <w:rFonts w:ascii="Arial Narrow" w:hAnsi="Arial Narrow"/>
          <w:lang w:val="en-GB" w:eastAsia="en-ZA"/>
        </w:rPr>
        <w:t>4</w:t>
      </w:r>
      <w:r w:rsidRPr="0D803B9D">
        <w:rPr>
          <w:rFonts w:ascii="Arial Narrow" w:hAnsi="Arial Narrow"/>
          <w:lang w:val="en-GB" w:eastAsia="en-ZA"/>
        </w:rPr>
        <w:t>.</w:t>
      </w:r>
      <w:r w:rsidRPr="0010416B">
        <w:rPr>
          <w:rFonts w:ascii="Arial Narrow" w:hAnsi="Arial Narrow"/>
          <w:lang w:val="en-GB" w:eastAsia="en-ZA"/>
        </w:rPr>
        <w:t xml:space="preserve"> </w:t>
      </w:r>
      <w:r w:rsidR="004A05CC">
        <w:rPr>
          <w:rFonts w:ascii="Arial Narrow" w:eastAsia="Times New Roman" w:hAnsi="Arial Narrow" w:cstheme="minorBidi"/>
          <w:lang w:val="en-GB" w:eastAsia="en-ZA"/>
        </w:rPr>
        <w:t>The year-on-year headline consumer inflation rate</w:t>
      </w:r>
      <w:r w:rsidR="00C548F5">
        <w:rPr>
          <w:rFonts w:ascii="Arial Narrow" w:eastAsia="Times New Roman" w:hAnsi="Arial Narrow" w:cstheme="minorBidi"/>
          <w:lang w:val="en-GB" w:eastAsia="en-ZA"/>
        </w:rPr>
        <w:t>,</w:t>
      </w:r>
      <w:r w:rsidR="004A05CC">
        <w:rPr>
          <w:rFonts w:ascii="Arial Narrow" w:eastAsia="Times New Roman" w:hAnsi="Arial Narrow" w:cstheme="minorBidi"/>
          <w:lang w:val="en-GB" w:eastAsia="en-ZA"/>
        </w:rPr>
        <w:t xml:space="preserve"> as measured by </w:t>
      </w:r>
      <w:r w:rsidR="00B62963">
        <w:rPr>
          <w:rFonts w:ascii="Arial Narrow" w:eastAsia="Times New Roman" w:hAnsi="Arial Narrow" w:cstheme="minorBidi"/>
          <w:lang w:val="en-GB" w:eastAsia="en-ZA"/>
        </w:rPr>
        <w:t xml:space="preserve">the </w:t>
      </w:r>
      <w:r w:rsidR="004A05CC">
        <w:rPr>
          <w:rFonts w:ascii="Arial Narrow" w:eastAsia="Times New Roman" w:hAnsi="Arial Narrow" w:cstheme="minorBidi"/>
          <w:lang w:val="en-GB" w:eastAsia="en-ZA"/>
        </w:rPr>
        <w:t>consumer price index (CPI)</w:t>
      </w:r>
      <w:r w:rsidR="00B62963">
        <w:rPr>
          <w:rFonts w:ascii="Arial Narrow" w:eastAsia="Times New Roman" w:hAnsi="Arial Narrow" w:cstheme="minorBidi"/>
          <w:lang w:val="en-GB" w:eastAsia="en-ZA"/>
        </w:rPr>
        <w:t>,</w:t>
      </w:r>
      <w:r w:rsidR="004A05CC">
        <w:rPr>
          <w:rFonts w:ascii="Arial Narrow" w:eastAsia="Times New Roman" w:hAnsi="Arial Narrow" w:cstheme="minorBidi"/>
          <w:lang w:val="en-GB" w:eastAsia="en-ZA"/>
        </w:rPr>
        <w:t xml:space="preserve"> eased sharply to a 12-month low of 5.4% in June 2023, down from 6.3% in May 2023, moving back to the Reserve </w:t>
      </w:r>
      <w:r w:rsidR="00D01152">
        <w:rPr>
          <w:rFonts w:ascii="Arial Narrow" w:eastAsia="Times New Roman" w:hAnsi="Arial Narrow" w:cstheme="minorBidi"/>
          <w:lang w:val="en-GB" w:eastAsia="en-ZA"/>
        </w:rPr>
        <w:t>B</w:t>
      </w:r>
      <w:r w:rsidR="004A05CC">
        <w:rPr>
          <w:rFonts w:ascii="Arial Narrow" w:eastAsia="Times New Roman" w:hAnsi="Arial Narrow" w:cstheme="minorBidi"/>
          <w:lang w:val="en-GB" w:eastAsia="en-ZA"/>
        </w:rPr>
        <w:t>ank’s monetary policy target range of 3 – 6%. Overall</w:t>
      </w:r>
      <w:r w:rsidR="000C33BD">
        <w:rPr>
          <w:rFonts w:ascii="Arial Narrow" w:eastAsia="Times New Roman" w:hAnsi="Arial Narrow" w:cstheme="minorBidi"/>
          <w:lang w:val="en-GB" w:eastAsia="en-ZA"/>
        </w:rPr>
        <w:t>,</w:t>
      </w:r>
      <w:r w:rsidR="004A05CC">
        <w:rPr>
          <w:rFonts w:ascii="Arial Narrow" w:eastAsia="Times New Roman" w:hAnsi="Arial Narrow" w:cstheme="minorBidi"/>
          <w:lang w:val="en-GB" w:eastAsia="en-ZA"/>
        </w:rPr>
        <w:t xml:space="preserve"> inflation is expected to average 6.0% in 2023 (SARB, 2023). </w:t>
      </w:r>
    </w:p>
    <w:p w14:paraId="6738094E" w14:textId="77777777" w:rsidR="004A05CC" w:rsidRDefault="004A05CC" w:rsidP="004A05CC">
      <w:pPr>
        <w:tabs>
          <w:tab w:val="right" w:pos="9720"/>
        </w:tabs>
        <w:spacing w:after="0"/>
        <w:ind w:left="426" w:right="27"/>
        <w:contextualSpacing/>
        <w:jc w:val="both"/>
        <w:rPr>
          <w:rFonts w:ascii="Arial Narrow" w:eastAsia="Times New Roman" w:hAnsi="Arial Narrow" w:cstheme="minorBidi"/>
          <w:lang w:val="en-GB" w:eastAsia="en-ZA"/>
        </w:rPr>
      </w:pPr>
    </w:p>
    <w:p w14:paraId="6BC9D0F9" w14:textId="77777777" w:rsidR="004A05CC" w:rsidRDefault="004A05CC" w:rsidP="004A05CC">
      <w:pPr>
        <w:tabs>
          <w:tab w:val="right" w:pos="9720"/>
        </w:tabs>
        <w:spacing w:after="0"/>
        <w:ind w:left="426" w:right="27"/>
        <w:contextualSpacing/>
        <w:jc w:val="both"/>
        <w:rPr>
          <w:rFonts w:ascii="Arial Narrow" w:eastAsia="Times New Roman" w:hAnsi="Arial Narrow" w:cstheme="minorBidi"/>
          <w:lang w:val="en-GB" w:eastAsia="en-ZA"/>
        </w:rPr>
      </w:pPr>
      <w:r w:rsidRPr="00086A30">
        <w:rPr>
          <w:rFonts w:ascii="Arial Narrow" w:eastAsia="Times New Roman" w:hAnsi="Arial Narrow" w:cstheme="minorBidi"/>
          <w:lang w:val="en-GB" w:eastAsia="en-ZA"/>
        </w:rPr>
        <w:t>According to the latest inflation forecast of the SARB, as outlined in the July Monetary Policy Statement (MPC), headline inflation is expected to average</w:t>
      </w:r>
      <w:r>
        <w:rPr>
          <w:rFonts w:ascii="Arial Narrow" w:eastAsia="Times New Roman" w:hAnsi="Arial Narrow" w:cstheme="minorBidi"/>
          <w:lang w:val="en-GB" w:eastAsia="en-ZA"/>
        </w:rPr>
        <w:t xml:space="preserve"> </w:t>
      </w:r>
      <w:r w:rsidRPr="00CE3253">
        <w:rPr>
          <w:rFonts w:ascii="Arial Narrow" w:eastAsia="Times New Roman" w:hAnsi="Arial Narrow" w:cstheme="minorBidi"/>
          <w:b/>
          <w:bCs/>
          <w:lang w:val="en-GB" w:eastAsia="en-ZA"/>
        </w:rPr>
        <w:t>5.</w:t>
      </w:r>
      <w:r>
        <w:rPr>
          <w:rFonts w:ascii="Arial Narrow" w:eastAsia="Times New Roman" w:hAnsi="Arial Narrow" w:cstheme="minorBidi"/>
          <w:b/>
          <w:bCs/>
          <w:lang w:val="en-GB" w:eastAsia="en-ZA"/>
        </w:rPr>
        <w:t>0</w:t>
      </w:r>
      <w:r w:rsidRPr="00CE3253">
        <w:rPr>
          <w:rFonts w:ascii="Arial Narrow" w:eastAsia="Times New Roman" w:hAnsi="Arial Narrow" w:cstheme="minorBidi"/>
          <w:b/>
          <w:bCs/>
          <w:lang w:val="en-GB" w:eastAsia="en-ZA"/>
        </w:rPr>
        <w:t>%</w:t>
      </w:r>
      <w:r>
        <w:rPr>
          <w:rFonts w:ascii="Arial Narrow" w:eastAsia="Times New Roman" w:hAnsi="Arial Narrow" w:cstheme="minorBidi"/>
          <w:lang w:val="en-GB" w:eastAsia="en-ZA"/>
        </w:rPr>
        <w:t xml:space="preserve"> in 2024, before moderating further to </w:t>
      </w:r>
      <w:r w:rsidRPr="000D2689">
        <w:rPr>
          <w:rFonts w:ascii="Arial Narrow" w:eastAsia="Times New Roman" w:hAnsi="Arial Narrow" w:cstheme="minorBidi"/>
          <w:b/>
          <w:lang w:val="en-GB" w:eastAsia="en-ZA"/>
        </w:rPr>
        <w:t>4.5%</w:t>
      </w:r>
      <w:r>
        <w:rPr>
          <w:rFonts w:ascii="Arial Narrow" w:eastAsia="Times New Roman" w:hAnsi="Arial Narrow" w:cstheme="minorBidi"/>
          <w:lang w:val="en-GB" w:eastAsia="en-ZA"/>
        </w:rPr>
        <w:t xml:space="preserve"> in 2025.</w:t>
      </w:r>
    </w:p>
    <w:p w14:paraId="09E8F8C2" w14:textId="77777777" w:rsidR="004A05CC" w:rsidRPr="00A8638A" w:rsidRDefault="004A05CC" w:rsidP="00EB2D30">
      <w:pPr>
        <w:pStyle w:val="ListParagraph"/>
        <w:ind w:left="426"/>
        <w:jc w:val="both"/>
        <w:rPr>
          <w:rFonts w:ascii="Arial Narrow" w:eastAsia="Times New Roman" w:hAnsi="Arial Narrow"/>
          <w:lang w:val="en-GB" w:eastAsia="en-ZA"/>
        </w:rPr>
      </w:pPr>
    </w:p>
    <w:p w14:paraId="19BA2120" w14:textId="77777777" w:rsidR="00B81A1C" w:rsidRDefault="00B81A1C" w:rsidP="005B1E9B">
      <w:pPr>
        <w:pStyle w:val="ListParagraph"/>
        <w:spacing w:after="0"/>
        <w:ind w:left="426"/>
        <w:jc w:val="both"/>
        <w:rPr>
          <w:rFonts w:ascii="Arial Narrow" w:eastAsiaTheme="minorEastAsia" w:hAnsi="Arial Narrow" w:cstheme="minorBidi"/>
          <w:b/>
          <w:sz w:val="20"/>
          <w:szCs w:val="20"/>
          <w:lang w:val="en-GB"/>
        </w:rPr>
      </w:pPr>
    </w:p>
    <w:p w14:paraId="72E6957F" w14:textId="7FD3A46D" w:rsidR="004E552B" w:rsidRDefault="004E552B" w:rsidP="005B1E9B">
      <w:pPr>
        <w:pStyle w:val="ListParagraph"/>
        <w:spacing w:after="0"/>
        <w:ind w:left="426"/>
        <w:jc w:val="both"/>
        <w:rPr>
          <w:rFonts w:ascii="Arial Narrow" w:eastAsiaTheme="minorEastAsia" w:hAnsi="Arial Narrow" w:cstheme="minorBidi"/>
          <w:b/>
          <w:sz w:val="20"/>
          <w:szCs w:val="20"/>
          <w:lang w:val="en-GB"/>
        </w:rPr>
      </w:pPr>
      <w:r>
        <w:rPr>
          <w:noProof/>
        </w:rPr>
        <w:drawing>
          <wp:inline distT="0" distB="0" distL="0" distR="0" wp14:anchorId="7557F1BD" wp14:editId="5A123726">
            <wp:extent cx="5732145" cy="3560618"/>
            <wp:effectExtent l="0" t="0" r="1905" b="1905"/>
            <wp:docPr id="1848428748"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677145" w14:textId="77898CAC" w:rsidR="00EB2D30" w:rsidRPr="008F57B8" w:rsidRDefault="403AC5B3" w:rsidP="005B1E9B">
      <w:pPr>
        <w:pStyle w:val="ListParagraph"/>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Figure 1: Headline inflation 2022–2023</w:t>
      </w:r>
    </w:p>
    <w:p w14:paraId="7D5B5C31" w14:textId="21166FBE" w:rsidR="00EB2D30" w:rsidRPr="008F57B8" w:rsidRDefault="403AC5B3" w:rsidP="005B1E9B">
      <w:pPr>
        <w:pStyle w:val="ListParagraph"/>
        <w:spacing w:after="0"/>
        <w:ind w:left="426"/>
        <w:jc w:val="both"/>
        <w:rPr>
          <w:rFonts w:ascii="Arial Narrow" w:eastAsia="Times New Roman" w:hAnsi="Arial Narrow"/>
          <w:b/>
          <w:sz w:val="20"/>
          <w:szCs w:val="20"/>
          <w:lang w:val="en-GB" w:eastAsia="en-ZA"/>
        </w:rPr>
      </w:pPr>
      <w:r w:rsidRPr="008F57B8">
        <w:rPr>
          <w:rFonts w:ascii="Arial Narrow" w:eastAsia="Times New Roman" w:hAnsi="Arial Narrow"/>
          <w:b/>
          <w:sz w:val="20"/>
          <w:szCs w:val="20"/>
          <w:lang w:val="en-GB" w:eastAsia="en-ZA"/>
        </w:rPr>
        <w:t>Data source: Stats SA</w:t>
      </w:r>
      <w:r w:rsidR="78B550BA" w:rsidRPr="008F57B8">
        <w:rPr>
          <w:rFonts w:ascii="Arial Narrow" w:eastAsia="Times New Roman" w:hAnsi="Arial Narrow"/>
          <w:b/>
          <w:sz w:val="20"/>
          <w:szCs w:val="20"/>
          <w:lang w:val="en-GB" w:eastAsia="en-ZA"/>
        </w:rPr>
        <w:t xml:space="preserve"> and SARB</w:t>
      </w:r>
    </w:p>
    <w:p w14:paraId="72B9F0F6" w14:textId="2D5982EC" w:rsidR="00767857" w:rsidRDefault="00767857" w:rsidP="0D803B9D">
      <w:pPr>
        <w:pStyle w:val="ListParagraph"/>
        <w:ind w:left="426"/>
        <w:jc w:val="both"/>
        <w:rPr>
          <w:rFonts w:ascii="Arial Narrow" w:eastAsia="Times New Roman" w:hAnsi="Arial Narrow"/>
          <w:lang w:val="en-GB" w:eastAsia="en-ZA"/>
        </w:rPr>
      </w:pPr>
    </w:p>
    <w:p w14:paraId="34ECD0AB" w14:textId="6F1CC876" w:rsidR="00EB2D30" w:rsidRPr="00086A30" w:rsidRDefault="00EB2D30" w:rsidP="00834C4B">
      <w:pPr>
        <w:pStyle w:val="ListParagraph"/>
        <w:numPr>
          <w:ilvl w:val="1"/>
          <w:numId w:val="7"/>
        </w:numPr>
        <w:jc w:val="both"/>
        <w:rPr>
          <w:rFonts w:ascii="Arial Narrow" w:hAnsi="Arial Narrow"/>
          <w:b/>
          <w:lang w:val="en-GB"/>
        </w:rPr>
      </w:pPr>
      <w:r w:rsidRPr="00086A30">
        <w:rPr>
          <w:rFonts w:ascii="Arial Narrow" w:hAnsi="Arial Narrow"/>
          <w:b/>
          <w:lang w:val="en-GB" w:eastAsia="en-ZA"/>
        </w:rPr>
        <w:t>Medical scheme</w:t>
      </w:r>
      <w:r w:rsidR="00261DBA">
        <w:rPr>
          <w:rFonts w:ascii="Arial Narrow" w:hAnsi="Arial Narrow"/>
          <w:b/>
          <w:lang w:val="en-GB" w:eastAsia="en-ZA"/>
        </w:rPr>
        <w:t>s</w:t>
      </w:r>
      <w:r w:rsidRPr="00086A30">
        <w:rPr>
          <w:rFonts w:ascii="Arial Narrow" w:hAnsi="Arial Narrow"/>
          <w:b/>
          <w:lang w:val="en-GB" w:eastAsia="en-ZA"/>
        </w:rPr>
        <w:t xml:space="preserve"> contribution</w:t>
      </w:r>
      <w:r>
        <w:rPr>
          <w:rFonts w:ascii="Arial Narrow" w:hAnsi="Arial Narrow"/>
          <w:b/>
          <w:lang w:val="en-GB" w:eastAsia="en-ZA"/>
        </w:rPr>
        <w:t xml:space="preserve"> increase rate relative to </w:t>
      </w:r>
      <w:r w:rsidRPr="00086A30">
        <w:rPr>
          <w:rFonts w:ascii="Arial Narrow" w:hAnsi="Arial Narrow"/>
          <w:b/>
          <w:lang w:val="en-GB" w:eastAsia="en-ZA"/>
        </w:rPr>
        <w:t>consumer inflation</w:t>
      </w:r>
    </w:p>
    <w:p w14:paraId="7C0DF62D" w14:textId="7E3CB06F" w:rsidR="00EB2D30" w:rsidRDefault="00EB2D30" w:rsidP="00EB2D30">
      <w:pPr>
        <w:ind w:left="426"/>
        <w:contextualSpacing/>
        <w:jc w:val="both"/>
        <w:rPr>
          <w:rFonts w:ascii="Arial Narrow" w:hAnsi="Arial Narrow"/>
          <w:lang w:val="en-GB" w:eastAsia="en-ZA"/>
        </w:rPr>
      </w:pPr>
      <w:r w:rsidRPr="00086A30">
        <w:rPr>
          <w:rFonts w:ascii="Arial Narrow" w:hAnsi="Arial Narrow"/>
          <w:lang w:val="en-GB" w:eastAsia="en-ZA"/>
        </w:rPr>
        <w:t>The graph below (</w:t>
      </w:r>
      <w:r w:rsidR="00B62963">
        <w:rPr>
          <w:rFonts w:ascii="Arial Narrow" w:hAnsi="Arial Narrow"/>
          <w:lang w:val="en-GB" w:eastAsia="en-ZA"/>
        </w:rPr>
        <w:t>F</w:t>
      </w:r>
      <w:r w:rsidRPr="00086A30">
        <w:rPr>
          <w:rFonts w:ascii="Arial Narrow" w:hAnsi="Arial Narrow"/>
          <w:lang w:val="en-GB" w:eastAsia="en-ZA"/>
        </w:rPr>
        <w:t xml:space="preserve">igure 2) </w:t>
      </w:r>
      <w:r w:rsidR="00B62963">
        <w:rPr>
          <w:rFonts w:ascii="Arial Narrow" w:hAnsi="Arial Narrow"/>
          <w:lang w:val="en-GB" w:eastAsia="en-ZA"/>
        </w:rPr>
        <w:t>illustrates</w:t>
      </w:r>
      <w:r w:rsidRPr="00086A30">
        <w:rPr>
          <w:rFonts w:ascii="Arial Narrow" w:hAnsi="Arial Narrow"/>
          <w:lang w:val="en-GB" w:eastAsia="en-ZA"/>
        </w:rPr>
        <w:t xml:space="preserve"> trends of the contribution increase rate</w:t>
      </w:r>
      <w:r w:rsidR="00474E4D">
        <w:rPr>
          <w:rFonts w:ascii="Arial Narrow" w:hAnsi="Arial Narrow"/>
          <w:lang w:val="en-GB" w:eastAsia="en-ZA"/>
        </w:rPr>
        <w:t>s</w:t>
      </w:r>
      <w:r w:rsidRPr="00086A30">
        <w:rPr>
          <w:rFonts w:ascii="Arial Narrow" w:hAnsi="Arial Narrow"/>
          <w:lang w:val="en-GB" w:eastAsia="en-ZA"/>
        </w:rPr>
        <w:t xml:space="preserve"> as reported in the </w:t>
      </w:r>
      <w:hyperlink r:id="rId13" w:history="1">
        <w:r w:rsidRPr="00C326CF">
          <w:rPr>
            <w:rStyle w:val="Hyperlink"/>
            <w:rFonts w:ascii="Arial Narrow" w:hAnsi="Arial Narrow"/>
            <w:lang w:val="en-GB" w:eastAsia="en-ZA"/>
          </w:rPr>
          <w:t>CMS 202</w:t>
        </w:r>
        <w:r w:rsidR="001C5E69">
          <w:rPr>
            <w:rStyle w:val="Hyperlink"/>
            <w:rFonts w:ascii="Arial Narrow" w:hAnsi="Arial Narrow"/>
            <w:lang w:val="en-GB" w:eastAsia="en-ZA"/>
          </w:rPr>
          <w:t>1</w:t>
        </w:r>
        <w:r w:rsidRPr="00C326CF">
          <w:rPr>
            <w:rStyle w:val="Hyperlink"/>
            <w:rFonts w:ascii="Arial Narrow" w:hAnsi="Arial Narrow"/>
            <w:lang w:val="en-GB" w:eastAsia="en-ZA"/>
          </w:rPr>
          <w:t>/2</w:t>
        </w:r>
        <w:r w:rsidR="00241D9B">
          <w:rPr>
            <w:rStyle w:val="Hyperlink"/>
            <w:rFonts w:ascii="Arial Narrow" w:hAnsi="Arial Narrow"/>
            <w:lang w:val="en-GB" w:eastAsia="en-ZA"/>
          </w:rPr>
          <w:t>2</w:t>
        </w:r>
        <w:r w:rsidRPr="00C326CF">
          <w:rPr>
            <w:rStyle w:val="Hyperlink"/>
            <w:rFonts w:ascii="Arial Narrow" w:hAnsi="Arial Narrow"/>
            <w:lang w:val="en-GB" w:eastAsia="en-ZA"/>
          </w:rPr>
          <w:t xml:space="preserve"> Annual Report</w:t>
        </w:r>
      </w:hyperlink>
      <w:r w:rsidRPr="00086A30">
        <w:rPr>
          <w:rFonts w:ascii="Arial Narrow" w:hAnsi="Arial Narrow"/>
          <w:lang w:val="en-GB" w:eastAsia="en-ZA"/>
        </w:rPr>
        <w:t xml:space="preserve"> relative to CPI. </w:t>
      </w:r>
    </w:p>
    <w:p w14:paraId="4109D388" w14:textId="77777777" w:rsidR="004A05CC" w:rsidRDefault="004A05CC" w:rsidP="00EB2D30">
      <w:pPr>
        <w:ind w:left="426"/>
        <w:contextualSpacing/>
        <w:jc w:val="both"/>
        <w:rPr>
          <w:rFonts w:ascii="Arial Narrow" w:hAnsi="Arial Narrow"/>
          <w:lang w:val="en-GB" w:eastAsia="en-ZA"/>
        </w:rPr>
      </w:pPr>
    </w:p>
    <w:p w14:paraId="6BBF4673" w14:textId="4621FC49" w:rsidR="004A05CC" w:rsidRDefault="004A05CC" w:rsidP="004A05CC">
      <w:pPr>
        <w:ind w:left="426"/>
        <w:contextualSpacing/>
        <w:jc w:val="both"/>
        <w:rPr>
          <w:rFonts w:ascii="Arial Narrow" w:eastAsia="Times New Roman" w:hAnsi="Arial Narrow"/>
          <w:lang w:val="en-GB" w:eastAsia="en-ZA"/>
        </w:rPr>
      </w:pPr>
      <w:r w:rsidRPr="0D803B9D">
        <w:rPr>
          <w:rFonts w:ascii="Arial Narrow" w:eastAsia="Times New Roman" w:hAnsi="Arial Narrow"/>
          <w:lang w:val="en-GB" w:eastAsia="en-ZA"/>
        </w:rPr>
        <w:t xml:space="preserve">It is evident from </w:t>
      </w:r>
      <w:r w:rsidR="00B62963">
        <w:rPr>
          <w:rFonts w:ascii="Arial Narrow" w:eastAsia="Times New Roman" w:hAnsi="Arial Narrow"/>
          <w:lang w:val="en-GB" w:eastAsia="en-ZA"/>
        </w:rPr>
        <w:t>Figure</w:t>
      </w:r>
      <w:r w:rsidRPr="0D803B9D">
        <w:rPr>
          <w:rFonts w:ascii="Arial Narrow" w:eastAsia="Times New Roman" w:hAnsi="Arial Narrow"/>
          <w:lang w:val="en-GB" w:eastAsia="en-ZA"/>
        </w:rPr>
        <w:t xml:space="preserve"> 2 </w:t>
      </w:r>
      <w:r w:rsidR="001747F9">
        <w:rPr>
          <w:rFonts w:ascii="Arial Narrow" w:eastAsia="Times New Roman" w:hAnsi="Arial Narrow"/>
          <w:lang w:val="en-GB" w:eastAsia="en-ZA"/>
        </w:rPr>
        <w:t>below</w:t>
      </w:r>
      <w:r w:rsidRPr="0D803B9D">
        <w:rPr>
          <w:rFonts w:ascii="Arial Narrow" w:eastAsia="Times New Roman" w:hAnsi="Arial Narrow"/>
          <w:lang w:val="en-GB" w:eastAsia="en-ZA"/>
        </w:rPr>
        <w:t>, in the past decade</w:t>
      </w:r>
      <w:r w:rsidR="00C548F5">
        <w:rPr>
          <w:rFonts w:ascii="Arial Narrow" w:eastAsia="Times New Roman" w:hAnsi="Arial Narrow"/>
          <w:lang w:val="en-GB" w:eastAsia="en-ZA"/>
        </w:rPr>
        <w:t>,</w:t>
      </w:r>
      <w:r w:rsidRPr="0D803B9D">
        <w:rPr>
          <w:rFonts w:ascii="Arial Narrow" w:eastAsia="Times New Roman" w:hAnsi="Arial Narrow"/>
          <w:lang w:val="en-GB" w:eastAsia="en-ZA"/>
        </w:rPr>
        <w:t xml:space="preserve"> medical </w:t>
      </w:r>
      <w:r w:rsidR="004715A7">
        <w:rPr>
          <w:rFonts w:ascii="Arial Narrow" w:eastAsia="Times New Roman" w:hAnsi="Arial Narrow"/>
          <w:lang w:val="en-GB" w:eastAsia="en-ZA"/>
        </w:rPr>
        <w:t>schemes</w:t>
      </w:r>
      <w:r w:rsidRPr="0D803B9D">
        <w:rPr>
          <w:rFonts w:ascii="Arial Narrow" w:eastAsia="Times New Roman" w:hAnsi="Arial Narrow"/>
          <w:lang w:val="en-GB" w:eastAsia="en-ZA"/>
        </w:rPr>
        <w:t xml:space="preserve"> contribution increases rates have consistently surpassed the CPI, except in 2021 and 2022. As indicated in the </w:t>
      </w:r>
      <w:hyperlink r:id="rId14">
        <w:r w:rsidRPr="0D803B9D">
          <w:rPr>
            <w:rStyle w:val="Hyperlink"/>
            <w:rFonts w:ascii="Arial Narrow" w:eastAsia="Times New Roman" w:hAnsi="Arial Narrow"/>
            <w:lang w:val="en-GB" w:eastAsia="en-ZA"/>
          </w:rPr>
          <w:t xml:space="preserve">CMS 2021/2022 Annual </w:t>
        </w:r>
        <w:r w:rsidR="00890413">
          <w:rPr>
            <w:rStyle w:val="Hyperlink"/>
            <w:rFonts w:ascii="Arial Narrow" w:eastAsia="Times New Roman" w:hAnsi="Arial Narrow"/>
            <w:lang w:val="en-GB" w:eastAsia="en-ZA"/>
          </w:rPr>
          <w:t>R</w:t>
        </w:r>
        <w:r w:rsidRPr="0D803B9D">
          <w:rPr>
            <w:rStyle w:val="Hyperlink"/>
            <w:rFonts w:ascii="Arial Narrow" w:eastAsia="Times New Roman" w:hAnsi="Arial Narrow"/>
            <w:lang w:val="en-GB" w:eastAsia="en-ZA"/>
          </w:rPr>
          <w:t>eport</w:t>
        </w:r>
      </w:hyperlink>
      <w:r w:rsidRPr="0D803B9D">
        <w:rPr>
          <w:rFonts w:ascii="Arial Narrow" w:eastAsia="Times New Roman" w:hAnsi="Arial Narrow"/>
          <w:lang w:val="en-GB" w:eastAsia="en-ZA"/>
        </w:rPr>
        <w:t>, the lower</w:t>
      </w:r>
      <w:r w:rsidR="00B62963">
        <w:rPr>
          <w:rFonts w:ascii="Arial Narrow" w:eastAsia="Times New Roman" w:hAnsi="Arial Narrow"/>
          <w:lang w:val="en-GB" w:eastAsia="en-ZA"/>
        </w:rPr>
        <w:t>-than-CPI</w:t>
      </w:r>
      <w:r w:rsidRPr="0D803B9D">
        <w:rPr>
          <w:rFonts w:ascii="Arial Narrow" w:eastAsia="Times New Roman" w:hAnsi="Arial Narrow"/>
          <w:lang w:val="en-GB" w:eastAsia="en-ZA"/>
        </w:rPr>
        <w:t xml:space="preserve"> contribution increases implemented in the past two years </w:t>
      </w:r>
      <w:r w:rsidR="00B62963">
        <w:rPr>
          <w:rFonts w:ascii="Arial Narrow" w:eastAsia="Times New Roman" w:hAnsi="Arial Narrow"/>
          <w:lang w:val="en-GB" w:eastAsia="en-ZA"/>
        </w:rPr>
        <w:t>were</w:t>
      </w:r>
      <w:r w:rsidRPr="0D803B9D">
        <w:rPr>
          <w:rFonts w:ascii="Arial Narrow" w:eastAsia="Times New Roman" w:hAnsi="Arial Narrow"/>
          <w:lang w:val="en-GB" w:eastAsia="en-ZA"/>
        </w:rPr>
        <w:t xml:space="preserve"> mainly due to a </w:t>
      </w:r>
      <w:r w:rsidRPr="0D803B9D">
        <w:rPr>
          <w:rFonts w:ascii="Arial Narrow" w:eastAsia="Times New Roman" w:hAnsi="Arial Narrow"/>
          <w:lang w:val="en-GB" w:eastAsia="en-ZA"/>
        </w:rPr>
        <w:lastRenderedPageBreak/>
        <w:t xml:space="preserve">collaborative effort between the CMS and the industry aimed at insulating members of medical schemes against the adverse economic climate in the aftermath of the COVID-19 pandemic.  </w:t>
      </w:r>
    </w:p>
    <w:p w14:paraId="1023960C" w14:textId="77777777" w:rsidR="004A05CC" w:rsidRDefault="004A05CC" w:rsidP="00EB2D30">
      <w:pPr>
        <w:ind w:left="426"/>
        <w:contextualSpacing/>
        <w:jc w:val="both"/>
        <w:rPr>
          <w:rFonts w:ascii="Arial Narrow" w:hAnsi="Arial Narrow"/>
          <w:lang w:val="en-GB" w:eastAsia="en-ZA"/>
        </w:rPr>
      </w:pPr>
    </w:p>
    <w:p w14:paraId="1BEF83C2" w14:textId="0C9A054E" w:rsidR="00A57275" w:rsidRDefault="00A57275" w:rsidP="00EB2D30">
      <w:pPr>
        <w:ind w:left="426"/>
        <w:contextualSpacing/>
        <w:jc w:val="both"/>
        <w:rPr>
          <w:rFonts w:ascii="Arial Narrow" w:hAnsi="Arial Narrow"/>
          <w:lang w:val="en-GB" w:eastAsia="en-ZA"/>
        </w:rPr>
      </w:pPr>
      <w:r>
        <w:rPr>
          <w:noProof/>
        </w:rPr>
        <w:drawing>
          <wp:inline distT="0" distB="0" distL="0" distR="0" wp14:anchorId="0BCA2CB9" wp14:editId="3457429F">
            <wp:extent cx="5732145" cy="3115945"/>
            <wp:effectExtent l="0" t="0" r="1905" b="8255"/>
            <wp:docPr id="632145529" name="Chart 1">
              <a:extLst xmlns:a="http://schemas.openxmlformats.org/drawingml/2006/main">
                <a:ext uri="{FF2B5EF4-FFF2-40B4-BE49-F238E27FC236}">
                  <a16:creationId xmlns:a16="http://schemas.microsoft.com/office/drawing/2014/main" id="{D456ED4F-084F-7FB5-1044-608CE5AAB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BA72EB" w14:textId="61202F82" w:rsidR="00D52CFF" w:rsidRPr="008F57B8" w:rsidRDefault="4DAEB9AB" w:rsidP="008F57B8">
      <w:pPr>
        <w:pStyle w:val="ListParagraph"/>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 xml:space="preserve">Figure 2: Medical schemes contributions and headline inflation (2011-2022) </w:t>
      </w:r>
    </w:p>
    <w:p w14:paraId="06F6C2D0" w14:textId="03BE22DA" w:rsidR="004535F4" w:rsidRPr="008F57B8" w:rsidRDefault="4DAEB9AB" w:rsidP="008F57B8">
      <w:pPr>
        <w:pStyle w:val="ListParagraph"/>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Source: CMS Annual Report 2021/2022</w:t>
      </w:r>
    </w:p>
    <w:p w14:paraId="539767FC" w14:textId="77777777" w:rsidR="003005FC" w:rsidRDefault="003005FC" w:rsidP="008F57B8">
      <w:pPr>
        <w:pStyle w:val="ListParagraph"/>
        <w:ind w:left="792"/>
        <w:jc w:val="both"/>
        <w:rPr>
          <w:rFonts w:ascii="Arial Narrow" w:hAnsi="Arial Narrow"/>
          <w:b/>
          <w:lang w:val="en-GB" w:eastAsia="en-ZA"/>
        </w:rPr>
      </w:pPr>
    </w:p>
    <w:p w14:paraId="35617537" w14:textId="0C7E6086" w:rsidR="00E748A7" w:rsidRPr="00D87673" w:rsidRDefault="00E748A7" w:rsidP="006F5018">
      <w:pPr>
        <w:pStyle w:val="ListParagraph"/>
        <w:keepNext/>
        <w:numPr>
          <w:ilvl w:val="1"/>
          <w:numId w:val="7"/>
        </w:numPr>
        <w:jc w:val="both"/>
        <w:rPr>
          <w:rFonts w:ascii="Arial Narrow" w:hAnsi="Arial Narrow"/>
          <w:b/>
          <w:lang w:val="en-GB" w:eastAsia="en-ZA"/>
        </w:rPr>
      </w:pPr>
      <w:r w:rsidRPr="00D87673">
        <w:rPr>
          <w:rFonts w:ascii="Arial Narrow" w:hAnsi="Arial Narrow"/>
          <w:b/>
          <w:lang w:eastAsia="en-ZA"/>
        </w:rPr>
        <w:t>Headline inflation and Stas SA Medical and health insurance</w:t>
      </w:r>
    </w:p>
    <w:p w14:paraId="6C56A5D1" w14:textId="77777777" w:rsidR="003C6EB0" w:rsidRDefault="003C6EB0" w:rsidP="008F57B8">
      <w:pPr>
        <w:pStyle w:val="ListParagraph"/>
        <w:spacing w:after="0"/>
        <w:ind w:left="426"/>
        <w:jc w:val="both"/>
        <w:rPr>
          <w:rFonts w:ascii="Arial Narrow" w:eastAsiaTheme="minorEastAsia" w:hAnsi="Arial Narrow" w:cstheme="minorBidi"/>
          <w:b/>
          <w:sz w:val="20"/>
          <w:szCs w:val="20"/>
          <w:lang w:val="en-GB"/>
        </w:rPr>
      </w:pPr>
      <w:bookmarkStart w:id="2" w:name="_Hlk141368551"/>
    </w:p>
    <w:p w14:paraId="53E6FF60" w14:textId="4F07CD4B" w:rsidR="002E1161" w:rsidRDefault="002E1161" w:rsidP="003A679C">
      <w:pPr>
        <w:pStyle w:val="ListParagraph"/>
        <w:keepNext/>
        <w:spacing w:after="0"/>
        <w:ind w:left="432"/>
        <w:jc w:val="both"/>
        <w:rPr>
          <w:rFonts w:ascii="Arial Narrow" w:eastAsiaTheme="minorEastAsia" w:hAnsi="Arial Narrow" w:cstheme="minorBidi"/>
          <w:b/>
          <w:sz w:val="20"/>
          <w:szCs w:val="20"/>
          <w:lang w:val="en-GB"/>
        </w:rPr>
      </w:pPr>
      <w:r>
        <w:rPr>
          <w:noProof/>
        </w:rPr>
        <w:drawing>
          <wp:inline distT="0" distB="0" distL="0" distR="0" wp14:anchorId="795BA643" wp14:editId="4B0AF0F2">
            <wp:extent cx="5732145" cy="3241964"/>
            <wp:effectExtent l="0" t="0" r="1905" b="0"/>
            <wp:docPr id="1418375864" name="Chart 1">
              <a:extLst xmlns:a="http://schemas.openxmlformats.org/drawingml/2006/main">
                <a:ext uri="{FF2B5EF4-FFF2-40B4-BE49-F238E27FC236}">
                  <a16:creationId xmlns:a16="http://schemas.microsoft.com/office/drawing/2014/main" id="{4E8E005D-0818-41C0-A3B6-20F482F95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4EEC91" w14:textId="74D31AAB" w:rsidR="00AB12B8" w:rsidRPr="008F57B8" w:rsidRDefault="00AB12B8" w:rsidP="003A679C">
      <w:pPr>
        <w:pStyle w:val="ListParagraph"/>
        <w:keepNext/>
        <w:spacing w:after="0"/>
        <w:ind w:left="432"/>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 xml:space="preserve">Figure </w:t>
      </w:r>
      <w:r w:rsidRPr="008F57B8">
        <w:rPr>
          <w:rFonts w:ascii="Arial Narrow" w:eastAsiaTheme="minorEastAsia" w:hAnsi="Arial Narrow" w:cstheme="minorBidi"/>
          <w:b/>
          <w:sz w:val="20"/>
          <w:szCs w:val="20"/>
          <w:lang w:val="en-GB"/>
        </w:rPr>
        <w:fldChar w:fldCharType="begin"/>
      </w:r>
      <w:r w:rsidRPr="008F57B8">
        <w:rPr>
          <w:rFonts w:ascii="Arial Narrow" w:eastAsiaTheme="minorEastAsia" w:hAnsi="Arial Narrow" w:cstheme="minorBidi"/>
          <w:b/>
          <w:sz w:val="20"/>
          <w:szCs w:val="20"/>
          <w:lang w:val="en-GB"/>
        </w:rPr>
        <w:instrText xml:space="preserve"> SEQ Figure \* ARABIC </w:instrText>
      </w:r>
      <w:r w:rsidRPr="008F57B8">
        <w:rPr>
          <w:rFonts w:ascii="Arial Narrow" w:eastAsiaTheme="minorEastAsia" w:hAnsi="Arial Narrow" w:cstheme="minorBidi"/>
          <w:b/>
          <w:sz w:val="20"/>
          <w:szCs w:val="20"/>
          <w:lang w:val="en-GB"/>
        </w:rPr>
        <w:fldChar w:fldCharType="separate"/>
      </w:r>
      <w:r w:rsidR="382535F8" w:rsidRPr="008F57B8">
        <w:rPr>
          <w:rFonts w:ascii="Arial Narrow" w:eastAsiaTheme="minorEastAsia" w:hAnsi="Arial Narrow" w:cstheme="minorBidi"/>
          <w:b/>
          <w:sz w:val="20"/>
          <w:szCs w:val="20"/>
          <w:lang w:val="en-GB"/>
        </w:rPr>
        <w:t>3</w:t>
      </w:r>
      <w:r w:rsidRPr="008F57B8">
        <w:rPr>
          <w:rFonts w:ascii="Arial Narrow" w:eastAsiaTheme="minorEastAsia" w:hAnsi="Arial Narrow" w:cstheme="minorBidi"/>
          <w:b/>
          <w:sz w:val="20"/>
          <w:szCs w:val="20"/>
          <w:lang w:val="en-GB"/>
        </w:rPr>
        <w:fldChar w:fldCharType="end"/>
      </w:r>
      <w:r w:rsidRPr="008F57B8">
        <w:rPr>
          <w:rFonts w:ascii="Arial Narrow" w:eastAsiaTheme="minorEastAsia" w:hAnsi="Arial Narrow" w:cstheme="minorBidi"/>
          <w:b/>
          <w:sz w:val="20"/>
          <w:szCs w:val="20"/>
          <w:lang w:val="en-GB"/>
        </w:rPr>
        <w:t>: Year-on-year changes in price levels (</w:t>
      </w:r>
      <w:bookmarkStart w:id="3" w:name="_Hlk141365286"/>
      <w:r w:rsidRPr="008F57B8">
        <w:rPr>
          <w:rFonts w:ascii="Arial Narrow" w:eastAsiaTheme="minorEastAsia" w:hAnsi="Arial Narrow" w:cstheme="minorBidi"/>
          <w:b/>
          <w:sz w:val="20"/>
          <w:szCs w:val="20"/>
          <w:lang w:val="en-GB"/>
        </w:rPr>
        <w:t>January 2020 to June 2023</w:t>
      </w:r>
      <w:bookmarkEnd w:id="3"/>
      <w:r w:rsidRPr="008F57B8">
        <w:rPr>
          <w:rFonts w:ascii="Arial Narrow" w:eastAsiaTheme="minorEastAsia" w:hAnsi="Arial Narrow" w:cstheme="minorBidi"/>
          <w:b/>
          <w:sz w:val="20"/>
          <w:szCs w:val="20"/>
          <w:lang w:val="en-GB"/>
        </w:rPr>
        <w:t>)</w:t>
      </w:r>
    </w:p>
    <w:p w14:paraId="23D64D12" w14:textId="77777777" w:rsidR="00AB12B8" w:rsidRDefault="00AB12B8" w:rsidP="008F57B8">
      <w:pPr>
        <w:pStyle w:val="ListParagraph"/>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Data Source: Stats SA, Headline Inflation Archive</w:t>
      </w:r>
    </w:p>
    <w:bookmarkEnd w:id="2"/>
    <w:p w14:paraId="7EE21676" w14:textId="2E26885D" w:rsidR="008F57B8" w:rsidRDefault="00AB12B8" w:rsidP="008F57B8">
      <w:pPr>
        <w:spacing w:after="0"/>
        <w:ind w:left="426"/>
        <w:contextualSpacing/>
        <w:jc w:val="both"/>
        <w:rPr>
          <w:rFonts w:ascii="Arial Narrow" w:hAnsi="Arial Narrow"/>
          <w:lang w:val="en-GB" w:eastAsia="en-ZA"/>
        </w:rPr>
      </w:pPr>
      <w:r w:rsidRPr="00AB12B8">
        <w:rPr>
          <w:rFonts w:ascii="Arial Narrow" w:hAnsi="Arial Narrow"/>
          <w:lang w:val="en-GB" w:eastAsia="en-ZA"/>
        </w:rPr>
        <w:lastRenderedPageBreak/>
        <w:t xml:space="preserve">Figure 3 </w:t>
      </w:r>
      <w:r w:rsidR="00B340B8">
        <w:rPr>
          <w:rFonts w:ascii="Arial Narrow" w:hAnsi="Arial Narrow"/>
          <w:lang w:val="en-GB" w:eastAsia="en-ZA"/>
        </w:rPr>
        <w:t>depicts</w:t>
      </w:r>
      <w:r w:rsidRPr="00AB12B8">
        <w:rPr>
          <w:rFonts w:ascii="Arial Narrow" w:hAnsi="Arial Narrow"/>
          <w:lang w:val="en-GB" w:eastAsia="en-ZA"/>
        </w:rPr>
        <w:t xml:space="preserve"> medical and health insurance data relative to headline inflation as reported by Stats SA, from January 2020 to June 2023. It is evident that in 2020 medical and health insurance consistently outpaced headline CPI inflation before falling sharping below headline CPI inflation during the peak of the pandemic. The two rates remained below CPI for the rest of 2022, before starting to normalise and accelerating again in the first six months of 2023.</w:t>
      </w:r>
    </w:p>
    <w:p w14:paraId="5A796A58" w14:textId="77777777" w:rsidR="008F57B8" w:rsidRPr="008F57B8" w:rsidRDefault="008F57B8" w:rsidP="008F57B8">
      <w:pPr>
        <w:pStyle w:val="ListParagraph"/>
        <w:spacing w:after="0"/>
        <w:ind w:left="426"/>
        <w:jc w:val="both"/>
        <w:rPr>
          <w:rFonts w:ascii="Arial Narrow" w:eastAsiaTheme="minorEastAsia" w:hAnsi="Arial Narrow" w:cstheme="minorBidi"/>
          <w:b/>
          <w:bCs/>
          <w:sz w:val="20"/>
          <w:szCs w:val="20"/>
          <w:lang w:val="en-GB"/>
        </w:rPr>
      </w:pPr>
    </w:p>
    <w:p w14:paraId="3D9024BC" w14:textId="345C8916" w:rsidR="00AB12B8" w:rsidRPr="00AB12B8" w:rsidRDefault="00AB12B8" w:rsidP="008F57B8">
      <w:pPr>
        <w:spacing w:after="0"/>
        <w:ind w:left="426"/>
        <w:contextualSpacing/>
        <w:jc w:val="both"/>
        <w:rPr>
          <w:rFonts w:ascii="Arial Narrow" w:hAnsi="Arial Narrow" w:cs="Arial"/>
          <w:lang w:val="en-GB"/>
        </w:rPr>
      </w:pPr>
      <w:r w:rsidRPr="0D803B9D">
        <w:rPr>
          <w:rFonts w:ascii="Arial Narrow" w:hAnsi="Arial Narrow" w:cs="Arial"/>
          <w:lang w:val="en-GB"/>
        </w:rPr>
        <w:t xml:space="preserve">The composite supply chain pressure index (CSCPI) in </w:t>
      </w:r>
      <w:r w:rsidR="00976E6D">
        <w:rPr>
          <w:rFonts w:ascii="Arial Narrow" w:hAnsi="Arial Narrow" w:cs="Arial"/>
          <w:lang w:val="en-GB"/>
        </w:rPr>
        <w:t>F</w:t>
      </w:r>
      <w:r w:rsidR="00B03868" w:rsidRPr="00B03868">
        <w:rPr>
          <w:rFonts w:ascii="Arial Narrow" w:hAnsi="Arial Narrow" w:cs="Arial"/>
          <w:lang w:val="en-GB"/>
        </w:rPr>
        <w:t>igure</w:t>
      </w:r>
      <w:r w:rsidRPr="0D803B9D">
        <w:rPr>
          <w:rFonts w:ascii="Arial Narrow" w:hAnsi="Arial Narrow" w:cs="Arial"/>
          <w:lang w:val="en-GB"/>
        </w:rPr>
        <w:t xml:space="preserve"> </w:t>
      </w:r>
      <w:r w:rsidR="1906CE62" w:rsidRPr="0D803B9D">
        <w:rPr>
          <w:rFonts w:ascii="Arial Narrow" w:hAnsi="Arial Narrow" w:cs="Arial"/>
          <w:lang w:val="en-GB"/>
        </w:rPr>
        <w:t>4</w:t>
      </w:r>
      <w:r w:rsidRPr="0D803B9D">
        <w:rPr>
          <w:rFonts w:ascii="Arial Narrow" w:hAnsi="Arial Narrow" w:cs="Arial"/>
          <w:lang w:val="en-GB"/>
        </w:rPr>
        <w:t xml:space="preserve"> is a leading economic indicator that measures supply chain pressure. Supply chain issues increase the costs of goods due to supply-side cost shocks created by scarcity in inputs in the manufacturing supply </w:t>
      </w:r>
      <w:r w:rsidR="00FF1B6D" w:rsidRPr="0D803B9D">
        <w:rPr>
          <w:rFonts w:ascii="Arial Narrow" w:hAnsi="Arial Narrow" w:cs="Arial"/>
          <w:lang w:val="en-GB"/>
        </w:rPr>
        <w:t>chain,</w:t>
      </w:r>
      <w:r w:rsidRPr="0D803B9D">
        <w:rPr>
          <w:rFonts w:ascii="Arial Narrow" w:hAnsi="Arial Narrow" w:cs="Arial"/>
          <w:lang w:val="en-GB"/>
        </w:rPr>
        <w:t xml:space="preserve"> i.e., scarcity in the supply of production inputs. </w:t>
      </w:r>
      <w:r w:rsidR="00B03868" w:rsidRPr="00B03868">
        <w:rPr>
          <w:rFonts w:ascii="Arial Narrow" w:hAnsi="Arial Narrow" w:cs="Arial"/>
          <w:lang w:val="en-GB"/>
        </w:rPr>
        <w:t>The</w:t>
      </w:r>
      <w:r w:rsidRPr="0D803B9D">
        <w:rPr>
          <w:rFonts w:ascii="Arial Narrow" w:hAnsi="Arial Narrow" w:cs="Arial"/>
          <w:lang w:val="en-GB"/>
        </w:rPr>
        <w:t xml:space="preserve"> index reached a peak in the first quarter of 2022. Since then</w:t>
      </w:r>
      <w:r w:rsidR="00D14F52">
        <w:rPr>
          <w:rFonts w:ascii="Arial Narrow" w:hAnsi="Arial Narrow" w:cs="Arial"/>
          <w:lang w:val="en-GB"/>
        </w:rPr>
        <w:t>,</w:t>
      </w:r>
      <w:r w:rsidRPr="0D803B9D">
        <w:rPr>
          <w:rFonts w:ascii="Arial Narrow" w:hAnsi="Arial Narrow" w:cs="Arial"/>
          <w:lang w:val="en-GB"/>
        </w:rPr>
        <w:t xml:space="preserve"> the index has been making a sharp decline. </w:t>
      </w:r>
    </w:p>
    <w:p w14:paraId="220B287E" w14:textId="77777777" w:rsidR="001F1360" w:rsidRDefault="001F1360" w:rsidP="005B1E9B">
      <w:pPr>
        <w:spacing w:after="0"/>
        <w:jc w:val="both"/>
        <w:rPr>
          <w:rFonts w:ascii="Arial Narrow" w:hAnsi="Arial Narrow" w:cs="Arial"/>
          <w:lang w:val="en-GB"/>
        </w:rPr>
      </w:pPr>
    </w:p>
    <w:p w14:paraId="5DDE0C46" w14:textId="226B6557" w:rsidR="00AB12B8" w:rsidRPr="00AB12B8" w:rsidRDefault="001F1360" w:rsidP="003A679C">
      <w:pPr>
        <w:keepNext/>
        <w:spacing w:after="0"/>
        <w:jc w:val="both"/>
        <w:rPr>
          <w:rFonts w:ascii="Arial Narrow" w:hAnsi="Arial Narrow" w:cs="Arial"/>
          <w:lang w:val="en-GB"/>
        </w:rPr>
      </w:pPr>
      <w:r w:rsidRPr="001F1360">
        <w:rPr>
          <w:rFonts w:ascii="Arial Narrow" w:hAnsi="Arial Narrow"/>
          <w:noProof/>
          <w:color w:val="000000" w:themeColor="text1"/>
        </w:rPr>
        <w:drawing>
          <wp:inline distT="0" distB="0" distL="0" distR="0" wp14:anchorId="2F54B61C" wp14:editId="4B22C6E1">
            <wp:extent cx="5732145" cy="3609340"/>
            <wp:effectExtent l="0" t="0" r="1905" b="0"/>
            <wp:docPr id="535683488" name="Chart 1">
              <a:extLst xmlns:a="http://schemas.openxmlformats.org/drawingml/2006/main">
                <a:ext uri="{FF2B5EF4-FFF2-40B4-BE49-F238E27FC236}">
                  <a16:creationId xmlns:a16="http://schemas.microsoft.com/office/drawing/2014/main" id="{6C2A17D9-338C-4431-804C-C35FC409D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752FCD" w14:textId="7D61C3A7" w:rsidR="00AB12B8" w:rsidRPr="008F57B8" w:rsidRDefault="00AB12B8" w:rsidP="003A679C">
      <w:pPr>
        <w:pStyle w:val="ListParagraph"/>
        <w:keepNext/>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 xml:space="preserve">Figure </w:t>
      </w:r>
      <w:r w:rsidRPr="008F57B8">
        <w:rPr>
          <w:rFonts w:ascii="Arial Narrow" w:eastAsiaTheme="minorEastAsia" w:hAnsi="Arial Narrow" w:cstheme="minorBidi"/>
          <w:b/>
          <w:sz w:val="20"/>
          <w:szCs w:val="20"/>
          <w:lang w:val="en-GB"/>
        </w:rPr>
        <w:fldChar w:fldCharType="begin"/>
      </w:r>
      <w:r w:rsidRPr="008F57B8">
        <w:rPr>
          <w:rFonts w:ascii="Arial Narrow" w:eastAsiaTheme="minorEastAsia" w:hAnsi="Arial Narrow" w:cstheme="minorBidi"/>
          <w:b/>
          <w:sz w:val="20"/>
          <w:szCs w:val="20"/>
          <w:lang w:val="en-GB"/>
        </w:rPr>
        <w:instrText xml:space="preserve"> SEQ Figure \* ARABIC </w:instrText>
      </w:r>
      <w:r w:rsidRPr="008F57B8">
        <w:rPr>
          <w:rFonts w:ascii="Arial Narrow" w:eastAsiaTheme="minorEastAsia" w:hAnsi="Arial Narrow" w:cstheme="minorBidi"/>
          <w:b/>
          <w:sz w:val="20"/>
          <w:szCs w:val="20"/>
          <w:lang w:val="en-GB"/>
        </w:rPr>
        <w:fldChar w:fldCharType="separate"/>
      </w:r>
      <w:r w:rsidR="30C1A962" w:rsidRPr="008F57B8">
        <w:rPr>
          <w:rFonts w:ascii="Arial Narrow" w:eastAsiaTheme="minorEastAsia" w:hAnsi="Arial Narrow" w:cstheme="minorBidi"/>
          <w:b/>
          <w:sz w:val="20"/>
          <w:szCs w:val="20"/>
          <w:lang w:val="en-GB"/>
        </w:rPr>
        <w:t>4</w:t>
      </w:r>
      <w:r w:rsidRPr="008F57B8">
        <w:rPr>
          <w:rFonts w:ascii="Arial Narrow" w:eastAsiaTheme="minorEastAsia" w:hAnsi="Arial Narrow" w:cstheme="minorBidi"/>
          <w:b/>
          <w:sz w:val="20"/>
          <w:szCs w:val="20"/>
          <w:lang w:val="en-GB"/>
        </w:rPr>
        <w:fldChar w:fldCharType="end"/>
      </w:r>
      <w:r w:rsidRPr="008F57B8">
        <w:rPr>
          <w:rFonts w:ascii="Arial Narrow" w:eastAsiaTheme="minorEastAsia" w:hAnsi="Arial Narrow" w:cstheme="minorBidi"/>
          <w:b/>
          <w:sz w:val="20"/>
          <w:szCs w:val="20"/>
          <w:lang w:val="en-GB"/>
        </w:rPr>
        <w:t>: Composite Supply Chain Index for S. Africa</w:t>
      </w:r>
    </w:p>
    <w:p w14:paraId="64B76A0B" w14:textId="221DA0DE" w:rsidR="00AB12B8" w:rsidRPr="008F57B8" w:rsidRDefault="00AB12B8" w:rsidP="003A679C">
      <w:pPr>
        <w:pStyle w:val="ListParagraph"/>
        <w:keepNext/>
        <w:spacing w:after="0"/>
        <w:ind w:left="426"/>
        <w:jc w:val="both"/>
        <w:rPr>
          <w:rFonts w:ascii="Arial Narrow" w:eastAsiaTheme="minorEastAsia" w:hAnsi="Arial Narrow" w:cstheme="minorBidi"/>
          <w:b/>
          <w:sz w:val="20"/>
          <w:szCs w:val="20"/>
          <w:lang w:val="en-GB"/>
        </w:rPr>
      </w:pPr>
      <w:r w:rsidRPr="008F57B8">
        <w:rPr>
          <w:rFonts w:ascii="Arial Narrow" w:eastAsiaTheme="minorEastAsia" w:hAnsi="Arial Narrow" w:cstheme="minorBidi"/>
          <w:b/>
          <w:sz w:val="20"/>
          <w:szCs w:val="20"/>
          <w:lang w:val="en-GB"/>
        </w:rPr>
        <w:t>Data Source: South African Reserve Bank</w:t>
      </w:r>
    </w:p>
    <w:p w14:paraId="5B486161" w14:textId="77777777" w:rsidR="00FF1B6D" w:rsidRDefault="00FF1B6D" w:rsidP="00BE52D1">
      <w:pPr>
        <w:spacing w:after="0"/>
        <w:ind w:left="900"/>
        <w:jc w:val="both"/>
        <w:rPr>
          <w:rFonts w:ascii="Arial Narrow" w:hAnsi="Arial Narrow"/>
          <w:b/>
          <w:color w:val="44546A"/>
          <w:sz w:val="20"/>
          <w:szCs w:val="20"/>
          <w:lang w:val="en-GB"/>
        </w:rPr>
      </w:pPr>
    </w:p>
    <w:p w14:paraId="5C0AE7C1" w14:textId="77777777" w:rsidR="00BE52D1" w:rsidRDefault="00BE52D1">
      <w:pPr>
        <w:spacing w:after="0" w:line="240" w:lineRule="auto"/>
        <w:rPr>
          <w:rFonts w:ascii="Arial Narrow" w:hAnsi="Arial Narrow"/>
        </w:rPr>
      </w:pPr>
      <w:r>
        <w:rPr>
          <w:rFonts w:ascii="Arial Narrow" w:hAnsi="Arial Narrow"/>
        </w:rPr>
        <w:br w:type="page"/>
      </w:r>
    </w:p>
    <w:p w14:paraId="2A30502D" w14:textId="7D53C5A4" w:rsidR="00AB12B8" w:rsidRPr="00AB12B8" w:rsidRDefault="00AB12B8" w:rsidP="0021696E">
      <w:pPr>
        <w:spacing w:after="0"/>
        <w:ind w:left="426"/>
        <w:contextualSpacing/>
        <w:jc w:val="both"/>
        <w:rPr>
          <w:rFonts w:ascii="Arial Narrow" w:hAnsi="Arial Narrow"/>
        </w:rPr>
      </w:pPr>
      <w:r w:rsidRPr="0D803B9D">
        <w:rPr>
          <w:rFonts w:ascii="Arial Narrow" w:hAnsi="Arial Narrow"/>
        </w:rPr>
        <w:lastRenderedPageBreak/>
        <w:t xml:space="preserve">Figure </w:t>
      </w:r>
      <w:r w:rsidR="65C13842" w:rsidRPr="0D803B9D">
        <w:rPr>
          <w:rFonts w:ascii="Arial Narrow" w:hAnsi="Arial Narrow"/>
        </w:rPr>
        <w:t>5</w:t>
      </w:r>
      <w:r w:rsidRPr="0D803B9D">
        <w:rPr>
          <w:rFonts w:ascii="Arial Narrow" w:hAnsi="Arial Narrow"/>
        </w:rPr>
        <w:t xml:space="preserve"> shows that the standard deviations from the average value of the global supply chain pressure index have reduced in the first quarter of 2022, and then become negative in the second </w:t>
      </w:r>
      <w:r w:rsidR="00585D4D" w:rsidRPr="00B03868">
        <w:rPr>
          <w:rFonts w:ascii="Arial Narrow" w:hAnsi="Arial Narrow"/>
        </w:rPr>
        <w:t xml:space="preserve">quarter </w:t>
      </w:r>
      <w:r w:rsidRPr="0D803B9D">
        <w:rPr>
          <w:rFonts w:ascii="Arial Narrow" w:hAnsi="Arial Narrow"/>
        </w:rPr>
        <w:t xml:space="preserve">of 2023. This complements the information shown in the trend of the supply index for </w:t>
      </w:r>
      <w:r w:rsidR="00B03868" w:rsidRPr="00B03868">
        <w:rPr>
          <w:rFonts w:ascii="Arial Narrow" w:hAnsi="Arial Narrow"/>
        </w:rPr>
        <w:t>S</w:t>
      </w:r>
      <w:r w:rsidR="00891F8E">
        <w:rPr>
          <w:rFonts w:ascii="Arial Narrow" w:hAnsi="Arial Narrow"/>
        </w:rPr>
        <w:t>outh</w:t>
      </w:r>
      <w:r w:rsidRPr="0D803B9D">
        <w:rPr>
          <w:rFonts w:ascii="Arial Narrow" w:hAnsi="Arial Narrow"/>
        </w:rPr>
        <w:t xml:space="preserve"> Africa (</w:t>
      </w:r>
      <w:r w:rsidR="00891F8E">
        <w:rPr>
          <w:rFonts w:ascii="Arial Narrow" w:hAnsi="Arial Narrow"/>
        </w:rPr>
        <w:t>Figure</w:t>
      </w:r>
      <w:r w:rsidRPr="0D803B9D">
        <w:rPr>
          <w:rFonts w:ascii="Arial Narrow" w:hAnsi="Arial Narrow"/>
        </w:rPr>
        <w:t xml:space="preserve"> </w:t>
      </w:r>
      <w:r w:rsidR="138BAC55" w:rsidRPr="4575FE1B">
        <w:rPr>
          <w:rFonts w:ascii="Arial Narrow" w:hAnsi="Arial Narrow"/>
        </w:rPr>
        <w:t>4</w:t>
      </w:r>
      <w:r w:rsidRPr="0D803B9D">
        <w:rPr>
          <w:rFonts w:ascii="Arial Narrow" w:hAnsi="Arial Narrow"/>
        </w:rPr>
        <w:t>).</w:t>
      </w:r>
    </w:p>
    <w:p w14:paraId="7D779B23" w14:textId="77777777" w:rsidR="00C472DB" w:rsidRDefault="00C472DB" w:rsidP="0021696E">
      <w:pPr>
        <w:pStyle w:val="ListParagraph"/>
        <w:spacing w:after="0"/>
        <w:ind w:left="426"/>
        <w:jc w:val="both"/>
        <w:rPr>
          <w:rFonts w:ascii="Arial Narrow" w:eastAsiaTheme="minorEastAsia" w:hAnsi="Arial Narrow" w:cstheme="minorBidi"/>
          <w:b/>
          <w:sz w:val="20"/>
          <w:szCs w:val="20"/>
          <w:lang w:val="en-GB"/>
        </w:rPr>
      </w:pPr>
    </w:p>
    <w:p w14:paraId="1CC951C5" w14:textId="045E8A8D" w:rsidR="00C472DB" w:rsidRPr="0042092B" w:rsidRDefault="00353864" w:rsidP="003A679C">
      <w:pPr>
        <w:pStyle w:val="ListParagraph"/>
        <w:keepNext/>
        <w:spacing w:after="0"/>
        <w:ind w:left="432"/>
        <w:jc w:val="both"/>
        <w:rPr>
          <w:rFonts w:ascii="Arial Narrow" w:eastAsiaTheme="minorEastAsia" w:hAnsi="Arial Narrow" w:cstheme="minorBidi"/>
          <w:b/>
          <w:sz w:val="20"/>
          <w:szCs w:val="20"/>
          <w:lang w:val="en-GB"/>
          <w14:textOutline w14:w="9525" w14:cap="rnd" w14:cmpd="sng" w14:algn="ctr">
            <w14:solidFill>
              <w14:schemeClr w14:val="tx1"/>
            </w14:solidFill>
            <w14:prstDash w14:val="solid"/>
            <w14:bevel/>
          </w14:textOutline>
        </w:rPr>
      </w:pPr>
      <w:r>
        <w:rPr>
          <w:noProof/>
        </w:rPr>
        <w:drawing>
          <wp:inline distT="0" distB="0" distL="0" distR="0" wp14:anchorId="39F5E7F0" wp14:editId="58142F73">
            <wp:extent cx="5732145" cy="3380740"/>
            <wp:effectExtent l="0" t="0" r="1905" b="0"/>
            <wp:docPr id="1402664885" name="Chart 1">
              <a:extLst xmlns:a="http://schemas.openxmlformats.org/drawingml/2006/main">
                <a:ext uri="{FF2B5EF4-FFF2-40B4-BE49-F238E27FC236}">
                  <a16:creationId xmlns:a16="http://schemas.microsoft.com/office/drawing/2014/main" id="{7418F271-E75C-A09F-4E81-8864DFB20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F89D36" w14:textId="7087976E" w:rsidR="00AB12B8" w:rsidRPr="0021696E" w:rsidRDefault="00AB12B8" w:rsidP="003A679C">
      <w:pPr>
        <w:pStyle w:val="ListParagraph"/>
        <w:keepNext/>
        <w:spacing w:after="0"/>
        <w:ind w:left="432"/>
        <w:jc w:val="both"/>
        <w:rPr>
          <w:rFonts w:ascii="Arial Narrow" w:eastAsiaTheme="minorEastAsia" w:hAnsi="Arial Narrow" w:cstheme="minorBidi"/>
          <w:b/>
          <w:sz w:val="20"/>
          <w:szCs w:val="20"/>
          <w:lang w:val="en-GB"/>
        </w:rPr>
      </w:pPr>
      <w:r w:rsidRPr="0021696E">
        <w:rPr>
          <w:rFonts w:ascii="Arial Narrow" w:eastAsiaTheme="minorEastAsia" w:hAnsi="Arial Narrow" w:cstheme="minorBidi"/>
          <w:b/>
          <w:sz w:val="20"/>
          <w:szCs w:val="20"/>
          <w:lang w:val="en-GB"/>
        </w:rPr>
        <w:t xml:space="preserve">Figure </w:t>
      </w:r>
      <w:r w:rsidRPr="0021696E">
        <w:rPr>
          <w:rFonts w:ascii="Arial Narrow" w:eastAsiaTheme="minorEastAsia" w:hAnsi="Arial Narrow" w:cstheme="minorBidi"/>
          <w:b/>
          <w:sz w:val="20"/>
          <w:szCs w:val="20"/>
          <w:lang w:val="en-GB"/>
        </w:rPr>
        <w:fldChar w:fldCharType="begin"/>
      </w:r>
      <w:r w:rsidRPr="0021696E">
        <w:rPr>
          <w:rFonts w:ascii="Arial Narrow" w:eastAsiaTheme="minorEastAsia" w:hAnsi="Arial Narrow" w:cstheme="minorBidi"/>
          <w:b/>
          <w:sz w:val="20"/>
          <w:szCs w:val="20"/>
          <w:lang w:val="en-GB"/>
        </w:rPr>
        <w:instrText xml:space="preserve"> SEQ Figure \* ARABIC </w:instrText>
      </w:r>
      <w:r w:rsidRPr="0021696E">
        <w:rPr>
          <w:rFonts w:ascii="Arial Narrow" w:eastAsiaTheme="minorEastAsia" w:hAnsi="Arial Narrow" w:cstheme="minorBidi"/>
          <w:b/>
          <w:sz w:val="20"/>
          <w:szCs w:val="20"/>
          <w:lang w:val="en-GB"/>
        </w:rPr>
        <w:fldChar w:fldCharType="separate"/>
      </w:r>
      <w:r w:rsidR="3D2BEC23" w:rsidRPr="0021696E">
        <w:rPr>
          <w:rFonts w:ascii="Arial Narrow" w:eastAsiaTheme="minorEastAsia" w:hAnsi="Arial Narrow" w:cstheme="minorBidi"/>
          <w:b/>
          <w:sz w:val="20"/>
          <w:szCs w:val="20"/>
          <w:lang w:val="en-GB"/>
        </w:rPr>
        <w:t>5</w:t>
      </w:r>
      <w:r w:rsidRPr="0021696E">
        <w:rPr>
          <w:rFonts w:ascii="Arial Narrow" w:eastAsiaTheme="minorEastAsia" w:hAnsi="Arial Narrow" w:cstheme="minorBidi"/>
          <w:b/>
          <w:sz w:val="20"/>
          <w:szCs w:val="20"/>
          <w:lang w:val="en-GB"/>
        </w:rPr>
        <w:fldChar w:fldCharType="end"/>
      </w:r>
      <w:r w:rsidRPr="0021696E">
        <w:rPr>
          <w:rFonts w:ascii="Arial Narrow" w:eastAsiaTheme="minorEastAsia" w:hAnsi="Arial Narrow" w:cstheme="minorBidi"/>
          <w:b/>
          <w:sz w:val="20"/>
          <w:szCs w:val="20"/>
          <w:lang w:val="en-GB"/>
        </w:rPr>
        <w:t>: Global Supply Chain Pressure Index (standard deviations from average value)</w:t>
      </w:r>
    </w:p>
    <w:p w14:paraId="03B4095F" w14:textId="1BD3CD45" w:rsidR="00AB12B8" w:rsidRPr="00743814" w:rsidRDefault="00AB12B8" w:rsidP="003A679C">
      <w:pPr>
        <w:pStyle w:val="ListParagraph"/>
        <w:keepNext/>
        <w:spacing w:after="0"/>
        <w:ind w:left="432"/>
        <w:jc w:val="both"/>
        <w:rPr>
          <w:rFonts w:ascii="Arial Narrow" w:hAnsi="Arial Narrow"/>
          <w:b/>
          <w:lang w:val="en-GB"/>
        </w:rPr>
      </w:pPr>
      <w:r w:rsidRPr="0021696E">
        <w:rPr>
          <w:rFonts w:ascii="Arial Narrow" w:eastAsiaTheme="minorEastAsia" w:hAnsi="Arial Narrow" w:cstheme="minorBidi"/>
          <w:b/>
          <w:sz w:val="20"/>
          <w:szCs w:val="20"/>
          <w:lang w:val="en-GB"/>
        </w:rPr>
        <w:t>Data Source: Federal Reserve Bank of New York</w:t>
      </w:r>
      <w:r w:rsidR="00743814">
        <w:rPr>
          <w:rFonts w:ascii="Arial Narrow" w:hAnsi="Arial Narrow"/>
          <w:b/>
          <w:bCs/>
          <w:lang w:val="en-GB"/>
        </w:rPr>
        <w:tab/>
      </w:r>
    </w:p>
    <w:p w14:paraId="33E06DA4" w14:textId="27177867" w:rsidR="0D803B9D" w:rsidRDefault="0D803B9D" w:rsidP="00BE52D1">
      <w:pPr>
        <w:spacing w:after="0"/>
        <w:ind w:left="900"/>
        <w:jc w:val="both"/>
        <w:rPr>
          <w:rFonts w:ascii="Arial Narrow" w:hAnsi="Arial Narrow"/>
          <w:b/>
          <w:bCs/>
          <w:color w:val="44546A"/>
          <w:sz w:val="20"/>
          <w:szCs w:val="20"/>
          <w:lang w:val="en-GB"/>
        </w:rPr>
      </w:pPr>
    </w:p>
    <w:p w14:paraId="7D13E3FA" w14:textId="17A36844" w:rsidR="00AB12B8" w:rsidRPr="00AB12B8" w:rsidRDefault="00AB12B8" w:rsidP="003C0AD2">
      <w:pPr>
        <w:ind w:left="426"/>
        <w:contextualSpacing/>
        <w:jc w:val="both"/>
        <w:rPr>
          <w:rFonts w:ascii="Arial Narrow" w:hAnsi="Arial Narrow" w:cs="Arial"/>
          <w:lang w:val="en-GB"/>
        </w:rPr>
      </w:pPr>
      <w:r w:rsidRPr="0D803B9D">
        <w:rPr>
          <w:rFonts w:ascii="Arial Narrow" w:hAnsi="Arial Narrow" w:cs="Arial"/>
          <w:lang w:val="en-GB"/>
        </w:rPr>
        <w:t xml:space="preserve">Figures </w:t>
      </w:r>
      <w:r w:rsidR="61C300D5" w:rsidRPr="0D803B9D">
        <w:rPr>
          <w:rFonts w:ascii="Arial Narrow" w:hAnsi="Arial Narrow" w:cs="Arial"/>
          <w:lang w:val="en-GB"/>
        </w:rPr>
        <w:t>4</w:t>
      </w:r>
      <w:r w:rsidRPr="0D803B9D">
        <w:rPr>
          <w:rFonts w:ascii="Arial Narrow" w:hAnsi="Arial Narrow" w:cs="Arial"/>
          <w:lang w:val="en-GB"/>
        </w:rPr>
        <w:t xml:space="preserve"> and </w:t>
      </w:r>
      <w:r w:rsidR="03B097CF" w:rsidRPr="0D803B9D">
        <w:rPr>
          <w:rFonts w:ascii="Arial Narrow" w:hAnsi="Arial Narrow" w:cs="Arial"/>
          <w:lang w:val="en-GB"/>
        </w:rPr>
        <w:t>5</w:t>
      </w:r>
      <w:r w:rsidRPr="0D803B9D">
        <w:rPr>
          <w:rFonts w:ascii="Arial Narrow" w:hAnsi="Arial Narrow" w:cs="Arial"/>
          <w:lang w:val="en-GB"/>
        </w:rPr>
        <w:t xml:space="preserve"> corroborate the pattern in price level displayed in </w:t>
      </w:r>
      <w:r w:rsidR="00606D53">
        <w:rPr>
          <w:rFonts w:ascii="Arial Narrow" w:hAnsi="Arial Narrow" w:cs="Arial"/>
          <w:lang w:val="en-GB"/>
        </w:rPr>
        <w:t>Figure</w:t>
      </w:r>
      <w:r w:rsidRPr="0D803B9D">
        <w:rPr>
          <w:rFonts w:ascii="Arial Narrow" w:hAnsi="Arial Narrow" w:cs="Arial"/>
          <w:lang w:val="en-GB"/>
        </w:rPr>
        <w:t xml:space="preserve"> </w:t>
      </w:r>
      <w:r w:rsidR="5404A204" w:rsidRPr="0D803B9D">
        <w:rPr>
          <w:rFonts w:ascii="Arial Narrow" w:hAnsi="Arial Narrow" w:cs="Arial"/>
          <w:lang w:val="en-GB"/>
        </w:rPr>
        <w:t>3</w:t>
      </w:r>
      <w:r w:rsidRPr="0D803B9D">
        <w:rPr>
          <w:rFonts w:ascii="Arial Narrow" w:hAnsi="Arial Narrow" w:cs="Arial"/>
          <w:lang w:val="en-GB"/>
        </w:rPr>
        <w:t xml:space="preserve">. </w:t>
      </w:r>
      <w:r w:rsidR="41DB61F6" w:rsidRPr="0D803B9D">
        <w:rPr>
          <w:rFonts w:ascii="Arial Narrow" w:hAnsi="Arial Narrow" w:cs="Arial"/>
          <w:lang w:val="en-GB"/>
        </w:rPr>
        <w:t>H</w:t>
      </w:r>
      <w:r w:rsidRPr="0D803B9D">
        <w:rPr>
          <w:rFonts w:ascii="Arial Narrow" w:hAnsi="Arial Narrow" w:cs="Arial"/>
          <w:lang w:val="en-GB"/>
        </w:rPr>
        <w:t xml:space="preserve">ealth insurance and the health component of CPI are now growing faster than headline CPI. Meaning that costs emanating from supply chain pressures are now priced into health sector price levels. </w:t>
      </w:r>
    </w:p>
    <w:p w14:paraId="1980B3A7" w14:textId="4B4E5644" w:rsidR="0D803B9D" w:rsidRDefault="0D803B9D" w:rsidP="00BE52D1">
      <w:pPr>
        <w:spacing w:after="0"/>
        <w:ind w:left="900"/>
        <w:jc w:val="both"/>
        <w:rPr>
          <w:rFonts w:ascii="Arial Narrow" w:hAnsi="Arial Narrow" w:cs="Arial"/>
          <w:lang w:val="en-GB"/>
        </w:rPr>
      </w:pPr>
    </w:p>
    <w:p w14:paraId="6536E9A2" w14:textId="7FCFC824" w:rsidR="004325F1" w:rsidRPr="005573E8" w:rsidRDefault="00DB4B3E" w:rsidP="00D87673">
      <w:pPr>
        <w:pStyle w:val="ListParagraph"/>
        <w:numPr>
          <w:ilvl w:val="1"/>
          <w:numId w:val="7"/>
        </w:numPr>
        <w:jc w:val="both"/>
        <w:rPr>
          <w:rFonts w:ascii="Arial Narrow" w:hAnsi="Arial Narrow"/>
          <w:b/>
          <w:bCs/>
          <w:lang w:val="en-GB"/>
        </w:rPr>
      </w:pPr>
      <w:r w:rsidRPr="0D803B9D">
        <w:rPr>
          <w:rFonts w:ascii="Arial Narrow" w:eastAsia="Times New Roman" w:hAnsi="Arial Narrow"/>
          <w:b/>
          <w:bCs/>
          <w:lang w:val="en-GB" w:eastAsia="en-ZA"/>
        </w:rPr>
        <w:t>Healthcare u</w:t>
      </w:r>
      <w:r w:rsidR="00EB2D30" w:rsidRPr="0D803B9D">
        <w:rPr>
          <w:rFonts w:ascii="Arial Narrow" w:eastAsia="Times New Roman" w:hAnsi="Arial Narrow"/>
          <w:b/>
          <w:bCs/>
          <w:lang w:val="en-GB" w:eastAsia="en-ZA"/>
        </w:rPr>
        <w:t xml:space="preserve">tilisation </w:t>
      </w:r>
      <w:r w:rsidRPr="0D803B9D">
        <w:rPr>
          <w:rFonts w:ascii="Arial Narrow" w:eastAsia="Times New Roman" w:hAnsi="Arial Narrow"/>
          <w:b/>
          <w:bCs/>
          <w:lang w:val="en-GB" w:eastAsia="en-ZA"/>
        </w:rPr>
        <w:t>assumptions</w:t>
      </w:r>
    </w:p>
    <w:p w14:paraId="766FF16C" w14:textId="6452DC0B" w:rsidR="00DC623B" w:rsidRDefault="00377AE2" w:rsidP="006A6F3B">
      <w:pPr>
        <w:ind w:left="426"/>
        <w:contextualSpacing/>
        <w:jc w:val="both"/>
        <w:rPr>
          <w:rFonts w:ascii="Arial Narrow" w:hAnsi="Arial Narrow"/>
          <w:color w:val="000000" w:themeColor="text1"/>
          <w:lang w:val="en-GB" w:eastAsia="en-ZA"/>
        </w:rPr>
      </w:pPr>
      <w:r>
        <w:rPr>
          <w:rFonts w:ascii="Arial Narrow" w:hAnsi="Arial Narrow"/>
          <w:color w:val="000000" w:themeColor="text1"/>
          <w:lang w:val="en-GB" w:eastAsia="en-ZA"/>
        </w:rPr>
        <w:t xml:space="preserve">The utilisation of healthcare services trajectory </w:t>
      </w:r>
      <w:r w:rsidR="00E60DAF">
        <w:rPr>
          <w:rFonts w:ascii="Arial Narrow" w:hAnsi="Arial Narrow"/>
          <w:color w:val="000000" w:themeColor="text1"/>
          <w:lang w:val="en-GB" w:eastAsia="en-ZA"/>
        </w:rPr>
        <w:t xml:space="preserve">was impacted </w:t>
      </w:r>
      <w:r w:rsidR="00F235D1">
        <w:rPr>
          <w:rFonts w:ascii="Arial Narrow" w:hAnsi="Arial Narrow"/>
          <w:color w:val="000000" w:themeColor="text1"/>
          <w:lang w:val="en-GB" w:eastAsia="en-ZA"/>
        </w:rPr>
        <w:t xml:space="preserve">severely </w:t>
      </w:r>
      <w:r w:rsidR="00E60DAF">
        <w:rPr>
          <w:rFonts w:ascii="Arial Narrow" w:hAnsi="Arial Narrow"/>
          <w:color w:val="000000" w:themeColor="text1"/>
          <w:lang w:val="en-GB" w:eastAsia="en-ZA"/>
        </w:rPr>
        <w:t>in the past two years</w:t>
      </w:r>
      <w:r w:rsidR="00DA5912">
        <w:rPr>
          <w:rFonts w:ascii="Arial Narrow" w:hAnsi="Arial Narrow"/>
          <w:color w:val="000000" w:themeColor="text1"/>
          <w:lang w:val="en-GB" w:eastAsia="en-ZA"/>
        </w:rPr>
        <w:t xml:space="preserve"> with a significant decrease in actual utili</w:t>
      </w:r>
      <w:r w:rsidR="00DE577C">
        <w:rPr>
          <w:rFonts w:ascii="Arial Narrow" w:hAnsi="Arial Narrow"/>
          <w:color w:val="000000" w:themeColor="text1"/>
          <w:lang w:val="en-GB" w:eastAsia="en-ZA"/>
        </w:rPr>
        <w:t>s</w:t>
      </w:r>
      <w:r w:rsidR="00DA5912">
        <w:rPr>
          <w:rFonts w:ascii="Arial Narrow" w:hAnsi="Arial Narrow"/>
          <w:color w:val="000000" w:themeColor="text1"/>
          <w:lang w:val="en-GB" w:eastAsia="en-ZA"/>
        </w:rPr>
        <w:t>ation</w:t>
      </w:r>
      <w:r w:rsidR="00F235D1">
        <w:rPr>
          <w:rFonts w:ascii="Arial Narrow" w:hAnsi="Arial Narrow"/>
          <w:color w:val="000000" w:themeColor="text1"/>
          <w:lang w:val="en-GB" w:eastAsia="en-ZA"/>
        </w:rPr>
        <w:t xml:space="preserve"> in the aftermath</w:t>
      </w:r>
      <w:r w:rsidR="0078722D">
        <w:rPr>
          <w:rFonts w:ascii="Arial Narrow" w:hAnsi="Arial Narrow"/>
          <w:color w:val="000000" w:themeColor="text1"/>
          <w:lang w:val="en-GB" w:eastAsia="en-ZA"/>
        </w:rPr>
        <w:t xml:space="preserve"> </w:t>
      </w:r>
      <w:r w:rsidR="00E60DAF">
        <w:rPr>
          <w:rFonts w:ascii="Arial Narrow" w:hAnsi="Arial Narrow"/>
          <w:color w:val="000000" w:themeColor="text1"/>
          <w:lang w:val="en-GB" w:eastAsia="en-ZA"/>
        </w:rPr>
        <w:t xml:space="preserve">of the </w:t>
      </w:r>
      <w:r w:rsidR="00536AEA">
        <w:rPr>
          <w:rFonts w:ascii="Arial Narrow" w:hAnsi="Arial Narrow"/>
          <w:color w:val="000000" w:themeColor="text1"/>
          <w:lang w:val="en-GB" w:eastAsia="en-ZA"/>
        </w:rPr>
        <w:t>COVID</w:t>
      </w:r>
      <w:r w:rsidR="00EC3C80">
        <w:rPr>
          <w:rFonts w:ascii="Arial Narrow" w:hAnsi="Arial Narrow"/>
          <w:color w:val="000000" w:themeColor="text1"/>
          <w:lang w:val="en-GB" w:eastAsia="en-ZA"/>
        </w:rPr>
        <w:t>-19 pandemic</w:t>
      </w:r>
      <w:r w:rsidR="00C1457C">
        <w:rPr>
          <w:rFonts w:ascii="Arial Narrow" w:hAnsi="Arial Narrow"/>
          <w:color w:val="000000" w:themeColor="text1"/>
          <w:lang w:val="en-GB" w:eastAsia="en-ZA"/>
        </w:rPr>
        <w:t xml:space="preserve">. </w:t>
      </w:r>
      <w:r w:rsidR="00214C8F">
        <w:rPr>
          <w:rFonts w:ascii="Arial Narrow" w:hAnsi="Arial Narrow"/>
          <w:color w:val="000000" w:themeColor="text1"/>
          <w:lang w:val="en-GB" w:eastAsia="en-ZA"/>
        </w:rPr>
        <w:t>While emerging trends points towards a normalisation</w:t>
      </w:r>
      <w:r w:rsidR="001D7835">
        <w:rPr>
          <w:rFonts w:ascii="Arial Narrow" w:hAnsi="Arial Narrow"/>
          <w:color w:val="000000" w:themeColor="text1"/>
          <w:lang w:val="en-GB" w:eastAsia="en-ZA"/>
        </w:rPr>
        <w:t xml:space="preserve"> path</w:t>
      </w:r>
      <w:r w:rsidR="00214C8F">
        <w:rPr>
          <w:rFonts w:ascii="Arial Narrow" w:hAnsi="Arial Narrow"/>
          <w:color w:val="000000" w:themeColor="text1"/>
          <w:lang w:val="en-GB" w:eastAsia="en-ZA"/>
        </w:rPr>
        <w:t xml:space="preserve"> and </w:t>
      </w:r>
      <w:r w:rsidR="00090626">
        <w:rPr>
          <w:rFonts w:ascii="Arial Narrow" w:hAnsi="Arial Narrow"/>
          <w:color w:val="000000" w:themeColor="text1"/>
          <w:lang w:val="en-GB" w:eastAsia="en-ZA"/>
        </w:rPr>
        <w:t xml:space="preserve">return </w:t>
      </w:r>
      <w:r w:rsidR="00214C8F">
        <w:rPr>
          <w:rFonts w:ascii="Arial Narrow" w:hAnsi="Arial Narrow"/>
          <w:color w:val="000000" w:themeColor="text1"/>
          <w:lang w:val="en-GB" w:eastAsia="en-ZA"/>
        </w:rPr>
        <w:t>to the pre-</w:t>
      </w:r>
      <w:r w:rsidR="005F1DAF">
        <w:rPr>
          <w:rFonts w:ascii="Arial Narrow" w:hAnsi="Arial Narrow"/>
          <w:color w:val="000000" w:themeColor="text1"/>
          <w:lang w:val="en-GB" w:eastAsia="en-ZA"/>
        </w:rPr>
        <w:t>pandemic health</w:t>
      </w:r>
      <w:r w:rsidR="00C548F5">
        <w:rPr>
          <w:rFonts w:ascii="Arial Narrow" w:hAnsi="Arial Narrow"/>
          <w:color w:val="000000" w:themeColor="text1"/>
          <w:lang w:val="en-GB" w:eastAsia="en-ZA"/>
        </w:rPr>
        <w:t>-</w:t>
      </w:r>
      <w:r w:rsidR="005F1DAF">
        <w:rPr>
          <w:rFonts w:ascii="Arial Narrow" w:hAnsi="Arial Narrow"/>
          <w:color w:val="000000" w:themeColor="text1"/>
          <w:lang w:val="en-GB" w:eastAsia="en-ZA"/>
        </w:rPr>
        <w:t xml:space="preserve">seeking behaviour, </w:t>
      </w:r>
      <w:r w:rsidR="00A75F37">
        <w:rPr>
          <w:rFonts w:ascii="Arial Narrow" w:hAnsi="Arial Narrow"/>
          <w:color w:val="000000" w:themeColor="text1"/>
          <w:lang w:val="en-GB" w:eastAsia="en-ZA"/>
        </w:rPr>
        <w:t xml:space="preserve">there is still </w:t>
      </w:r>
      <w:r w:rsidR="008E51A6">
        <w:rPr>
          <w:rFonts w:ascii="Arial Narrow" w:hAnsi="Arial Narrow"/>
          <w:color w:val="000000" w:themeColor="text1"/>
          <w:lang w:val="en-GB" w:eastAsia="en-ZA"/>
        </w:rPr>
        <w:t xml:space="preserve">a </w:t>
      </w:r>
      <w:r w:rsidR="00A75F37">
        <w:rPr>
          <w:rFonts w:ascii="Arial Narrow" w:hAnsi="Arial Narrow"/>
          <w:color w:val="000000" w:themeColor="text1"/>
          <w:lang w:val="en-GB" w:eastAsia="en-ZA"/>
        </w:rPr>
        <w:t>high degree of uncertainty about a clear post-</w:t>
      </w:r>
      <w:r w:rsidR="00536AEA">
        <w:rPr>
          <w:rFonts w:ascii="Arial Narrow" w:hAnsi="Arial Narrow"/>
          <w:color w:val="000000" w:themeColor="text1"/>
          <w:lang w:val="en-GB" w:eastAsia="en-ZA"/>
        </w:rPr>
        <w:t>COVID</w:t>
      </w:r>
      <w:r w:rsidR="00B62963">
        <w:rPr>
          <w:rFonts w:ascii="Arial Narrow" w:hAnsi="Arial Narrow"/>
          <w:color w:val="000000" w:themeColor="text1"/>
          <w:lang w:val="en-GB" w:eastAsia="en-ZA"/>
        </w:rPr>
        <w:t>-</w:t>
      </w:r>
      <w:r w:rsidR="00A75F37">
        <w:rPr>
          <w:rFonts w:ascii="Arial Narrow" w:hAnsi="Arial Narrow"/>
          <w:color w:val="000000" w:themeColor="text1"/>
          <w:lang w:val="en-GB" w:eastAsia="en-ZA"/>
        </w:rPr>
        <w:t>19 utilisation</w:t>
      </w:r>
      <w:r w:rsidR="005F1DAF">
        <w:rPr>
          <w:rFonts w:ascii="Arial Narrow" w:hAnsi="Arial Narrow"/>
          <w:color w:val="000000" w:themeColor="text1"/>
          <w:lang w:val="en-GB" w:eastAsia="en-ZA"/>
        </w:rPr>
        <w:t xml:space="preserve"> </w:t>
      </w:r>
      <w:proofErr w:type="gramStart"/>
      <w:r w:rsidR="005F1DAF">
        <w:rPr>
          <w:rFonts w:ascii="Arial Narrow" w:hAnsi="Arial Narrow"/>
          <w:color w:val="000000" w:themeColor="text1"/>
          <w:lang w:val="en-GB" w:eastAsia="en-ZA"/>
        </w:rPr>
        <w:t>trend</w:t>
      </w:r>
      <w:r w:rsidR="00286E65">
        <w:rPr>
          <w:rFonts w:ascii="Arial Narrow" w:hAnsi="Arial Narrow"/>
          <w:color w:val="000000" w:themeColor="text1"/>
          <w:lang w:val="en-GB" w:eastAsia="en-ZA"/>
        </w:rPr>
        <w:t>s</w:t>
      </w:r>
      <w:proofErr w:type="gramEnd"/>
      <w:r w:rsidR="00B73E15">
        <w:rPr>
          <w:rFonts w:ascii="Arial Narrow" w:hAnsi="Arial Narrow"/>
          <w:color w:val="000000" w:themeColor="text1"/>
          <w:lang w:val="en-GB" w:eastAsia="en-ZA"/>
        </w:rPr>
        <w:t xml:space="preserve">. </w:t>
      </w:r>
      <w:r w:rsidR="00CC06A0" w:rsidRPr="001D277E">
        <w:rPr>
          <w:rFonts w:ascii="Arial Narrow" w:hAnsi="Arial Narrow"/>
          <w:color w:val="000000" w:themeColor="text1"/>
          <w:lang w:val="en-GB" w:eastAsia="en-ZA"/>
        </w:rPr>
        <w:t xml:space="preserve">Medical schemes must </w:t>
      </w:r>
      <w:r w:rsidR="001D277E">
        <w:rPr>
          <w:rFonts w:ascii="Arial Narrow" w:hAnsi="Arial Narrow"/>
          <w:color w:val="000000" w:themeColor="text1"/>
          <w:lang w:val="en-GB" w:eastAsia="en-ZA"/>
        </w:rPr>
        <w:t xml:space="preserve">therefore </w:t>
      </w:r>
      <w:r w:rsidR="00CC06A0" w:rsidRPr="001D277E">
        <w:rPr>
          <w:rFonts w:ascii="Arial Narrow" w:hAnsi="Arial Narrow"/>
          <w:color w:val="000000" w:themeColor="text1"/>
          <w:lang w:val="en-GB" w:eastAsia="en-ZA"/>
        </w:rPr>
        <w:t xml:space="preserve">assume reasonable utilisation estimates for 2024 </w:t>
      </w:r>
      <w:r w:rsidR="00DC623B">
        <w:rPr>
          <w:rFonts w:ascii="Arial Narrow" w:hAnsi="Arial Narrow"/>
          <w:color w:val="000000" w:themeColor="text1"/>
          <w:lang w:val="en-GB" w:eastAsia="en-ZA"/>
        </w:rPr>
        <w:t>based on</w:t>
      </w:r>
      <w:r w:rsidR="008016B0">
        <w:rPr>
          <w:rFonts w:ascii="Arial Narrow" w:hAnsi="Arial Narrow"/>
          <w:color w:val="000000" w:themeColor="text1"/>
          <w:lang w:val="en-GB" w:eastAsia="en-ZA"/>
        </w:rPr>
        <w:t xml:space="preserve"> </w:t>
      </w:r>
      <w:r w:rsidR="00085ED4">
        <w:rPr>
          <w:rFonts w:ascii="Arial Narrow" w:hAnsi="Arial Narrow"/>
          <w:color w:val="000000" w:themeColor="text1"/>
          <w:lang w:val="en-GB" w:eastAsia="en-ZA"/>
        </w:rPr>
        <w:t>historical utili</w:t>
      </w:r>
      <w:r w:rsidR="008016B0">
        <w:rPr>
          <w:rFonts w:ascii="Arial Narrow" w:hAnsi="Arial Narrow"/>
          <w:color w:val="000000" w:themeColor="text1"/>
          <w:lang w:val="en-GB" w:eastAsia="en-ZA"/>
        </w:rPr>
        <w:t>s</w:t>
      </w:r>
      <w:r w:rsidR="00085ED4">
        <w:rPr>
          <w:rFonts w:ascii="Arial Narrow" w:hAnsi="Arial Narrow"/>
          <w:color w:val="000000" w:themeColor="text1"/>
          <w:lang w:val="en-GB" w:eastAsia="en-ZA"/>
        </w:rPr>
        <w:t xml:space="preserve">ation </w:t>
      </w:r>
      <w:r w:rsidR="008016B0">
        <w:rPr>
          <w:rFonts w:ascii="Arial Narrow" w:hAnsi="Arial Narrow"/>
          <w:color w:val="000000" w:themeColor="text1"/>
          <w:lang w:val="en-GB" w:eastAsia="en-ZA"/>
        </w:rPr>
        <w:t xml:space="preserve">data </w:t>
      </w:r>
      <w:r w:rsidR="00085ED4">
        <w:rPr>
          <w:rFonts w:ascii="Arial Narrow" w:hAnsi="Arial Narrow"/>
          <w:color w:val="000000" w:themeColor="text1"/>
          <w:lang w:val="en-GB" w:eastAsia="en-ZA"/>
        </w:rPr>
        <w:t>pre-</w:t>
      </w:r>
      <w:r w:rsidR="00DC623B">
        <w:rPr>
          <w:rFonts w:ascii="Arial Narrow" w:hAnsi="Arial Narrow"/>
          <w:color w:val="000000" w:themeColor="text1"/>
          <w:lang w:val="en-GB" w:eastAsia="en-ZA"/>
        </w:rPr>
        <w:t>pandemic,</w:t>
      </w:r>
      <w:r w:rsidR="00F15407" w:rsidRPr="00F15407">
        <w:rPr>
          <w:rFonts w:ascii="Arial Narrow" w:hAnsi="Arial Narrow"/>
          <w:color w:val="000000" w:themeColor="text1"/>
          <w:lang w:val="en-GB" w:eastAsia="en-ZA"/>
        </w:rPr>
        <w:t xml:space="preserve"> </w:t>
      </w:r>
      <w:r w:rsidR="00F15407">
        <w:rPr>
          <w:rFonts w:ascii="Arial Narrow" w:hAnsi="Arial Narrow"/>
          <w:color w:val="000000" w:themeColor="text1"/>
          <w:lang w:val="en-GB" w:eastAsia="en-ZA"/>
        </w:rPr>
        <w:t>the scheme’s current demographic profile</w:t>
      </w:r>
      <w:r w:rsidR="00DC623B">
        <w:rPr>
          <w:rFonts w:ascii="Arial Narrow" w:hAnsi="Arial Narrow"/>
          <w:color w:val="000000" w:themeColor="text1"/>
          <w:lang w:val="en-GB" w:eastAsia="en-ZA"/>
        </w:rPr>
        <w:t xml:space="preserve"> as well as more recent </w:t>
      </w:r>
      <w:r w:rsidR="00F15407">
        <w:rPr>
          <w:rFonts w:ascii="Arial Narrow" w:hAnsi="Arial Narrow"/>
          <w:color w:val="000000" w:themeColor="text1"/>
          <w:lang w:val="en-GB" w:eastAsia="en-ZA"/>
        </w:rPr>
        <w:t xml:space="preserve">available </w:t>
      </w:r>
      <w:r w:rsidR="00DC623B">
        <w:rPr>
          <w:rFonts w:ascii="Arial Narrow" w:hAnsi="Arial Narrow"/>
          <w:color w:val="000000" w:themeColor="text1"/>
          <w:lang w:val="en-GB" w:eastAsia="en-ZA"/>
        </w:rPr>
        <w:t>actual claims data.</w:t>
      </w:r>
    </w:p>
    <w:p w14:paraId="3B9145B7" w14:textId="77777777" w:rsidR="00DC623B" w:rsidRDefault="00DC623B" w:rsidP="00A44D3F">
      <w:pPr>
        <w:ind w:left="426"/>
        <w:contextualSpacing/>
        <w:jc w:val="both"/>
        <w:rPr>
          <w:rFonts w:ascii="Arial Narrow" w:hAnsi="Arial Narrow"/>
          <w:color w:val="000000" w:themeColor="text1"/>
          <w:lang w:val="en-GB" w:eastAsia="en-ZA"/>
        </w:rPr>
      </w:pPr>
    </w:p>
    <w:p w14:paraId="02E8504A" w14:textId="5BDF7988" w:rsidR="00137D5E" w:rsidRDefault="00137D5E" w:rsidP="00137D5E">
      <w:pPr>
        <w:ind w:left="426"/>
        <w:contextualSpacing/>
        <w:jc w:val="both"/>
        <w:rPr>
          <w:rFonts w:ascii="Arial Narrow" w:hAnsi="Arial Narrow"/>
          <w:color w:val="000000" w:themeColor="text1"/>
          <w:lang w:val="en-GB" w:eastAsia="en-ZA"/>
        </w:rPr>
      </w:pPr>
      <w:r w:rsidRPr="00137D5E">
        <w:rPr>
          <w:rFonts w:ascii="Arial Narrow" w:hAnsi="Arial Narrow"/>
          <w:color w:val="000000" w:themeColor="text1"/>
          <w:lang w:val="en-GB" w:eastAsia="en-ZA"/>
        </w:rPr>
        <w:t xml:space="preserve">Cost increase assumptions analysis for </w:t>
      </w:r>
      <w:r>
        <w:rPr>
          <w:rFonts w:ascii="Arial Narrow" w:hAnsi="Arial Narrow"/>
          <w:color w:val="000000" w:themeColor="text1"/>
          <w:lang w:val="en-GB" w:eastAsia="en-ZA"/>
        </w:rPr>
        <w:t>2023</w:t>
      </w:r>
      <w:r w:rsidRPr="00137D5E">
        <w:rPr>
          <w:rFonts w:ascii="Arial Narrow" w:hAnsi="Arial Narrow"/>
          <w:color w:val="000000" w:themeColor="text1"/>
          <w:lang w:val="en-GB" w:eastAsia="en-ZA"/>
        </w:rPr>
        <w:t xml:space="preserve"> showed that the combination of demographic and utilisation factors are projected to add about 3.</w:t>
      </w:r>
      <w:r w:rsidR="007037DA">
        <w:rPr>
          <w:rFonts w:ascii="Arial Narrow" w:hAnsi="Arial Narrow"/>
          <w:color w:val="000000" w:themeColor="text1"/>
          <w:lang w:val="en-GB" w:eastAsia="en-ZA"/>
        </w:rPr>
        <w:t>2</w:t>
      </w:r>
      <w:r w:rsidRPr="00137D5E">
        <w:rPr>
          <w:rFonts w:ascii="Arial Narrow" w:hAnsi="Arial Narrow"/>
          <w:color w:val="000000" w:themeColor="text1"/>
          <w:lang w:val="en-GB" w:eastAsia="en-ZA"/>
        </w:rPr>
        <w:t xml:space="preserve"> percentage points to the total cost increases for medical schemes. This projection is </w:t>
      </w:r>
      <w:r w:rsidR="00CF5315">
        <w:rPr>
          <w:rFonts w:ascii="Arial Narrow" w:hAnsi="Arial Narrow"/>
          <w:color w:val="000000" w:themeColor="text1"/>
          <w:lang w:val="en-GB" w:eastAsia="en-ZA"/>
        </w:rPr>
        <w:t>lower</w:t>
      </w:r>
      <w:r w:rsidRPr="00137D5E">
        <w:rPr>
          <w:rFonts w:ascii="Arial Narrow" w:hAnsi="Arial Narrow"/>
          <w:color w:val="000000" w:themeColor="text1"/>
          <w:lang w:val="en-GB" w:eastAsia="en-ZA"/>
        </w:rPr>
        <w:t xml:space="preserve"> than </w:t>
      </w:r>
      <w:r w:rsidR="00CF5315">
        <w:rPr>
          <w:rFonts w:ascii="Arial Narrow" w:hAnsi="Arial Narrow"/>
          <w:color w:val="000000" w:themeColor="text1"/>
          <w:lang w:val="en-GB" w:eastAsia="en-ZA"/>
        </w:rPr>
        <w:t xml:space="preserve">the </w:t>
      </w:r>
      <w:r w:rsidRPr="00137D5E">
        <w:rPr>
          <w:rFonts w:ascii="Arial Narrow" w:hAnsi="Arial Narrow"/>
          <w:color w:val="000000" w:themeColor="text1"/>
          <w:lang w:val="en-GB" w:eastAsia="en-ZA"/>
        </w:rPr>
        <w:t>3.</w:t>
      </w:r>
      <w:r w:rsidR="00CF5315">
        <w:rPr>
          <w:rFonts w:ascii="Arial Narrow" w:hAnsi="Arial Narrow"/>
          <w:color w:val="000000" w:themeColor="text1"/>
          <w:lang w:val="en-GB" w:eastAsia="en-ZA"/>
        </w:rPr>
        <w:t>8</w:t>
      </w:r>
      <w:r w:rsidR="00BA2EFF" w:rsidRPr="00BA2EFF">
        <w:rPr>
          <w:rFonts w:ascii="Arial Narrow" w:hAnsi="Arial Narrow"/>
          <w:color w:val="000000" w:themeColor="text1"/>
          <w:lang w:val="en-GB" w:eastAsia="en-ZA"/>
        </w:rPr>
        <w:t xml:space="preserve"> </w:t>
      </w:r>
      <w:r w:rsidR="00BA2EFF" w:rsidRPr="00137D5E">
        <w:rPr>
          <w:rFonts w:ascii="Arial Narrow" w:hAnsi="Arial Narrow"/>
          <w:color w:val="000000" w:themeColor="text1"/>
          <w:lang w:val="en-GB" w:eastAsia="en-ZA"/>
        </w:rPr>
        <w:t>percentage points</w:t>
      </w:r>
      <w:r w:rsidRPr="00137D5E">
        <w:rPr>
          <w:rFonts w:ascii="Arial Narrow" w:hAnsi="Arial Narrow"/>
          <w:color w:val="000000" w:themeColor="text1"/>
          <w:lang w:val="en-GB" w:eastAsia="en-ZA"/>
        </w:rPr>
        <w:t xml:space="preserve"> estimate for the 20</w:t>
      </w:r>
      <w:r w:rsidR="00CF5315">
        <w:rPr>
          <w:rFonts w:ascii="Arial Narrow" w:hAnsi="Arial Narrow"/>
          <w:color w:val="000000" w:themeColor="text1"/>
          <w:lang w:val="en-GB" w:eastAsia="en-ZA"/>
        </w:rPr>
        <w:t>22</w:t>
      </w:r>
      <w:r w:rsidRPr="00137D5E">
        <w:rPr>
          <w:rFonts w:ascii="Arial Narrow" w:hAnsi="Arial Narrow"/>
          <w:color w:val="000000" w:themeColor="text1"/>
          <w:lang w:val="en-GB" w:eastAsia="en-ZA"/>
        </w:rPr>
        <w:t xml:space="preserve"> benefit year. As was the case in the previous year, the CMS remains concerned that the utilisation estimates submitted by the schemes do not always correlate with the changes in </w:t>
      </w:r>
      <w:r w:rsidR="00C548F5">
        <w:rPr>
          <w:rFonts w:ascii="Arial Narrow" w:hAnsi="Arial Narrow"/>
          <w:color w:val="000000" w:themeColor="text1"/>
          <w:lang w:val="en-GB" w:eastAsia="en-ZA"/>
        </w:rPr>
        <w:t xml:space="preserve">the </w:t>
      </w:r>
      <w:r w:rsidRPr="00137D5E">
        <w:rPr>
          <w:rFonts w:ascii="Arial Narrow" w:hAnsi="Arial Narrow"/>
          <w:color w:val="000000" w:themeColor="text1"/>
          <w:lang w:val="en-GB" w:eastAsia="en-ZA"/>
        </w:rPr>
        <w:t>demographic and risk profile of a scheme. Medical schemes are requested to submit a comprehensive analysis of these factors when motivating for their respective cost increase assumptions (Appendix D).</w:t>
      </w:r>
    </w:p>
    <w:p w14:paraId="50209733" w14:textId="6E28EBAD" w:rsidR="0D803B9D" w:rsidRPr="00A44D3F" w:rsidRDefault="0D803B9D" w:rsidP="00A44D3F">
      <w:pPr>
        <w:ind w:left="426"/>
        <w:contextualSpacing/>
        <w:jc w:val="both"/>
        <w:rPr>
          <w:rFonts w:ascii="Arial Narrow" w:hAnsi="Arial Narrow"/>
          <w:color w:val="000000" w:themeColor="text1"/>
          <w:lang w:val="en-GB" w:eastAsia="en-ZA"/>
        </w:rPr>
      </w:pPr>
    </w:p>
    <w:p w14:paraId="601F0374" w14:textId="208FFC00" w:rsidR="0B129EF6" w:rsidRPr="00A44D3F" w:rsidRDefault="0B129EF6" w:rsidP="00A44D3F">
      <w:pPr>
        <w:spacing w:after="0"/>
        <w:jc w:val="both"/>
        <w:rPr>
          <w:rFonts w:ascii="Arial Narrow" w:hAnsi="Arial Narrow"/>
          <w:b/>
        </w:rPr>
      </w:pPr>
      <w:r w:rsidRPr="00A44D3F">
        <w:rPr>
          <w:rFonts w:ascii="Arial Narrow" w:hAnsi="Arial Narrow"/>
          <w:b/>
        </w:rPr>
        <w:lastRenderedPageBreak/>
        <w:t xml:space="preserve">Table 1: </w:t>
      </w:r>
      <w:r w:rsidR="252DC0C4" w:rsidRPr="00A44D3F">
        <w:rPr>
          <w:rFonts w:ascii="Arial Narrow" w:hAnsi="Arial Narrow"/>
          <w:b/>
        </w:rPr>
        <w:t>Utilisation trends vs headline inflation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632"/>
        <w:gridCol w:w="632"/>
        <w:gridCol w:w="632"/>
        <w:gridCol w:w="632"/>
        <w:gridCol w:w="632"/>
        <w:gridCol w:w="632"/>
        <w:gridCol w:w="632"/>
        <w:gridCol w:w="631"/>
        <w:gridCol w:w="631"/>
        <w:gridCol w:w="631"/>
        <w:gridCol w:w="631"/>
        <w:gridCol w:w="631"/>
      </w:tblGrid>
      <w:tr w:rsidR="00D359AC" w:rsidRPr="00126970" w14:paraId="71900DA1" w14:textId="18B5EA3C" w:rsidTr="00FB76B9">
        <w:trPr>
          <w:trHeight w:val="341"/>
        </w:trPr>
        <w:tc>
          <w:tcPr>
            <w:tcW w:w="797" w:type="pct"/>
            <w:shd w:val="clear" w:color="auto" w:fill="1F3864"/>
            <w:noWrap/>
            <w:vAlign w:val="center"/>
            <w:hideMark/>
          </w:tcPr>
          <w:p w14:paraId="55FCD7DC" w14:textId="77777777" w:rsidR="00A13C27" w:rsidRPr="00FB76B9" w:rsidRDefault="00A13C27" w:rsidP="00BE52D1">
            <w:pPr>
              <w:spacing w:after="0"/>
              <w:jc w:val="both"/>
              <w:rPr>
                <w:rFonts w:ascii="Arial Narrow" w:eastAsia="Times New Roman" w:hAnsi="Arial Narrow" w:cs="Calibri"/>
                <w:b/>
                <w:color w:val="E7E6E6"/>
                <w:sz w:val="20"/>
                <w:szCs w:val="20"/>
              </w:rPr>
            </w:pPr>
            <w:bookmarkStart w:id="4" w:name="RANGE!D54"/>
            <w:r w:rsidRPr="00FB76B9">
              <w:rPr>
                <w:rFonts w:ascii="Arial Narrow" w:eastAsia="Times New Roman" w:hAnsi="Arial Narrow" w:cs="Calibri"/>
                <w:b/>
                <w:color w:val="E7E6E6"/>
                <w:sz w:val="20"/>
                <w:szCs w:val="20"/>
              </w:rPr>
              <w:t> </w:t>
            </w:r>
            <w:bookmarkEnd w:id="4"/>
          </w:p>
        </w:tc>
        <w:tc>
          <w:tcPr>
            <w:tcW w:w="350" w:type="pct"/>
            <w:shd w:val="clear" w:color="auto" w:fill="1F3864"/>
            <w:vAlign w:val="center"/>
            <w:hideMark/>
          </w:tcPr>
          <w:p w14:paraId="5FF2008A"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2012</w:t>
            </w:r>
          </w:p>
        </w:tc>
        <w:tc>
          <w:tcPr>
            <w:tcW w:w="350" w:type="pct"/>
            <w:shd w:val="clear" w:color="auto" w:fill="1F3864"/>
            <w:noWrap/>
            <w:vAlign w:val="center"/>
            <w:hideMark/>
          </w:tcPr>
          <w:p w14:paraId="620BA45E"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2013</w:t>
            </w:r>
          </w:p>
        </w:tc>
        <w:tc>
          <w:tcPr>
            <w:tcW w:w="350" w:type="pct"/>
            <w:shd w:val="clear" w:color="auto" w:fill="1F3864"/>
            <w:noWrap/>
            <w:vAlign w:val="center"/>
            <w:hideMark/>
          </w:tcPr>
          <w:p w14:paraId="73AD9C1D"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2014</w:t>
            </w:r>
          </w:p>
        </w:tc>
        <w:tc>
          <w:tcPr>
            <w:tcW w:w="350" w:type="pct"/>
            <w:shd w:val="clear" w:color="auto" w:fill="1F3864"/>
            <w:vAlign w:val="center"/>
            <w:hideMark/>
          </w:tcPr>
          <w:p w14:paraId="664AE8F0"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2015</w:t>
            </w:r>
          </w:p>
        </w:tc>
        <w:tc>
          <w:tcPr>
            <w:tcW w:w="350" w:type="pct"/>
            <w:shd w:val="clear" w:color="auto" w:fill="1F3864"/>
            <w:vAlign w:val="center"/>
            <w:hideMark/>
          </w:tcPr>
          <w:p w14:paraId="62D7284F"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2016</w:t>
            </w:r>
          </w:p>
        </w:tc>
        <w:tc>
          <w:tcPr>
            <w:tcW w:w="350" w:type="pct"/>
            <w:shd w:val="clear" w:color="auto" w:fill="1F3864"/>
            <w:vAlign w:val="center"/>
            <w:hideMark/>
          </w:tcPr>
          <w:p w14:paraId="733258D4"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2017</w:t>
            </w:r>
          </w:p>
        </w:tc>
        <w:tc>
          <w:tcPr>
            <w:tcW w:w="350" w:type="pct"/>
            <w:shd w:val="clear" w:color="auto" w:fill="1F3864"/>
            <w:vAlign w:val="center"/>
            <w:hideMark/>
          </w:tcPr>
          <w:p w14:paraId="6D86C010"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2018</w:t>
            </w:r>
          </w:p>
        </w:tc>
        <w:tc>
          <w:tcPr>
            <w:tcW w:w="350" w:type="pct"/>
            <w:shd w:val="clear" w:color="auto" w:fill="1F3864"/>
            <w:vAlign w:val="center"/>
          </w:tcPr>
          <w:p w14:paraId="65831A2D" w14:textId="77777777"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2019</w:t>
            </w:r>
          </w:p>
        </w:tc>
        <w:tc>
          <w:tcPr>
            <w:tcW w:w="350" w:type="pct"/>
            <w:shd w:val="clear" w:color="auto" w:fill="1F3864"/>
          </w:tcPr>
          <w:p w14:paraId="0C626647" w14:textId="69F28CA5"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2020</w:t>
            </w:r>
          </w:p>
        </w:tc>
        <w:tc>
          <w:tcPr>
            <w:tcW w:w="350" w:type="pct"/>
            <w:shd w:val="clear" w:color="auto" w:fill="1F3864"/>
          </w:tcPr>
          <w:p w14:paraId="2BF1DD6E" w14:textId="07D67465"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2021</w:t>
            </w:r>
          </w:p>
        </w:tc>
        <w:tc>
          <w:tcPr>
            <w:tcW w:w="350" w:type="pct"/>
            <w:shd w:val="clear" w:color="auto" w:fill="1F3864"/>
          </w:tcPr>
          <w:p w14:paraId="1DA31FC5" w14:textId="5ED2CA68"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2022</w:t>
            </w:r>
          </w:p>
        </w:tc>
        <w:tc>
          <w:tcPr>
            <w:tcW w:w="350" w:type="pct"/>
            <w:shd w:val="clear" w:color="auto" w:fill="1F3864"/>
          </w:tcPr>
          <w:p w14:paraId="15E7CF26" w14:textId="5B84A642" w:rsidR="00A13C27" w:rsidRPr="00FB76B9" w:rsidRDefault="00A13C27" w:rsidP="00BE52D1">
            <w:pPr>
              <w:spacing w:after="0"/>
              <w:jc w:val="both"/>
              <w:rPr>
                <w:rFonts w:ascii="Arial Narrow" w:eastAsia="Times New Roman" w:hAnsi="Arial Narrow" w:cs="Calibri"/>
                <w:b/>
                <w:color w:val="E7E6E6"/>
                <w:sz w:val="20"/>
                <w:szCs w:val="20"/>
              </w:rPr>
            </w:pPr>
            <w:r w:rsidRPr="00FB76B9">
              <w:rPr>
                <w:rFonts w:ascii="Arial Narrow" w:eastAsia="Times New Roman" w:hAnsi="Arial Narrow" w:cs="Calibri"/>
                <w:b/>
                <w:color w:val="E7E6E6"/>
                <w:sz w:val="20"/>
                <w:szCs w:val="20"/>
              </w:rPr>
              <w:t>2023</w:t>
            </w:r>
          </w:p>
        </w:tc>
      </w:tr>
      <w:tr w:rsidR="00D359AC" w:rsidRPr="00126970" w14:paraId="6EA9DA96" w14:textId="1D58F779" w:rsidTr="00FB76B9">
        <w:trPr>
          <w:trHeight w:val="274"/>
        </w:trPr>
        <w:tc>
          <w:tcPr>
            <w:tcW w:w="797" w:type="pct"/>
            <w:shd w:val="clear" w:color="auto" w:fill="FFFFFF" w:themeFill="background1"/>
            <w:noWrap/>
            <w:vAlign w:val="center"/>
            <w:hideMark/>
          </w:tcPr>
          <w:p w14:paraId="3E67DF2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Actual Contribution Increase rate</w:t>
            </w:r>
          </w:p>
        </w:tc>
        <w:tc>
          <w:tcPr>
            <w:tcW w:w="350" w:type="pct"/>
            <w:shd w:val="clear" w:color="auto" w:fill="FFFFFF" w:themeFill="background1"/>
            <w:vAlign w:val="center"/>
            <w:hideMark/>
          </w:tcPr>
          <w:p w14:paraId="31E90388" w14:textId="312C3A08"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9.7</w:t>
            </w:r>
          </w:p>
        </w:tc>
        <w:tc>
          <w:tcPr>
            <w:tcW w:w="350" w:type="pct"/>
            <w:shd w:val="clear" w:color="auto" w:fill="FFFFFF" w:themeFill="background1"/>
            <w:noWrap/>
            <w:vAlign w:val="center"/>
            <w:hideMark/>
          </w:tcPr>
          <w:p w14:paraId="533957DD" w14:textId="08BB2498"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8.9</w:t>
            </w:r>
          </w:p>
        </w:tc>
        <w:tc>
          <w:tcPr>
            <w:tcW w:w="350" w:type="pct"/>
            <w:shd w:val="clear" w:color="auto" w:fill="FFFFFF" w:themeFill="background1"/>
            <w:noWrap/>
            <w:vAlign w:val="center"/>
            <w:hideMark/>
          </w:tcPr>
          <w:p w14:paraId="59ECA2DC"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8.9</w:t>
            </w:r>
          </w:p>
        </w:tc>
        <w:tc>
          <w:tcPr>
            <w:tcW w:w="350" w:type="pct"/>
            <w:shd w:val="clear" w:color="auto" w:fill="FFFFFF" w:themeFill="background1"/>
            <w:vAlign w:val="center"/>
            <w:hideMark/>
          </w:tcPr>
          <w:p w14:paraId="6630A923"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9.5</w:t>
            </w:r>
          </w:p>
        </w:tc>
        <w:tc>
          <w:tcPr>
            <w:tcW w:w="350" w:type="pct"/>
            <w:shd w:val="clear" w:color="auto" w:fill="FFFFFF" w:themeFill="background1"/>
            <w:vAlign w:val="center"/>
            <w:hideMark/>
          </w:tcPr>
          <w:p w14:paraId="73D58E0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 xml:space="preserve">    8.8 </w:t>
            </w:r>
          </w:p>
        </w:tc>
        <w:tc>
          <w:tcPr>
            <w:tcW w:w="350" w:type="pct"/>
            <w:shd w:val="clear" w:color="auto" w:fill="FFFFFF" w:themeFill="background1"/>
            <w:vAlign w:val="center"/>
            <w:hideMark/>
          </w:tcPr>
          <w:p w14:paraId="62B6E5CE"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11.3</w:t>
            </w:r>
          </w:p>
        </w:tc>
        <w:tc>
          <w:tcPr>
            <w:tcW w:w="350" w:type="pct"/>
            <w:shd w:val="clear" w:color="auto" w:fill="FFFFFF" w:themeFill="background1"/>
            <w:vAlign w:val="center"/>
            <w:hideMark/>
          </w:tcPr>
          <w:p w14:paraId="1D9AF777"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7.2</w:t>
            </w:r>
          </w:p>
        </w:tc>
        <w:tc>
          <w:tcPr>
            <w:tcW w:w="350" w:type="pct"/>
            <w:shd w:val="clear" w:color="auto" w:fill="FFFFFF" w:themeFill="background1"/>
            <w:vAlign w:val="center"/>
          </w:tcPr>
          <w:p w14:paraId="5D144BB9" w14:textId="0E778CF9"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8.2</w:t>
            </w:r>
          </w:p>
        </w:tc>
        <w:tc>
          <w:tcPr>
            <w:tcW w:w="350" w:type="pct"/>
            <w:shd w:val="clear" w:color="auto" w:fill="FFFFFF" w:themeFill="background1"/>
            <w:vAlign w:val="center"/>
          </w:tcPr>
          <w:p w14:paraId="7F9D0268" w14:textId="4C28F0E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w:t>
            </w:r>
            <w:r w:rsidR="00212193" w:rsidRPr="00FB76B9">
              <w:rPr>
                <w:rFonts w:ascii="Arial Narrow" w:eastAsia="Times New Roman" w:hAnsi="Arial Narrow" w:cs="Calibri"/>
                <w:color w:val="000000"/>
                <w:sz w:val="20"/>
                <w:szCs w:val="20"/>
              </w:rPr>
              <w:t>.2</w:t>
            </w:r>
          </w:p>
        </w:tc>
        <w:tc>
          <w:tcPr>
            <w:tcW w:w="350" w:type="pct"/>
            <w:shd w:val="clear" w:color="auto" w:fill="FFFFFF" w:themeFill="background1"/>
            <w:vAlign w:val="center"/>
          </w:tcPr>
          <w:p w14:paraId="41CA6BB9" w14:textId="15CC371B"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2.9</w:t>
            </w:r>
          </w:p>
        </w:tc>
        <w:tc>
          <w:tcPr>
            <w:tcW w:w="350" w:type="pct"/>
            <w:shd w:val="clear" w:color="auto" w:fill="FFFFFF" w:themeFill="background1"/>
            <w:vAlign w:val="center"/>
          </w:tcPr>
          <w:p w14:paraId="24B8F072" w14:textId="1B491E92" w:rsidR="00A13C27" w:rsidRPr="00FB76B9" w:rsidRDefault="00EC6B0A"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3.6</w:t>
            </w:r>
          </w:p>
        </w:tc>
        <w:tc>
          <w:tcPr>
            <w:tcW w:w="350" w:type="pct"/>
            <w:shd w:val="clear" w:color="auto" w:fill="FFFFFF" w:themeFill="background1"/>
            <w:vAlign w:val="center"/>
          </w:tcPr>
          <w:p w14:paraId="791AAA0E" w14:textId="14B4FFDD"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w:t>
            </w:r>
          </w:p>
        </w:tc>
      </w:tr>
      <w:tr w:rsidR="00D359AC" w:rsidRPr="00126970" w14:paraId="0F364C3E" w14:textId="1BF8EB1E" w:rsidTr="00FB76B9">
        <w:trPr>
          <w:trHeight w:val="274"/>
        </w:trPr>
        <w:tc>
          <w:tcPr>
            <w:tcW w:w="797" w:type="pct"/>
            <w:shd w:val="clear" w:color="auto" w:fill="FFFFFF" w:themeFill="background1"/>
            <w:noWrap/>
            <w:vAlign w:val="center"/>
            <w:hideMark/>
          </w:tcPr>
          <w:p w14:paraId="0533994B"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 xml:space="preserve">CPI </w:t>
            </w:r>
          </w:p>
        </w:tc>
        <w:tc>
          <w:tcPr>
            <w:tcW w:w="350" w:type="pct"/>
            <w:shd w:val="clear" w:color="auto" w:fill="FFFFFF" w:themeFill="background1"/>
            <w:vAlign w:val="center"/>
            <w:hideMark/>
          </w:tcPr>
          <w:p w14:paraId="278C7BD5" w14:textId="1B67F750"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5.6</w:t>
            </w:r>
          </w:p>
        </w:tc>
        <w:tc>
          <w:tcPr>
            <w:tcW w:w="350" w:type="pct"/>
            <w:shd w:val="clear" w:color="auto" w:fill="FFFFFF" w:themeFill="background1"/>
            <w:noWrap/>
            <w:vAlign w:val="center"/>
            <w:hideMark/>
          </w:tcPr>
          <w:p w14:paraId="53776CF3" w14:textId="7E877D25"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5.7</w:t>
            </w:r>
          </w:p>
        </w:tc>
        <w:tc>
          <w:tcPr>
            <w:tcW w:w="350" w:type="pct"/>
            <w:shd w:val="clear" w:color="auto" w:fill="FFFFFF" w:themeFill="background1"/>
            <w:noWrap/>
            <w:vAlign w:val="center"/>
            <w:hideMark/>
          </w:tcPr>
          <w:p w14:paraId="279B8690"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6.1</w:t>
            </w:r>
          </w:p>
        </w:tc>
        <w:tc>
          <w:tcPr>
            <w:tcW w:w="350" w:type="pct"/>
            <w:shd w:val="clear" w:color="auto" w:fill="FFFFFF" w:themeFill="background1"/>
            <w:vAlign w:val="center"/>
            <w:hideMark/>
          </w:tcPr>
          <w:p w14:paraId="14860574" w14:textId="2ED8E06A"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4.6</w:t>
            </w:r>
          </w:p>
        </w:tc>
        <w:tc>
          <w:tcPr>
            <w:tcW w:w="350" w:type="pct"/>
            <w:shd w:val="clear" w:color="auto" w:fill="FFFFFF" w:themeFill="background1"/>
            <w:vAlign w:val="center"/>
            <w:hideMark/>
          </w:tcPr>
          <w:p w14:paraId="748BDD06"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6,4</w:t>
            </w:r>
          </w:p>
        </w:tc>
        <w:tc>
          <w:tcPr>
            <w:tcW w:w="350" w:type="pct"/>
            <w:shd w:val="clear" w:color="auto" w:fill="FFFFFF" w:themeFill="background1"/>
            <w:vAlign w:val="center"/>
            <w:hideMark/>
          </w:tcPr>
          <w:p w14:paraId="34AB1DA0"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5.3</w:t>
            </w:r>
          </w:p>
        </w:tc>
        <w:tc>
          <w:tcPr>
            <w:tcW w:w="350" w:type="pct"/>
            <w:shd w:val="clear" w:color="auto" w:fill="FFFFFF" w:themeFill="background1"/>
            <w:vAlign w:val="center"/>
            <w:hideMark/>
          </w:tcPr>
          <w:p w14:paraId="239C5313"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4.6</w:t>
            </w:r>
          </w:p>
        </w:tc>
        <w:tc>
          <w:tcPr>
            <w:tcW w:w="350" w:type="pct"/>
            <w:shd w:val="clear" w:color="auto" w:fill="FFFFFF" w:themeFill="background1"/>
            <w:vAlign w:val="center"/>
          </w:tcPr>
          <w:p w14:paraId="3F2BD279" w14:textId="0A34F3C5" w:rsidR="00A13C27" w:rsidRPr="00FB76B9" w:rsidRDefault="00CD5BDA"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4.6</w:t>
            </w:r>
          </w:p>
        </w:tc>
        <w:tc>
          <w:tcPr>
            <w:tcW w:w="350" w:type="pct"/>
            <w:shd w:val="clear" w:color="auto" w:fill="FFFFFF" w:themeFill="background1"/>
            <w:vAlign w:val="center"/>
          </w:tcPr>
          <w:p w14:paraId="2472ADAC" w14:textId="065AD37C" w:rsidR="00A13C27" w:rsidRPr="00FB76B9" w:rsidRDefault="00A85615"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w:t>
            </w:r>
            <w:r w:rsidR="002E7404" w:rsidRPr="00FB76B9">
              <w:rPr>
                <w:rFonts w:ascii="Arial Narrow" w:eastAsia="Times New Roman" w:hAnsi="Arial Narrow" w:cs="Calibri"/>
                <w:color w:val="000000"/>
                <w:sz w:val="20"/>
                <w:szCs w:val="20"/>
              </w:rPr>
              <w:t>3</w:t>
            </w:r>
          </w:p>
        </w:tc>
        <w:tc>
          <w:tcPr>
            <w:tcW w:w="350" w:type="pct"/>
            <w:shd w:val="clear" w:color="auto" w:fill="FFFFFF" w:themeFill="background1"/>
            <w:vAlign w:val="center"/>
          </w:tcPr>
          <w:p w14:paraId="45D64C37" w14:textId="41C2584B" w:rsidR="00A13C27" w:rsidRPr="00FB76B9" w:rsidRDefault="00AA3216"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3.8</w:t>
            </w:r>
          </w:p>
        </w:tc>
        <w:tc>
          <w:tcPr>
            <w:tcW w:w="350" w:type="pct"/>
            <w:shd w:val="clear" w:color="auto" w:fill="FFFFFF" w:themeFill="background1"/>
            <w:vAlign w:val="center"/>
          </w:tcPr>
          <w:p w14:paraId="31148E03" w14:textId="5DCCAEF0" w:rsidR="00A13C27" w:rsidRPr="00FB76B9" w:rsidRDefault="00ED4D85"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6.</w:t>
            </w:r>
            <w:r w:rsidR="006956C4" w:rsidRPr="00FB76B9">
              <w:rPr>
                <w:rFonts w:ascii="Arial Narrow" w:eastAsia="Times New Roman" w:hAnsi="Arial Narrow" w:cs="Calibri"/>
                <w:color w:val="000000" w:themeColor="text1"/>
                <w:sz w:val="20"/>
                <w:szCs w:val="20"/>
              </w:rPr>
              <w:t>9</w:t>
            </w:r>
          </w:p>
        </w:tc>
        <w:tc>
          <w:tcPr>
            <w:tcW w:w="350" w:type="pct"/>
            <w:shd w:val="clear" w:color="auto" w:fill="FFFFFF" w:themeFill="background1"/>
            <w:vAlign w:val="center"/>
          </w:tcPr>
          <w:p w14:paraId="37609A84" w14:textId="6C639F56" w:rsidR="00A13C27" w:rsidRPr="00FB76B9" w:rsidRDefault="00193486"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6.0</w:t>
            </w:r>
          </w:p>
        </w:tc>
      </w:tr>
      <w:tr w:rsidR="00D359AC" w:rsidRPr="00126970" w14:paraId="04AFF680" w14:textId="41214B37" w:rsidTr="00FB76B9">
        <w:trPr>
          <w:trHeight w:val="274"/>
        </w:trPr>
        <w:tc>
          <w:tcPr>
            <w:tcW w:w="797" w:type="pct"/>
            <w:shd w:val="clear" w:color="auto" w:fill="FFFFFF" w:themeFill="background1"/>
            <w:noWrap/>
            <w:vAlign w:val="center"/>
            <w:hideMark/>
          </w:tcPr>
          <w:p w14:paraId="3117A9A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 xml:space="preserve">Assumed utilisation increase </w:t>
            </w:r>
          </w:p>
        </w:tc>
        <w:tc>
          <w:tcPr>
            <w:tcW w:w="350" w:type="pct"/>
            <w:shd w:val="clear" w:color="auto" w:fill="FFFFFF" w:themeFill="background1"/>
            <w:vAlign w:val="center"/>
            <w:hideMark/>
          </w:tcPr>
          <w:p w14:paraId="73D488A4"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2.0</w:t>
            </w:r>
          </w:p>
        </w:tc>
        <w:tc>
          <w:tcPr>
            <w:tcW w:w="350" w:type="pct"/>
            <w:shd w:val="clear" w:color="auto" w:fill="FFFFFF" w:themeFill="background1"/>
            <w:noWrap/>
            <w:vAlign w:val="center"/>
            <w:hideMark/>
          </w:tcPr>
          <w:p w14:paraId="3B8AEA06"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2.8</w:t>
            </w:r>
          </w:p>
        </w:tc>
        <w:tc>
          <w:tcPr>
            <w:tcW w:w="350" w:type="pct"/>
            <w:shd w:val="clear" w:color="auto" w:fill="FFFFFF" w:themeFill="background1"/>
            <w:noWrap/>
            <w:vAlign w:val="center"/>
            <w:hideMark/>
          </w:tcPr>
          <w:p w14:paraId="5B40B820"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2.3</w:t>
            </w:r>
          </w:p>
        </w:tc>
        <w:tc>
          <w:tcPr>
            <w:tcW w:w="350" w:type="pct"/>
            <w:shd w:val="clear" w:color="auto" w:fill="FFFFFF" w:themeFill="background1"/>
            <w:vAlign w:val="center"/>
            <w:hideMark/>
          </w:tcPr>
          <w:p w14:paraId="5CE49C8F"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2.9</w:t>
            </w:r>
          </w:p>
        </w:tc>
        <w:tc>
          <w:tcPr>
            <w:tcW w:w="350" w:type="pct"/>
            <w:shd w:val="clear" w:color="auto" w:fill="FFFFFF" w:themeFill="background1"/>
            <w:vAlign w:val="center"/>
            <w:hideMark/>
          </w:tcPr>
          <w:p w14:paraId="4956FA3B" w14:textId="5126129B"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w:t>
            </w:r>
            <w:r w:rsidR="00AA3216" w:rsidRPr="00FB76B9">
              <w:rPr>
                <w:rFonts w:ascii="Arial Narrow" w:eastAsia="Times New Roman" w:hAnsi="Arial Narrow" w:cs="Calibri"/>
                <w:color w:val="000000"/>
                <w:sz w:val="20"/>
                <w:szCs w:val="20"/>
              </w:rPr>
              <w:t>1</w:t>
            </w:r>
          </w:p>
        </w:tc>
        <w:tc>
          <w:tcPr>
            <w:tcW w:w="350" w:type="pct"/>
            <w:shd w:val="clear" w:color="auto" w:fill="FFFFFF" w:themeFill="background1"/>
            <w:vAlign w:val="center"/>
            <w:hideMark/>
          </w:tcPr>
          <w:p w14:paraId="28CA92EF"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3.9</w:t>
            </w:r>
          </w:p>
        </w:tc>
        <w:tc>
          <w:tcPr>
            <w:tcW w:w="350" w:type="pct"/>
            <w:shd w:val="clear" w:color="auto" w:fill="FFFFFF" w:themeFill="background1"/>
            <w:vAlign w:val="center"/>
            <w:hideMark/>
          </w:tcPr>
          <w:p w14:paraId="7E73AB12" w14:textId="3CA4A4D1"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3.3</w:t>
            </w:r>
          </w:p>
        </w:tc>
        <w:tc>
          <w:tcPr>
            <w:tcW w:w="350" w:type="pct"/>
            <w:shd w:val="clear" w:color="auto" w:fill="FFFFFF" w:themeFill="background1"/>
            <w:vAlign w:val="center"/>
          </w:tcPr>
          <w:p w14:paraId="3676BFFC"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3.9</w:t>
            </w:r>
          </w:p>
        </w:tc>
        <w:tc>
          <w:tcPr>
            <w:tcW w:w="350" w:type="pct"/>
            <w:shd w:val="clear" w:color="auto" w:fill="FFFFFF" w:themeFill="background1"/>
            <w:vAlign w:val="center"/>
          </w:tcPr>
          <w:p w14:paraId="33602C82" w14:textId="236FDDB1" w:rsidR="00A13C27" w:rsidRPr="00FB76B9" w:rsidRDefault="004C7F63"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3.7</w:t>
            </w:r>
          </w:p>
        </w:tc>
        <w:tc>
          <w:tcPr>
            <w:tcW w:w="350" w:type="pct"/>
            <w:shd w:val="clear" w:color="auto" w:fill="FFFFFF" w:themeFill="background1"/>
            <w:vAlign w:val="center"/>
          </w:tcPr>
          <w:p w14:paraId="3097614D" w14:textId="0DA3F119" w:rsidR="00A13C27" w:rsidRPr="00FB76B9" w:rsidRDefault="001F67F5"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4.4</w:t>
            </w:r>
          </w:p>
        </w:tc>
        <w:tc>
          <w:tcPr>
            <w:tcW w:w="350" w:type="pct"/>
            <w:shd w:val="clear" w:color="auto" w:fill="FFFFFF" w:themeFill="background1"/>
            <w:vAlign w:val="center"/>
          </w:tcPr>
          <w:p w14:paraId="720D8B9C" w14:textId="5A96E018" w:rsidR="00A13C27" w:rsidRPr="00FB76B9" w:rsidRDefault="006339B1"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3.8</w:t>
            </w:r>
          </w:p>
        </w:tc>
        <w:tc>
          <w:tcPr>
            <w:tcW w:w="350" w:type="pct"/>
            <w:shd w:val="clear" w:color="auto" w:fill="FFFFFF" w:themeFill="background1"/>
            <w:vAlign w:val="center"/>
          </w:tcPr>
          <w:p w14:paraId="354F4118" w14:textId="52BD05E6" w:rsidR="00A13C27" w:rsidRPr="00FB76B9" w:rsidRDefault="004C7F29"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3.</w:t>
            </w:r>
            <w:r w:rsidR="00AA3216" w:rsidRPr="00FB76B9">
              <w:rPr>
                <w:rFonts w:ascii="Arial Narrow" w:eastAsia="Times New Roman" w:hAnsi="Arial Narrow" w:cs="Calibri"/>
                <w:color w:val="000000" w:themeColor="text1"/>
                <w:sz w:val="20"/>
                <w:szCs w:val="20"/>
              </w:rPr>
              <w:t>2</w:t>
            </w:r>
          </w:p>
        </w:tc>
      </w:tr>
      <w:tr w:rsidR="00D359AC" w:rsidRPr="00126970" w14:paraId="742D94B3" w14:textId="3C008DE8" w:rsidTr="00FB76B9">
        <w:trPr>
          <w:trHeight w:val="274"/>
        </w:trPr>
        <w:tc>
          <w:tcPr>
            <w:tcW w:w="797" w:type="pct"/>
            <w:shd w:val="clear" w:color="auto" w:fill="FFFFFF" w:themeFill="background1"/>
            <w:noWrap/>
            <w:vAlign w:val="center"/>
            <w:hideMark/>
          </w:tcPr>
          <w:p w14:paraId="6D9038B5"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Tariff</w:t>
            </w:r>
          </w:p>
        </w:tc>
        <w:tc>
          <w:tcPr>
            <w:tcW w:w="350" w:type="pct"/>
            <w:shd w:val="clear" w:color="auto" w:fill="FFFFFF" w:themeFill="background1"/>
            <w:vAlign w:val="center"/>
            <w:hideMark/>
          </w:tcPr>
          <w:p w14:paraId="50DC580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6.3</w:t>
            </w:r>
          </w:p>
        </w:tc>
        <w:tc>
          <w:tcPr>
            <w:tcW w:w="350" w:type="pct"/>
            <w:shd w:val="clear" w:color="auto" w:fill="FFFFFF" w:themeFill="background1"/>
            <w:vAlign w:val="center"/>
            <w:hideMark/>
          </w:tcPr>
          <w:p w14:paraId="302A3AD8"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6.8</w:t>
            </w:r>
          </w:p>
        </w:tc>
        <w:tc>
          <w:tcPr>
            <w:tcW w:w="350" w:type="pct"/>
            <w:shd w:val="clear" w:color="auto" w:fill="FFFFFF" w:themeFill="background1"/>
            <w:vAlign w:val="center"/>
            <w:hideMark/>
          </w:tcPr>
          <w:p w14:paraId="5F2047AF"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6.9</w:t>
            </w:r>
          </w:p>
        </w:tc>
        <w:tc>
          <w:tcPr>
            <w:tcW w:w="350" w:type="pct"/>
            <w:shd w:val="clear" w:color="auto" w:fill="FFFFFF" w:themeFill="background1"/>
            <w:vAlign w:val="center"/>
            <w:hideMark/>
          </w:tcPr>
          <w:p w14:paraId="746AEEE5"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6.3</w:t>
            </w:r>
          </w:p>
        </w:tc>
        <w:tc>
          <w:tcPr>
            <w:tcW w:w="350" w:type="pct"/>
            <w:shd w:val="clear" w:color="auto" w:fill="FFFFFF" w:themeFill="background1"/>
            <w:vAlign w:val="center"/>
            <w:hideMark/>
          </w:tcPr>
          <w:p w14:paraId="455BBDBA" w14:textId="1353BDF8"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w:t>
            </w:r>
            <w:r w:rsidR="00AA3216" w:rsidRPr="00FB76B9">
              <w:rPr>
                <w:rFonts w:ascii="Arial Narrow" w:eastAsia="Times New Roman" w:hAnsi="Arial Narrow" w:cs="Calibri"/>
                <w:color w:val="000000"/>
                <w:sz w:val="20"/>
                <w:szCs w:val="20"/>
              </w:rPr>
              <w:t>6</w:t>
            </w:r>
          </w:p>
        </w:tc>
        <w:tc>
          <w:tcPr>
            <w:tcW w:w="350" w:type="pct"/>
            <w:shd w:val="clear" w:color="auto" w:fill="FFFFFF" w:themeFill="background1"/>
            <w:vAlign w:val="center"/>
            <w:hideMark/>
          </w:tcPr>
          <w:p w14:paraId="6B8A7032"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7.4</w:t>
            </w:r>
          </w:p>
        </w:tc>
        <w:tc>
          <w:tcPr>
            <w:tcW w:w="350" w:type="pct"/>
            <w:shd w:val="clear" w:color="auto" w:fill="FFFFFF" w:themeFill="background1"/>
            <w:vAlign w:val="center"/>
            <w:hideMark/>
          </w:tcPr>
          <w:p w14:paraId="38FF1005"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 xml:space="preserve">5.5 </w:t>
            </w:r>
          </w:p>
        </w:tc>
        <w:tc>
          <w:tcPr>
            <w:tcW w:w="350" w:type="pct"/>
            <w:shd w:val="clear" w:color="auto" w:fill="FFFFFF" w:themeFill="background1"/>
            <w:vAlign w:val="center"/>
          </w:tcPr>
          <w:p w14:paraId="2C16725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5.4</w:t>
            </w:r>
          </w:p>
        </w:tc>
        <w:tc>
          <w:tcPr>
            <w:tcW w:w="350" w:type="pct"/>
            <w:shd w:val="clear" w:color="auto" w:fill="FFFFFF" w:themeFill="background1"/>
            <w:vAlign w:val="center"/>
          </w:tcPr>
          <w:p w14:paraId="3DC81A98" w14:textId="1B42D439" w:rsidR="00A13C27" w:rsidRPr="00FB76B9" w:rsidRDefault="004B1249"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5.1</w:t>
            </w:r>
          </w:p>
        </w:tc>
        <w:tc>
          <w:tcPr>
            <w:tcW w:w="350" w:type="pct"/>
            <w:shd w:val="clear" w:color="auto" w:fill="FFFFFF" w:themeFill="background1"/>
            <w:vAlign w:val="center"/>
          </w:tcPr>
          <w:p w14:paraId="027AC638" w14:textId="367BDA9A" w:rsidR="00A13C27" w:rsidRPr="00FB76B9" w:rsidRDefault="00E14D48"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4.2</w:t>
            </w:r>
          </w:p>
        </w:tc>
        <w:tc>
          <w:tcPr>
            <w:tcW w:w="350" w:type="pct"/>
            <w:shd w:val="clear" w:color="auto" w:fill="FFFFFF" w:themeFill="background1"/>
            <w:vAlign w:val="center"/>
          </w:tcPr>
          <w:p w14:paraId="5A4BEAE9" w14:textId="71CA4C4A" w:rsidR="00A13C27" w:rsidRPr="00FB76B9" w:rsidRDefault="00500DFB"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4.</w:t>
            </w:r>
            <w:r w:rsidR="00A4501F" w:rsidRPr="00FB76B9">
              <w:rPr>
                <w:rFonts w:ascii="Arial Narrow" w:eastAsia="Times New Roman" w:hAnsi="Arial Narrow" w:cs="Calibri"/>
                <w:color w:val="000000" w:themeColor="text1"/>
                <w:sz w:val="20"/>
                <w:szCs w:val="20"/>
              </w:rPr>
              <w:t>4</w:t>
            </w:r>
          </w:p>
        </w:tc>
        <w:tc>
          <w:tcPr>
            <w:tcW w:w="350" w:type="pct"/>
            <w:shd w:val="clear" w:color="auto" w:fill="FFFFFF" w:themeFill="background1"/>
            <w:vAlign w:val="center"/>
          </w:tcPr>
          <w:p w14:paraId="7C50DC10" w14:textId="30D19B3A" w:rsidR="00A13C27" w:rsidRPr="00FB76B9" w:rsidRDefault="00B65109"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6.</w:t>
            </w:r>
            <w:r w:rsidR="00AA3216" w:rsidRPr="00FB76B9">
              <w:rPr>
                <w:rFonts w:ascii="Arial Narrow" w:eastAsia="Times New Roman" w:hAnsi="Arial Narrow" w:cs="Calibri"/>
                <w:color w:val="000000" w:themeColor="text1"/>
                <w:sz w:val="20"/>
                <w:szCs w:val="20"/>
              </w:rPr>
              <w:t>2</w:t>
            </w:r>
          </w:p>
        </w:tc>
      </w:tr>
      <w:tr w:rsidR="00D359AC" w:rsidRPr="00126970" w14:paraId="7DEE1236" w14:textId="080B5498" w:rsidTr="00FB76B9">
        <w:trPr>
          <w:trHeight w:val="274"/>
        </w:trPr>
        <w:tc>
          <w:tcPr>
            <w:tcW w:w="797" w:type="pct"/>
            <w:shd w:val="clear" w:color="auto" w:fill="FFFFFF" w:themeFill="background1"/>
            <w:noWrap/>
            <w:vAlign w:val="center"/>
            <w:hideMark/>
          </w:tcPr>
          <w:p w14:paraId="13AE851A"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 xml:space="preserve">Total assumed increase </w:t>
            </w:r>
          </w:p>
        </w:tc>
        <w:tc>
          <w:tcPr>
            <w:tcW w:w="350" w:type="pct"/>
            <w:shd w:val="clear" w:color="auto" w:fill="FFFFFF" w:themeFill="background1"/>
            <w:vAlign w:val="center"/>
            <w:hideMark/>
          </w:tcPr>
          <w:p w14:paraId="2934E37B"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8.3</w:t>
            </w:r>
          </w:p>
        </w:tc>
        <w:tc>
          <w:tcPr>
            <w:tcW w:w="350" w:type="pct"/>
            <w:shd w:val="clear" w:color="auto" w:fill="FFFFFF" w:themeFill="background1"/>
            <w:noWrap/>
            <w:vAlign w:val="center"/>
            <w:hideMark/>
          </w:tcPr>
          <w:p w14:paraId="6D079F87"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9.6</w:t>
            </w:r>
          </w:p>
        </w:tc>
        <w:tc>
          <w:tcPr>
            <w:tcW w:w="350" w:type="pct"/>
            <w:shd w:val="clear" w:color="auto" w:fill="FFFFFF" w:themeFill="background1"/>
            <w:noWrap/>
            <w:vAlign w:val="center"/>
            <w:hideMark/>
          </w:tcPr>
          <w:p w14:paraId="587FE093"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9.2</w:t>
            </w:r>
          </w:p>
        </w:tc>
        <w:tc>
          <w:tcPr>
            <w:tcW w:w="350" w:type="pct"/>
            <w:shd w:val="clear" w:color="auto" w:fill="FFFFFF" w:themeFill="background1"/>
            <w:vAlign w:val="center"/>
            <w:hideMark/>
          </w:tcPr>
          <w:p w14:paraId="3CD73BD9"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9.2</w:t>
            </w:r>
          </w:p>
        </w:tc>
        <w:tc>
          <w:tcPr>
            <w:tcW w:w="350" w:type="pct"/>
            <w:shd w:val="clear" w:color="auto" w:fill="FFFFFF" w:themeFill="background1"/>
            <w:vAlign w:val="center"/>
            <w:hideMark/>
          </w:tcPr>
          <w:p w14:paraId="281FC282"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8.6</w:t>
            </w:r>
          </w:p>
        </w:tc>
        <w:tc>
          <w:tcPr>
            <w:tcW w:w="350" w:type="pct"/>
            <w:shd w:val="clear" w:color="auto" w:fill="FFFFFF" w:themeFill="background1"/>
            <w:vAlign w:val="center"/>
            <w:hideMark/>
          </w:tcPr>
          <w:p w14:paraId="6575C46C"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11.3</w:t>
            </w:r>
          </w:p>
        </w:tc>
        <w:tc>
          <w:tcPr>
            <w:tcW w:w="350" w:type="pct"/>
            <w:shd w:val="clear" w:color="auto" w:fill="FFFFFF" w:themeFill="background1"/>
            <w:vAlign w:val="center"/>
            <w:hideMark/>
          </w:tcPr>
          <w:p w14:paraId="71FD6336" w14:textId="0EAB96FB"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w:t>
            </w:r>
            <w:r w:rsidR="00AA3216" w:rsidRPr="00FB76B9">
              <w:rPr>
                <w:rFonts w:ascii="Arial Narrow" w:eastAsia="Times New Roman" w:hAnsi="Arial Narrow" w:cs="Calibri"/>
                <w:color w:val="000000"/>
                <w:sz w:val="20"/>
                <w:szCs w:val="20"/>
              </w:rPr>
              <w:t>2</w:t>
            </w:r>
          </w:p>
        </w:tc>
        <w:tc>
          <w:tcPr>
            <w:tcW w:w="350" w:type="pct"/>
            <w:shd w:val="clear" w:color="auto" w:fill="FFFFFF" w:themeFill="background1"/>
            <w:vAlign w:val="center"/>
          </w:tcPr>
          <w:p w14:paraId="20D3F1C0" w14:textId="77777777" w:rsidR="00A13C27" w:rsidRPr="00FB76B9" w:rsidRDefault="00A13C27"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8.6</w:t>
            </w:r>
          </w:p>
        </w:tc>
        <w:tc>
          <w:tcPr>
            <w:tcW w:w="350" w:type="pct"/>
            <w:shd w:val="clear" w:color="auto" w:fill="FFFFFF" w:themeFill="background1"/>
            <w:vAlign w:val="center"/>
          </w:tcPr>
          <w:p w14:paraId="1B6497B5" w14:textId="61CE0AF5" w:rsidR="00A13C27" w:rsidRPr="00FB76B9" w:rsidRDefault="00EF6D4A"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w:t>
            </w:r>
            <w:r w:rsidR="00C60FA3" w:rsidRPr="00FB76B9">
              <w:rPr>
                <w:rFonts w:ascii="Arial Narrow" w:eastAsia="Times New Roman" w:hAnsi="Arial Narrow" w:cs="Calibri"/>
                <w:color w:val="000000"/>
                <w:sz w:val="20"/>
                <w:szCs w:val="20"/>
              </w:rPr>
              <w:t>.8</w:t>
            </w:r>
          </w:p>
        </w:tc>
        <w:tc>
          <w:tcPr>
            <w:tcW w:w="350" w:type="pct"/>
            <w:shd w:val="clear" w:color="auto" w:fill="FFFFFF" w:themeFill="background1"/>
            <w:vAlign w:val="center"/>
          </w:tcPr>
          <w:p w14:paraId="7057DF69" w14:textId="2B3E0BFD" w:rsidR="00A13C27" w:rsidRPr="00FB76B9" w:rsidRDefault="00FD0BC5"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sz w:val="20"/>
                <w:szCs w:val="20"/>
              </w:rPr>
              <w:t>8.5</w:t>
            </w:r>
          </w:p>
        </w:tc>
        <w:tc>
          <w:tcPr>
            <w:tcW w:w="350" w:type="pct"/>
            <w:shd w:val="clear" w:color="auto" w:fill="FFFFFF" w:themeFill="background1"/>
            <w:vAlign w:val="center"/>
          </w:tcPr>
          <w:p w14:paraId="0BDBF4C8" w14:textId="1CC91527" w:rsidR="00A13C27" w:rsidRPr="00FB76B9" w:rsidRDefault="00626DA1"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8.2</w:t>
            </w:r>
          </w:p>
        </w:tc>
        <w:tc>
          <w:tcPr>
            <w:tcW w:w="350" w:type="pct"/>
            <w:shd w:val="clear" w:color="auto" w:fill="FFFFFF" w:themeFill="background1"/>
            <w:vAlign w:val="center"/>
          </w:tcPr>
          <w:p w14:paraId="35B8EE5C" w14:textId="7BB0BBEF" w:rsidR="00A13C27" w:rsidRPr="00FB76B9" w:rsidRDefault="00AC4413" w:rsidP="00BE52D1">
            <w:pPr>
              <w:spacing w:after="0"/>
              <w:jc w:val="both"/>
              <w:rPr>
                <w:rFonts w:ascii="Arial Narrow" w:eastAsia="Times New Roman" w:hAnsi="Arial Narrow" w:cs="Calibri"/>
                <w:color w:val="000000"/>
                <w:sz w:val="20"/>
                <w:szCs w:val="20"/>
              </w:rPr>
            </w:pPr>
            <w:r w:rsidRPr="00FB76B9">
              <w:rPr>
                <w:rFonts w:ascii="Arial Narrow" w:eastAsia="Times New Roman" w:hAnsi="Arial Narrow" w:cs="Calibri"/>
                <w:color w:val="000000" w:themeColor="text1"/>
                <w:sz w:val="20"/>
                <w:szCs w:val="20"/>
              </w:rPr>
              <w:t>9.</w:t>
            </w:r>
            <w:r w:rsidR="00AA3216" w:rsidRPr="00FB76B9">
              <w:rPr>
                <w:rFonts w:ascii="Arial Narrow" w:eastAsia="Times New Roman" w:hAnsi="Arial Narrow" w:cs="Calibri"/>
                <w:color w:val="000000" w:themeColor="text1"/>
                <w:sz w:val="20"/>
                <w:szCs w:val="20"/>
              </w:rPr>
              <w:t>4</w:t>
            </w:r>
          </w:p>
        </w:tc>
      </w:tr>
    </w:tbl>
    <w:p w14:paraId="744D7D6C" w14:textId="17266FF0" w:rsidR="00B523A9" w:rsidRPr="005C04F5" w:rsidRDefault="00B523A9" w:rsidP="00B523A9">
      <w:pPr>
        <w:contextualSpacing/>
        <w:jc w:val="both"/>
        <w:rPr>
          <w:rFonts w:ascii="Arial Narrow" w:eastAsiaTheme="minorHAnsi" w:hAnsi="Arial Narrow" w:cstheme="minorBidi"/>
          <w:i/>
          <w:iCs/>
          <w:lang w:val="en-GB"/>
        </w:rPr>
      </w:pPr>
      <w:r w:rsidRPr="005C04F5">
        <w:rPr>
          <w:rFonts w:ascii="Arial Narrow" w:eastAsiaTheme="minorHAnsi" w:hAnsi="Arial Narrow" w:cstheme="minorBidi"/>
          <w:b/>
          <w:i/>
          <w:iCs/>
          <w:lang w:val="en-GB"/>
        </w:rPr>
        <w:t>Note:</w:t>
      </w:r>
      <w:r w:rsidRPr="005C04F5">
        <w:rPr>
          <w:rFonts w:ascii="Arial Narrow" w:eastAsiaTheme="minorHAnsi" w:hAnsi="Arial Narrow" w:cstheme="minorBidi"/>
          <w:i/>
          <w:iCs/>
          <w:lang w:val="en-GB"/>
        </w:rPr>
        <w:t xml:space="preserve"> *to be published in the 202</w:t>
      </w:r>
      <w:r w:rsidR="0026355C">
        <w:rPr>
          <w:rFonts w:ascii="Arial Narrow" w:eastAsiaTheme="minorHAnsi" w:hAnsi="Arial Narrow" w:cstheme="minorBidi"/>
          <w:i/>
          <w:iCs/>
          <w:lang w:val="en-GB"/>
        </w:rPr>
        <w:t>2</w:t>
      </w:r>
      <w:r w:rsidRPr="005C04F5">
        <w:rPr>
          <w:rFonts w:ascii="Arial Narrow" w:eastAsiaTheme="minorHAnsi" w:hAnsi="Arial Narrow" w:cstheme="minorBidi"/>
          <w:i/>
          <w:iCs/>
          <w:lang w:val="en-GB"/>
        </w:rPr>
        <w:t>/202</w:t>
      </w:r>
      <w:r w:rsidR="0026355C">
        <w:rPr>
          <w:rFonts w:ascii="Arial Narrow" w:eastAsiaTheme="minorHAnsi" w:hAnsi="Arial Narrow" w:cstheme="minorBidi"/>
          <w:i/>
          <w:iCs/>
          <w:lang w:val="en-GB"/>
        </w:rPr>
        <w:t>3</w:t>
      </w:r>
      <w:r w:rsidRPr="005C04F5">
        <w:rPr>
          <w:rFonts w:ascii="Arial Narrow" w:eastAsiaTheme="minorHAnsi" w:hAnsi="Arial Narrow" w:cstheme="minorBidi"/>
          <w:i/>
          <w:iCs/>
          <w:lang w:val="en-GB"/>
        </w:rPr>
        <w:t xml:space="preserve"> CMS Annual Report</w:t>
      </w:r>
    </w:p>
    <w:p w14:paraId="08CFCD5F" w14:textId="77777777" w:rsidR="00C6289D" w:rsidRPr="005C04F5" w:rsidRDefault="00C6289D" w:rsidP="00B523A9">
      <w:pPr>
        <w:contextualSpacing/>
        <w:jc w:val="both"/>
        <w:rPr>
          <w:rFonts w:ascii="Arial Narrow" w:eastAsiaTheme="minorHAnsi" w:hAnsi="Arial Narrow" w:cstheme="minorBidi"/>
          <w:i/>
          <w:lang w:val="en-GB"/>
        </w:rPr>
      </w:pPr>
    </w:p>
    <w:p w14:paraId="521E8D48" w14:textId="597E9834" w:rsidR="00D361F9" w:rsidRPr="00D361F9" w:rsidRDefault="00D361F9" w:rsidP="00D361F9">
      <w:pPr>
        <w:pStyle w:val="ListParagraph"/>
        <w:numPr>
          <w:ilvl w:val="1"/>
          <w:numId w:val="7"/>
        </w:numPr>
        <w:ind w:left="426" w:hanging="426"/>
        <w:jc w:val="both"/>
        <w:rPr>
          <w:rFonts w:ascii="Arial Narrow" w:hAnsi="Arial Narrow"/>
          <w:b/>
          <w:lang w:val="en-GB"/>
        </w:rPr>
      </w:pPr>
      <w:r w:rsidRPr="0D803B9D">
        <w:rPr>
          <w:rFonts w:ascii="Arial Narrow" w:eastAsia="Times New Roman" w:hAnsi="Arial Narrow" w:cstheme="minorBidi"/>
          <w:b/>
          <w:bCs/>
          <w:lang w:val="en-GB" w:eastAsia="en-ZA"/>
        </w:rPr>
        <w:t xml:space="preserve">Single Exist Price (SEP) for </w:t>
      </w:r>
      <w:r w:rsidR="001422F2" w:rsidRPr="0D803B9D">
        <w:rPr>
          <w:rFonts w:ascii="Arial Narrow" w:eastAsia="Times New Roman" w:hAnsi="Arial Narrow" w:cstheme="minorBidi"/>
          <w:b/>
          <w:bCs/>
          <w:lang w:val="en-GB" w:eastAsia="en-ZA"/>
        </w:rPr>
        <w:t>medicines.</w:t>
      </w:r>
    </w:p>
    <w:p w14:paraId="0E726E93" w14:textId="71C25F21" w:rsidR="00C6289D" w:rsidRPr="005D7FAE" w:rsidRDefault="00C6289D" w:rsidP="00A27C02">
      <w:pPr>
        <w:contextualSpacing/>
        <w:jc w:val="both"/>
        <w:rPr>
          <w:rFonts w:ascii="Arial Narrow" w:hAnsi="Arial Narrow"/>
          <w:color w:val="000000" w:themeColor="text1"/>
          <w:lang w:val="en-GB" w:eastAsia="en-ZA"/>
        </w:rPr>
      </w:pPr>
      <w:r w:rsidRPr="005D7FAE">
        <w:rPr>
          <w:rFonts w:ascii="Arial Narrow" w:hAnsi="Arial Narrow"/>
          <w:color w:val="000000" w:themeColor="text1"/>
          <w:lang w:val="en-GB" w:eastAsia="en-ZA"/>
        </w:rPr>
        <w:t>The actual (and approved) adjustment to the Single Exist Price (SEP) is published by the Minister of Health towards the end of each year</w:t>
      </w:r>
      <w:r w:rsidR="00B73E15" w:rsidRPr="005D7FAE">
        <w:rPr>
          <w:rFonts w:ascii="Arial Narrow" w:hAnsi="Arial Narrow"/>
          <w:color w:val="000000" w:themeColor="text1"/>
          <w:lang w:val="en-GB" w:eastAsia="en-ZA"/>
        </w:rPr>
        <w:t xml:space="preserve">. </w:t>
      </w:r>
      <w:r w:rsidRPr="005D7FAE">
        <w:rPr>
          <w:rFonts w:ascii="Arial Narrow" w:hAnsi="Arial Narrow"/>
          <w:color w:val="000000" w:themeColor="text1"/>
          <w:lang w:val="en-GB" w:eastAsia="en-ZA"/>
        </w:rPr>
        <w:t>The SEP for 202</w:t>
      </w:r>
      <w:r w:rsidR="00661DA5" w:rsidRPr="005D7FAE">
        <w:rPr>
          <w:rFonts w:ascii="Arial Narrow" w:hAnsi="Arial Narrow"/>
          <w:color w:val="000000" w:themeColor="text1"/>
          <w:lang w:val="en-GB" w:eastAsia="en-ZA"/>
        </w:rPr>
        <w:t>4</w:t>
      </w:r>
      <w:r w:rsidR="00F41B7F" w:rsidRPr="005D7FAE">
        <w:rPr>
          <w:rFonts w:ascii="Arial Narrow" w:hAnsi="Arial Narrow"/>
          <w:color w:val="000000" w:themeColor="text1"/>
          <w:lang w:val="en-GB" w:eastAsia="en-ZA"/>
        </w:rPr>
        <w:t xml:space="preserve"> </w:t>
      </w:r>
      <w:r w:rsidRPr="005D7FAE">
        <w:rPr>
          <w:rFonts w:ascii="Arial Narrow" w:hAnsi="Arial Narrow"/>
          <w:color w:val="000000" w:themeColor="text1"/>
          <w:lang w:val="en-GB" w:eastAsia="en-ZA"/>
        </w:rPr>
        <w:t>will be published later in the year. Medical schemes are advised to assume reasonable estimates for 202</w:t>
      </w:r>
      <w:r w:rsidR="00552B7B" w:rsidRPr="005D7FAE">
        <w:rPr>
          <w:rFonts w:ascii="Arial Narrow" w:hAnsi="Arial Narrow"/>
          <w:color w:val="000000" w:themeColor="text1"/>
          <w:lang w:val="en-GB" w:eastAsia="en-ZA"/>
        </w:rPr>
        <w:t>4</w:t>
      </w:r>
      <w:r w:rsidRPr="005D7FAE">
        <w:rPr>
          <w:rFonts w:ascii="Arial Narrow" w:hAnsi="Arial Narrow"/>
          <w:color w:val="000000" w:themeColor="text1"/>
          <w:lang w:val="en-GB" w:eastAsia="en-ZA"/>
        </w:rPr>
        <w:t>.</w:t>
      </w:r>
    </w:p>
    <w:p w14:paraId="1D111D7F" w14:textId="77777777" w:rsidR="00CF4896" w:rsidRDefault="00CF4896" w:rsidP="00A44D3F">
      <w:pPr>
        <w:spacing w:after="0"/>
        <w:jc w:val="both"/>
        <w:rPr>
          <w:rFonts w:ascii="Arial Narrow" w:hAnsi="Arial Narrow"/>
          <w:b/>
        </w:rPr>
      </w:pPr>
    </w:p>
    <w:p w14:paraId="79CFF6F3" w14:textId="3C3F033E" w:rsidR="00A215D4" w:rsidRPr="00A44D3F" w:rsidRDefault="69598C2B" w:rsidP="00A44D3F">
      <w:pPr>
        <w:spacing w:after="0"/>
        <w:jc w:val="both"/>
        <w:rPr>
          <w:rFonts w:ascii="Arial Narrow" w:hAnsi="Arial Narrow"/>
          <w:b/>
        </w:rPr>
      </w:pPr>
      <w:r w:rsidRPr="00A44D3F">
        <w:rPr>
          <w:rFonts w:ascii="Arial Narrow" w:hAnsi="Arial Narrow"/>
          <w:b/>
        </w:rPr>
        <w:t>Table 2: C</w:t>
      </w:r>
      <w:r w:rsidR="00CF4896">
        <w:rPr>
          <w:rFonts w:ascii="Arial Narrow" w:hAnsi="Arial Narrow"/>
          <w:b/>
        </w:rPr>
        <w:t xml:space="preserve">onsumer </w:t>
      </w:r>
      <w:r w:rsidRPr="00A44D3F">
        <w:rPr>
          <w:rFonts w:ascii="Arial Narrow" w:hAnsi="Arial Narrow"/>
          <w:b/>
        </w:rPr>
        <w:t>P</w:t>
      </w:r>
      <w:r w:rsidR="00CF4896">
        <w:rPr>
          <w:rFonts w:ascii="Arial Narrow" w:hAnsi="Arial Narrow"/>
          <w:b/>
        </w:rPr>
        <w:t xml:space="preserve">rice </w:t>
      </w:r>
      <w:r w:rsidRPr="00A44D3F">
        <w:rPr>
          <w:rFonts w:ascii="Arial Narrow" w:hAnsi="Arial Narrow"/>
          <w:b/>
        </w:rPr>
        <w:t>I</w:t>
      </w:r>
      <w:r w:rsidR="00CF4896">
        <w:rPr>
          <w:rFonts w:ascii="Arial Narrow" w:hAnsi="Arial Narrow"/>
          <w:b/>
        </w:rPr>
        <w:t>ndex</w:t>
      </w:r>
      <w:r w:rsidRPr="00A44D3F">
        <w:rPr>
          <w:rFonts w:ascii="Arial Narrow" w:hAnsi="Arial Narrow"/>
          <w:b/>
        </w:rPr>
        <w:t xml:space="preserve"> vs </w:t>
      </w:r>
      <w:r w:rsidR="00CF4896" w:rsidRPr="0D803B9D">
        <w:rPr>
          <w:rFonts w:ascii="Arial Narrow" w:eastAsia="Times New Roman" w:hAnsi="Arial Narrow" w:cstheme="minorBidi"/>
          <w:b/>
          <w:bCs/>
          <w:lang w:val="en-GB" w:eastAsia="en-ZA"/>
        </w:rPr>
        <w:t>Single Exist Price</w:t>
      </w:r>
    </w:p>
    <w:tbl>
      <w:tblPr>
        <w:tblStyle w:val="TableGrid"/>
        <w:tblW w:w="5000" w:type="pct"/>
        <w:tblLook w:val="04A0" w:firstRow="1" w:lastRow="0" w:firstColumn="1" w:lastColumn="0" w:noHBand="0" w:noVBand="1"/>
      </w:tblPr>
      <w:tblGrid>
        <w:gridCol w:w="2990"/>
        <w:gridCol w:w="3010"/>
        <w:gridCol w:w="3017"/>
      </w:tblGrid>
      <w:tr w:rsidR="0048119C" w:rsidRPr="0048119C" w14:paraId="7C5429D2" w14:textId="77777777" w:rsidTr="00CF4896">
        <w:trPr>
          <w:tblHeader/>
        </w:trPr>
        <w:tc>
          <w:tcPr>
            <w:tcW w:w="1658" w:type="pct"/>
            <w:shd w:val="clear" w:color="auto" w:fill="1F497D" w:themeFill="text2"/>
          </w:tcPr>
          <w:p w14:paraId="5CF8F671" w14:textId="545DF530" w:rsidR="005E04AE" w:rsidRPr="0048119C" w:rsidRDefault="005E04AE" w:rsidP="00BE52D1">
            <w:pPr>
              <w:pStyle w:val="ListParagraph"/>
              <w:spacing w:after="0"/>
              <w:ind w:left="0"/>
              <w:jc w:val="both"/>
              <w:rPr>
                <w:rFonts w:ascii="Arial Narrow" w:hAnsi="Arial Narrow"/>
                <w:b/>
                <w:color w:val="FFFFFF" w:themeColor="background1"/>
                <w:lang w:val="en-GB"/>
              </w:rPr>
            </w:pPr>
            <w:r w:rsidRPr="0048119C">
              <w:rPr>
                <w:rFonts w:ascii="Arial Narrow" w:hAnsi="Arial Narrow"/>
                <w:b/>
                <w:color w:val="FFFFFF" w:themeColor="background1"/>
                <w:lang w:val="en-GB"/>
              </w:rPr>
              <w:t>Year</w:t>
            </w:r>
          </w:p>
        </w:tc>
        <w:tc>
          <w:tcPr>
            <w:tcW w:w="1669" w:type="pct"/>
            <w:shd w:val="clear" w:color="auto" w:fill="1F497D" w:themeFill="text2"/>
          </w:tcPr>
          <w:p w14:paraId="56133B7E" w14:textId="775512AD" w:rsidR="005E04AE" w:rsidRPr="0048119C" w:rsidRDefault="005E04AE" w:rsidP="000113BB">
            <w:pPr>
              <w:pStyle w:val="ListParagraph"/>
              <w:spacing w:after="0"/>
              <w:ind w:left="0"/>
              <w:jc w:val="center"/>
              <w:rPr>
                <w:rFonts w:ascii="Arial Narrow" w:hAnsi="Arial Narrow"/>
                <w:b/>
                <w:color w:val="FFFFFF" w:themeColor="background1"/>
                <w:lang w:val="en-GB"/>
              </w:rPr>
            </w:pPr>
            <w:r w:rsidRPr="0048119C">
              <w:rPr>
                <w:rFonts w:ascii="Arial Narrow" w:hAnsi="Arial Narrow"/>
                <w:b/>
                <w:color w:val="FFFFFF" w:themeColor="background1"/>
                <w:lang w:val="en-GB"/>
              </w:rPr>
              <w:t>Average CPI</w:t>
            </w:r>
          </w:p>
        </w:tc>
        <w:tc>
          <w:tcPr>
            <w:tcW w:w="1673" w:type="pct"/>
            <w:shd w:val="clear" w:color="auto" w:fill="1F497D" w:themeFill="text2"/>
          </w:tcPr>
          <w:p w14:paraId="3ADE46F0" w14:textId="594469F6" w:rsidR="005E04AE" w:rsidRPr="0048119C" w:rsidRDefault="005E04AE" w:rsidP="000113BB">
            <w:pPr>
              <w:pStyle w:val="ListParagraph"/>
              <w:spacing w:after="0"/>
              <w:ind w:left="0"/>
              <w:jc w:val="center"/>
              <w:rPr>
                <w:rFonts w:ascii="Arial Narrow" w:hAnsi="Arial Narrow"/>
                <w:b/>
                <w:color w:val="FFFFFF" w:themeColor="background1"/>
                <w:lang w:val="en-GB"/>
              </w:rPr>
            </w:pPr>
            <w:r w:rsidRPr="0048119C">
              <w:rPr>
                <w:rFonts w:ascii="Arial Narrow" w:hAnsi="Arial Narrow"/>
                <w:b/>
                <w:color w:val="FFFFFF" w:themeColor="background1"/>
                <w:lang w:val="en-GB"/>
              </w:rPr>
              <w:t>Approved SEP Increase</w:t>
            </w:r>
          </w:p>
        </w:tc>
      </w:tr>
      <w:tr w:rsidR="005E04AE" w14:paraId="2D4FE8E1" w14:textId="77777777" w:rsidTr="00CF4896">
        <w:tc>
          <w:tcPr>
            <w:tcW w:w="1658" w:type="pct"/>
          </w:tcPr>
          <w:p w14:paraId="43D545D0" w14:textId="7DB14CFB"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2011</w:t>
            </w:r>
          </w:p>
        </w:tc>
        <w:tc>
          <w:tcPr>
            <w:tcW w:w="1669" w:type="pct"/>
          </w:tcPr>
          <w:p w14:paraId="67E42563" w14:textId="53D7BE51" w:rsidR="005E04AE" w:rsidRPr="00971466" w:rsidRDefault="00DC677B" w:rsidP="00CF4896">
            <w:pPr>
              <w:pStyle w:val="ListParagraph"/>
              <w:spacing w:after="0"/>
              <w:ind w:left="0"/>
              <w:jc w:val="center"/>
              <w:rPr>
                <w:rFonts w:ascii="Arial Narrow" w:hAnsi="Arial Narrow"/>
                <w:lang w:val="en-GB"/>
              </w:rPr>
            </w:pPr>
            <w:r w:rsidRPr="00971466">
              <w:rPr>
                <w:rFonts w:ascii="Arial Narrow" w:hAnsi="Arial Narrow"/>
                <w:lang w:val="en-GB"/>
              </w:rPr>
              <w:t>5.</w:t>
            </w:r>
            <w:r w:rsidRPr="00971466">
              <w:rPr>
                <w:rFonts w:ascii="Arial Narrow" w:hAnsi="Arial Narrow"/>
                <w:bCs/>
                <w:lang w:val="en-GB"/>
              </w:rPr>
              <w:t>0</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367B253A" w14:textId="6A6E83EB" w:rsidR="005E04AE" w:rsidRPr="00971466" w:rsidRDefault="004C6EC7" w:rsidP="00CF4896">
            <w:pPr>
              <w:pStyle w:val="ListParagraph"/>
              <w:spacing w:after="0"/>
              <w:ind w:left="0"/>
              <w:jc w:val="center"/>
              <w:rPr>
                <w:rFonts w:ascii="Arial Narrow" w:hAnsi="Arial Narrow"/>
                <w:lang w:val="en-GB"/>
              </w:rPr>
            </w:pPr>
            <w:r w:rsidRPr="00971466">
              <w:rPr>
                <w:rFonts w:ascii="Arial Narrow" w:hAnsi="Arial Narrow"/>
                <w:lang w:val="en-GB"/>
              </w:rPr>
              <w:t>0.00%</w:t>
            </w:r>
          </w:p>
        </w:tc>
      </w:tr>
      <w:tr w:rsidR="005E04AE" w14:paraId="0308E712" w14:textId="77777777" w:rsidTr="00CF4896">
        <w:tc>
          <w:tcPr>
            <w:tcW w:w="1658" w:type="pct"/>
          </w:tcPr>
          <w:p w14:paraId="6DA5CC2A" w14:textId="0AD31F18"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2012</w:t>
            </w:r>
          </w:p>
        </w:tc>
        <w:tc>
          <w:tcPr>
            <w:tcW w:w="1669" w:type="pct"/>
          </w:tcPr>
          <w:p w14:paraId="0C964B97" w14:textId="16AD06B7" w:rsidR="005E04AE" w:rsidRPr="00971466" w:rsidRDefault="00853FA6" w:rsidP="00CF4896">
            <w:pPr>
              <w:pStyle w:val="ListParagraph"/>
              <w:spacing w:after="0"/>
              <w:ind w:left="0"/>
              <w:jc w:val="center"/>
              <w:rPr>
                <w:rFonts w:ascii="Arial Narrow" w:hAnsi="Arial Narrow"/>
                <w:lang w:val="en-GB"/>
              </w:rPr>
            </w:pPr>
            <w:r w:rsidRPr="00971466">
              <w:rPr>
                <w:rFonts w:ascii="Arial Narrow" w:hAnsi="Arial Narrow"/>
                <w:lang w:val="en-GB"/>
              </w:rPr>
              <w:t>5.</w:t>
            </w:r>
            <w:r w:rsidRPr="00971466">
              <w:rPr>
                <w:rFonts w:ascii="Arial Narrow" w:hAnsi="Arial Narrow"/>
                <w:bCs/>
                <w:lang w:val="en-GB"/>
              </w:rPr>
              <w:t>6</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7CDE9BB8" w14:textId="192D3B49"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2.10%</w:t>
            </w:r>
          </w:p>
        </w:tc>
      </w:tr>
      <w:tr w:rsidR="005E04AE" w14:paraId="5B2AC8EF" w14:textId="77777777" w:rsidTr="00CF4896">
        <w:tc>
          <w:tcPr>
            <w:tcW w:w="1658" w:type="pct"/>
          </w:tcPr>
          <w:p w14:paraId="07954F85" w14:textId="2FB53331"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2013</w:t>
            </w:r>
          </w:p>
        </w:tc>
        <w:tc>
          <w:tcPr>
            <w:tcW w:w="1669" w:type="pct"/>
          </w:tcPr>
          <w:p w14:paraId="06185AB8" w14:textId="06E7536E"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5.</w:t>
            </w:r>
            <w:r w:rsidRPr="00971466">
              <w:rPr>
                <w:rFonts w:ascii="Arial Narrow" w:hAnsi="Arial Narrow"/>
                <w:bCs/>
                <w:lang w:val="en-GB"/>
              </w:rPr>
              <w:t>7</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6F5CEE31" w14:textId="0E835A87"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5.80%</w:t>
            </w:r>
          </w:p>
        </w:tc>
      </w:tr>
      <w:tr w:rsidR="005E04AE" w14:paraId="4FF58A36" w14:textId="77777777" w:rsidTr="00CF4896">
        <w:tc>
          <w:tcPr>
            <w:tcW w:w="1658" w:type="pct"/>
          </w:tcPr>
          <w:p w14:paraId="136B6ACB" w14:textId="20B8F1E7"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2014</w:t>
            </w:r>
          </w:p>
        </w:tc>
        <w:tc>
          <w:tcPr>
            <w:tcW w:w="1669" w:type="pct"/>
          </w:tcPr>
          <w:p w14:paraId="1AECABCA" w14:textId="7378583B"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6.</w:t>
            </w:r>
            <w:r w:rsidRPr="00971466">
              <w:rPr>
                <w:rFonts w:ascii="Arial Narrow" w:hAnsi="Arial Narrow"/>
                <w:bCs/>
                <w:lang w:val="en-GB"/>
              </w:rPr>
              <w:t>1</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04872726" w14:textId="7C6A3F40"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5.82%</w:t>
            </w:r>
          </w:p>
        </w:tc>
      </w:tr>
      <w:tr w:rsidR="005E04AE" w14:paraId="08F7EC98" w14:textId="77777777" w:rsidTr="00CF4896">
        <w:tc>
          <w:tcPr>
            <w:tcW w:w="1658" w:type="pct"/>
          </w:tcPr>
          <w:p w14:paraId="19C4164E" w14:textId="25C1FEDB"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2015</w:t>
            </w:r>
          </w:p>
        </w:tc>
        <w:tc>
          <w:tcPr>
            <w:tcW w:w="1669" w:type="pct"/>
          </w:tcPr>
          <w:p w14:paraId="12987C44" w14:textId="6ADDD541"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4.</w:t>
            </w:r>
            <w:r w:rsidRPr="00971466">
              <w:rPr>
                <w:rFonts w:ascii="Arial Narrow" w:hAnsi="Arial Narrow"/>
                <w:bCs/>
                <w:lang w:val="en-GB"/>
              </w:rPr>
              <w:t>6</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7EE3EC94" w14:textId="10D35ECA"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7.50%</w:t>
            </w:r>
          </w:p>
        </w:tc>
      </w:tr>
      <w:tr w:rsidR="005E04AE" w14:paraId="1B732C7D" w14:textId="77777777" w:rsidTr="00CF4896">
        <w:tc>
          <w:tcPr>
            <w:tcW w:w="1658" w:type="pct"/>
          </w:tcPr>
          <w:p w14:paraId="2A3C3C64" w14:textId="7BBF1F4F"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2016</w:t>
            </w:r>
          </w:p>
        </w:tc>
        <w:tc>
          <w:tcPr>
            <w:tcW w:w="1669" w:type="pct"/>
          </w:tcPr>
          <w:p w14:paraId="63E59281" w14:textId="5B4B0856"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6.</w:t>
            </w:r>
            <w:r w:rsidRPr="00971466">
              <w:rPr>
                <w:rFonts w:ascii="Arial Narrow" w:hAnsi="Arial Narrow"/>
                <w:bCs/>
                <w:lang w:val="en-GB"/>
              </w:rPr>
              <w:t>4</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79325852" w14:textId="0655B409"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4.80%</w:t>
            </w:r>
          </w:p>
        </w:tc>
      </w:tr>
      <w:tr w:rsidR="005E04AE" w14:paraId="0968EE2B" w14:textId="77777777" w:rsidTr="00CF4896">
        <w:tc>
          <w:tcPr>
            <w:tcW w:w="1658" w:type="pct"/>
          </w:tcPr>
          <w:p w14:paraId="2C7E8410" w14:textId="5D1735E2"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2017</w:t>
            </w:r>
          </w:p>
        </w:tc>
        <w:tc>
          <w:tcPr>
            <w:tcW w:w="1669" w:type="pct"/>
          </w:tcPr>
          <w:p w14:paraId="0C9D2CB0" w14:textId="688BB078"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5.</w:t>
            </w:r>
            <w:r w:rsidRPr="00971466">
              <w:rPr>
                <w:rFonts w:ascii="Arial Narrow" w:hAnsi="Arial Narrow"/>
                <w:bCs/>
                <w:lang w:val="en-GB"/>
              </w:rPr>
              <w:t>3</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04C80B5F" w14:textId="3550E6DA" w:rsidR="005E04AE" w:rsidRPr="00971466" w:rsidRDefault="00F73EAA" w:rsidP="00CF4896">
            <w:pPr>
              <w:pStyle w:val="ListParagraph"/>
              <w:spacing w:after="0"/>
              <w:ind w:left="0"/>
              <w:jc w:val="center"/>
              <w:rPr>
                <w:rFonts w:ascii="Arial Narrow" w:hAnsi="Arial Narrow"/>
                <w:lang w:val="en-GB"/>
              </w:rPr>
            </w:pPr>
            <w:r w:rsidRPr="00971466">
              <w:rPr>
                <w:rFonts w:ascii="Arial Narrow" w:hAnsi="Arial Narrow"/>
                <w:lang w:val="en-GB"/>
              </w:rPr>
              <w:t>7.50%</w:t>
            </w:r>
          </w:p>
        </w:tc>
      </w:tr>
      <w:tr w:rsidR="005E04AE" w14:paraId="014C5581" w14:textId="77777777" w:rsidTr="00CF4896">
        <w:tc>
          <w:tcPr>
            <w:tcW w:w="1658" w:type="pct"/>
          </w:tcPr>
          <w:p w14:paraId="0BF01C54" w14:textId="428EDEB7"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2018</w:t>
            </w:r>
          </w:p>
        </w:tc>
        <w:tc>
          <w:tcPr>
            <w:tcW w:w="1669" w:type="pct"/>
          </w:tcPr>
          <w:p w14:paraId="157B87AD" w14:textId="0F6ED0A8" w:rsidR="005E04AE" w:rsidRPr="00971466" w:rsidRDefault="000551F6" w:rsidP="00CF4896">
            <w:pPr>
              <w:pStyle w:val="ListParagraph"/>
              <w:spacing w:after="0"/>
              <w:ind w:left="0"/>
              <w:jc w:val="center"/>
              <w:rPr>
                <w:rFonts w:ascii="Arial Narrow" w:hAnsi="Arial Narrow"/>
                <w:lang w:val="en-GB"/>
              </w:rPr>
            </w:pPr>
            <w:r w:rsidRPr="00971466">
              <w:rPr>
                <w:rFonts w:ascii="Arial Narrow" w:hAnsi="Arial Narrow"/>
                <w:lang w:val="en-GB"/>
              </w:rPr>
              <w:t>4.</w:t>
            </w:r>
            <w:r w:rsidR="00BD6044">
              <w:rPr>
                <w:rFonts w:ascii="Arial Narrow" w:hAnsi="Arial Narrow"/>
                <w:lang w:val="en-GB"/>
              </w:rPr>
              <w:t>7</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3F10C46D" w14:textId="64D2B3D2" w:rsidR="005E04AE" w:rsidRPr="00971466" w:rsidRDefault="00557550" w:rsidP="00CF4896">
            <w:pPr>
              <w:pStyle w:val="ListParagraph"/>
              <w:spacing w:after="0"/>
              <w:ind w:left="0"/>
              <w:jc w:val="center"/>
              <w:rPr>
                <w:rFonts w:ascii="Arial Narrow" w:hAnsi="Arial Narrow"/>
                <w:lang w:val="en-GB"/>
              </w:rPr>
            </w:pPr>
            <w:r w:rsidRPr="00971466">
              <w:rPr>
                <w:rFonts w:ascii="Arial Narrow" w:hAnsi="Arial Narrow"/>
                <w:lang w:val="en-GB"/>
              </w:rPr>
              <w:t>1.26%</w:t>
            </w:r>
          </w:p>
        </w:tc>
      </w:tr>
      <w:tr w:rsidR="005E04AE" w14:paraId="0520F399" w14:textId="77777777" w:rsidTr="00CF4896">
        <w:tc>
          <w:tcPr>
            <w:tcW w:w="1658" w:type="pct"/>
          </w:tcPr>
          <w:p w14:paraId="5F29A30B" w14:textId="0BB9EC8B"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2019</w:t>
            </w:r>
          </w:p>
        </w:tc>
        <w:tc>
          <w:tcPr>
            <w:tcW w:w="1669" w:type="pct"/>
          </w:tcPr>
          <w:p w14:paraId="5B60CAEA" w14:textId="618BC0CB" w:rsidR="005E04AE" w:rsidRPr="00971466" w:rsidRDefault="00D37831" w:rsidP="00CF4896">
            <w:pPr>
              <w:pStyle w:val="ListParagraph"/>
              <w:spacing w:after="0"/>
              <w:ind w:left="0"/>
              <w:jc w:val="center"/>
              <w:rPr>
                <w:rFonts w:ascii="Arial Narrow" w:hAnsi="Arial Narrow"/>
                <w:lang w:val="en-GB"/>
              </w:rPr>
            </w:pPr>
            <w:r w:rsidRPr="00971466">
              <w:rPr>
                <w:rFonts w:ascii="Arial Narrow" w:hAnsi="Arial Narrow"/>
                <w:lang w:val="en-GB"/>
              </w:rPr>
              <w:t>4.</w:t>
            </w:r>
            <w:r w:rsidR="000363D0">
              <w:rPr>
                <w:rFonts w:ascii="Arial Narrow" w:hAnsi="Arial Narrow"/>
                <w:lang w:val="en-GB"/>
              </w:rPr>
              <w:t>1</w:t>
            </w:r>
            <w:r w:rsidR="00BA2908" w:rsidRPr="00971466">
              <w:rPr>
                <w:rFonts w:ascii="Arial Narrow" w:hAnsi="Arial Narrow"/>
                <w:bCs/>
                <w:lang w:val="en-GB"/>
              </w:rPr>
              <w:t>0</w:t>
            </w:r>
            <w:r w:rsidR="00347808" w:rsidRPr="00971466">
              <w:rPr>
                <w:rFonts w:ascii="Arial Narrow" w:hAnsi="Arial Narrow"/>
                <w:lang w:val="en-GB"/>
              </w:rPr>
              <w:t>%</w:t>
            </w:r>
          </w:p>
        </w:tc>
        <w:tc>
          <w:tcPr>
            <w:tcW w:w="1673" w:type="pct"/>
          </w:tcPr>
          <w:p w14:paraId="2B555EC2" w14:textId="47D777E7" w:rsidR="005E04AE" w:rsidRPr="00971466" w:rsidRDefault="0048119C" w:rsidP="00CF4896">
            <w:pPr>
              <w:pStyle w:val="ListParagraph"/>
              <w:spacing w:after="0"/>
              <w:ind w:left="0"/>
              <w:jc w:val="center"/>
              <w:rPr>
                <w:rFonts w:ascii="Arial Narrow" w:hAnsi="Arial Narrow"/>
                <w:lang w:val="en-GB"/>
              </w:rPr>
            </w:pPr>
            <w:r w:rsidRPr="00971466">
              <w:rPr>
                <w:rFonts w:ascii="Arial Narrow" w:hAnsi="Arial Narrow"/>
                <w:lang w:val="en-GB"/>
              </w:rPr>
              <w:t>3.78%</w:t>
            </w:r>
          </w:p>
        </w:tc>
      </w:tr>
      <w:tr w:rsidR="005E04AE" w14:paraId="71DDD78C" w14:textId="77777777" w:rsidTr="00CF4896">
        <w:tc>
          <w:tcPr>
            <w:tcW w:w="1658" w:type="pct"/>
          </w:tcPr>
          <w:p w14:paraId="37AF7834" w14:textId="6E834786" w:rsidR="005E04AE" w:rsidRDefault="005E04AE" w:rsidP="00BE52D1">
            <w:pPr>
              <w:pStyle w:val="ListParagraph"/>
              <w:spacing w:after="0"/>
              <w:ind w:left="0"/>
              <w:jc w:val="both"/>
              <w:rPr>
                <w:rFonts w:ascii="Arial Narrow" w:hAnsi="Arial Narrow"/>
                <w:b/>
                <w:lang w:val="en-GB"/>
              </w:rPr>
            </w:pPr>
            <w:r>
              <w:rPr>
                <w:rFonts w:ascii="Arial Narrow" w:hAnsi="Arial Narrow"/>
                <w:b/>
                <w:lang w:val="en-GB"/>
              </w:rPr>
              <w:t>20</w:t>
            </w:r>
            <w:r w:rsidR="00DC677B">
              <w:rPr>
                <w:rFonts w:ascii="Arial Narrow" w:hAnsi="Arial Narrow"/>
                <w:b/>
                <w:lang w:val="en-GB"/>
              </w:rPr>
              <w:t>20</w:t>
            </w:r>
          </w:p>
        </w:tc>
        <w:tc>
          <w:tcPr>
            <w:tcW w:w="1669" w:type="pct"/>
          </w:tcPr>
          <w:p w14:paraId="61A32D11" w14:textId="7B7E7BD4" w:rsidR="005E04AE" w:rsidRPr="00971466" w:rsidRDefault="009E0F2F" w:rsidP="00CF4896">
            <w:pPr>
              <w:pStyle w:val="ListParagraph"/>
              <w:spacing w:after="0"/>
              <w:ind w:left="0"/>
              <w:jc w:val="center"/>
              <w:rPr>
                <w:rFonts w:ascii="Arial Narrow" w:hAnsi="Arial Narrow"/>
                <w:lang w:val="en-GB"/>
              </w:rPr>
            </w:pPr>
            <w:r w:rsidRPr="00971466">
              <w:rPr>
                <w:rFonts w:ascii="Arial Narrow" w:hAnsi="Arial Narrow"/>
                <w:lang w:val="en-GB"/>
              </w:rPr>
              <w:t>3.</w:t>
            </w:r>
            <w:r w:rsidRPr="00971466">
              <w:rPr>
                <w:rFonts w:ascii="Arial Narrow" w:hAnsi="Arial Narrow"/>
                <w:bCs/>
                <w:lang w:val="en-GB"/>
              </w:rPr>
              <w:t>3</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4C04DEA2" w14:textId="114D353A" w:rsidR="005E04AE" w:rsidRPr="00971466" w:rsidRDefault="00926591" w:rsidP="00CF4896">
            <w:pPr>
              <w:pStyle w:val="ListParagraph"/>
              <w:spacing w:after="0"/>
              <w:ind w:left="0"/>
              <w:jc w:val="center"/>
              <w:rPr>
                <w:rFonts w:ascii="Arial Narrow" w:hAnsi="Arial Narrow"/>
                <w:lang w:val="en-GB"/>
              </w:rPr>
            </w:pPr>
            <w:r w:rsidRPr="00971466">
              <w:rPr>
                <w:rFonts w:ascii="Arial Narrow" w:hAnsi="Arial Narrow"/>
                <w:lang w:val="en-GB"/>
              </w:rPr>
              <w:t>4.</w:t>
            </w:r>
            <w:r w:rsidR="000837F0" w:rsidRPr="00971466">
              <w:rPr>
                <w:rFonts w:ascii="Arial Narrow" w:hAnsi="Arial Narrow"/>
                <w:lang w:val="en-GB"/>
              </w:rPr>
              <w:t>53</w:t>
            </w:r>
            <w:r w:rsidRPr="00971466">
              <w:rPr>
                <w:rFonts w:ascii="Arial Narrow" w:hAnsi="Arial Narrow"/>
                <w:lang w:val="en-GB"/>
              </w:rPr>
              <w:t>%</w:t>
            </w:r>
          </w:p>
        </w:tc>
      </w:tr>
      <w:tr w:rsidR="00DC677B" w14:paraId="6E5C220C" w14:textId="77777777" w:rsidTr="00CF4896">
        <w:tc>
          <w:tcPr>
            <w:tcW w:w="1658" w:type="pct"/>
          </w:tcPr>
          <w:p w14:paraId="066CFFD2" w14:textId="47A6DC4E" w:rsidR="00DC677B" w:rsidRDefault="00DC677B" w:rsidP="00BE52D1">
            <w:pPr>
              <w:pStyle w:val="ListParagraph"/>
              <w:spacing w:after="0"/>
              <w:ind w:left="0"/>
              <w:jc w:val="both"/>
              <w:rPr>
                <w:rFonts w:ascii="Arial Narrow" w:hAnsi="Arial Narrow"/>
                <w:b/>
                <w:lang w:val="en-GB"/>
              </w:rPr>
            </w:pPr>
            <w:r>
              <w:rPr>
                <w:rFonts w:ascii="Arial Narrow" w:hAnsi="Arial Narrow"/>
                <w:b/>
                <w:lang w:val="en-GB"/>
              </w:rPr>
              <w:t>2021</w:t>
            </w:r>
          </w:p>
        </w:tc>
        <w:tc>
          <w:tcPr>
            <w:tcW w:w="1669" w:type="pct"/>
          </w:tcPr>
          <w:p w14:paraId="1E9ED61C" w14:textId="3E6167EE" w:rsidR="00DC677B" w:rsidRPr="00971466" w:rsidRDefault="007E3A56" w:rsidP="00CF4896">
            <w:pPr>
              <w:pStyle w:val="ListParagraph"/>
              <w:spacing w:after="0"/>
              <w:ind w:left="0"/>
              <w:jc w:val="center"/>
              <w:rPr>
                <w:rFonts w:ascii="Arial Narrow" w:hAnsi="Arial Narrow"/>
                <w:lang w:val="en-GB"/>
              </w:rPr>
            </w:pPr>
            <w:r w:rsidRPr="00971466">
              <w:rPr>
                <w:rFonts w:ascii="Arial Narrow" w:hAnsi="Arial Narrow"/>
                <w:lang w:val="en-GB"/>
              </w:rPr>
              <w:t>4.</w:t>
            </w:r>
            <w:r w:rsidRPr="00971466">
              <w:rPr>
                <w:rFonts w:ascii="Arial Narrow" w:hAnsi="Arial Narrow"/>
                <w:bCs/>
                <w:lang w:val="en-GB"/>
              </w:rPr>
              <w:t>5</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4E88BA33" w14:textId="0E334A0B" w:rsidR="00DC677B" w:rsidRPr="00971466" w:rsidRDefault="005C1678" w:rsidP="00CF4896">
            <w:pPr>
              <w:pStyle w:val="ListParagraph"/>
              <w:spacing w:after="0"/>
              <w:ind w:left="0"/>
              <w:jc w:val="center"/>
              <w:rPr>
                <w:rFonts w:ascii="Arial Narrow" w:hAnsi="Arial Narrow"/>
                <w:lang w:val="en-GB"/>
              </w:rPr>
            </w:pPr>
            <w:r w:rsidRPr="00971466">
              <w:rPr>
                <w:rFonts w:ascii="Arial Narrow" w:hAnsi="Arial Narrow"/>
                <w:lang w:val="en-GB"/>
              </w:rPr>
              <w:t>3.68</w:t>
            </w:r>
            <w:r w:rsidR="00926591" w:rsidRPr="00971466">
              <w:rPr>
                <w:rFonts w:ascii="Arial Narrow" w:hAnsi="Arial Narrow"/>
                <w:lang w:val="en-GB"/>
              </w:rPr>
              <w:t>%</w:t>
            </w:r>
          </w:p>
        </w:tc>
      </w:tr>
      <w:tr w:rsidR="00A013AC" w14:paraId="16641B5B" w14:textId="77777777" w:rsidTr="00CF4896">
        <w:tc>
          <w:tcPr>
            <w:tcW w:w="1658" w:type="pct"/>
          </w:tcPr>
          <w:p w14:paraId="4BD918B7" w14:textId="1A160699" w:rsidR="00A013AC" w:rsidRDefault="00A013AC" w:rsidP="00BE52D1">
            <w:pPr>
              <w:pStyle w:val="ListParagraph"/>
              <w:spacing w:after="0" w:line="240" w:lineRule="auto"/>
              <w:ind w:left="0"/>
              <w:jc w:val="both"/>
              <w:rPr>
                <w:rFonts w:ascii="Arial Narrow" w:hAnsi="Arial Narrow"/>
                <w:b/>
                <w:lang w:val="en-GB"/>
              </w:rPr>
            </w:pPr>
            <w:r>
              <w:rPr>
                <w:rFonts w:ascii="Arial Narrow" w:hAnsi="Arial Narrow"/>
                <w:b/>
                <w:lang w:val="en-GB"/>
              </w:rPr>
              <w:t>2022</w:t>
            </w:r>
          </w:p>
        </w:tc>
        <w:tc>
          <w:tcPr>
            <w:tcW w:w="1669" w:type="pct"/>
          </w:tcPr>
          <w:p w14:paraId="6296025D" w14:textId="39DCEF4D" w:rsidR="00A013AC" w:rsidRPr="00971466" w:rsidRDefault="00986697" w:rsidP="00CF4896">
            <w:pPr>
              <w:pStyle w:val="ListParagraph"/>
              <w:spacing w:after="0" w:line="240" w:lineRule="auto"/>
              <w:ind w:left="0"/>
              <w:jc w:val="center"/>
              <w:rPr>
                <w:rFonts w:ascii="Arial Narrow" w:hAnsi="Arial Narrow"/>
                <w:lang w:val="en-GB"/>
              </w:rPr>
            </w:pPr>
            <w:r w:rsidRPr="00971466">
              <w:rPr>
                <w:rFonts w:ascii="Arial Narrow" w:hAnsi="Arial Narrow"/>
                <w:lang w:val="en-GB"/>
              </w:rPr>
              <w:t>6.</w:t>
            </w:r>
            <w:r w:rsidRPr="00971466">
              <w:rPr>
                <w:rFonts w:ascii="Arial Narrow" w:hAnsi="Arial Narrow"/>
                <w:bCs/>
                <w:lang w:val="en-GB"/>
              </w:rPr>
              <w:t>9</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2FE59A7B" w14:textId="59DF5A6E" w:rsidR="00A013AC" w:rsidRPr="00971466" w:rsidRDefault="00926591" w:rsidP="00CF4896">
            <w:pPr>
              <w:pStyle w:val="ListParagraph"/>
              <w:spacing w:after="0" w:line="240" w:lineRule="auto"/>
              <w:ind w:left="0"/>
              <w:jc w:val="center"/>
              <w:rPr>
                <w:rFonts w:ascii="Arial Narrow" w:hAnsi="Arial Narrow"/>
                <w:lang w:val="en-GB"/>
              </w:rPr>
            </w:pPr>
            <w:r w:rsidRPr="00971466">
              <w:rPr>
                <w:rFonts w:ascii="Arial Narrow" w:hAnsi="Arial Narrow"/>
                <w:lang w:val="en-GB"/>
              </w:rPr>
              <w:t>3.50%</w:t>
            </w:r>
          </w:p>
        </w:tc>
      </w:tr>
      <w:tr w:rsidR="00DC677B" w14:paraId="404FF1C4" w14:textId="77777777" w:rsidTr="00CF4896">
        <w:tc>
          <w:tcPr>
            <w:tcW w:w="1658" w:type="pct"/>
          </w:tcPr>
          <w:p w14:paraId="023BB824" w14:textId="0805127C" w:rsidR="00DC677B" w:rsidRDefault="00DC677B" w:rsidP="00BE52D1">
            <w:pPr>
              <w:pStyle w:val="ListParagraph"/>
              <w:spacing w:after="0"/>
              <w:ind w:left="0"/>
              <w:jc w:val="both"/>
              <w:rPr>
                <w:rFonts w:ascii="Arial Narrow" w:hAnsi="Arial Narrow"/>
                <w:b/>
                <w:lang w:val="en-GB"/>
              </w:rPr>
            </w:pPr>
            <w:r>
              <w:rPr>
                <w:rFonts w:ascii="Arial Narrow" w:hAnsi="Arial Narrow"/>
                <w:b/>
                <w:lang w:val="en-GB"/>
              </w:rPr>
              <w:t>202</w:t>
            </w:r>
            <w:r w:rsidR="00E4056B">
              <w:rPr>
                <w:rFonts w:ascii="Arial Narrow" w:hAnsi="Arial Narrow"/>
                <w:b/>
                <w:lang w:val="en-GB"/>
              </w:rPr>
              <w:t>3</w:t>
            </w:r>
          </w:p>
        </w:tc>
        <w:tc>
          <w:tcPr>
            <w:tcW w:w="1669" w:type="pct"/>
          </w:tcPr>
          <w:p w14:paraId="4813FC9E" w14:textId="6BD52EA4" w:rsidR="00DC677B" w:rsidRPr="00971466" w:rsidRDefault="00BE007F" w:rsidP="00CF4896">
            <w:pPr>
              <w:pStyle w:val="ListParagraph"/>
              <w:spacing w:after="0"/>
              <w:ind w:left="0"/>
              <w:jc w:val="center"/>
              <w:rPr>
                <w:rFonts w:ascii="Arial Narrow" w:hAnsi="Arial Narrow"/>
                <w:lang w:val="en-GB"/>
              </w:rPr>
            </w:pPr>
            <w:r w:rsidRPr="00971466">
              <w:rPr>
                <w:rFonts w:ascii="Arial Narrow" w:hAnsi="Arial Narrow"/>
                <w:lang w:val="en-GB"/>
              </w:rPr>
              <w:t>6.</w:t>
            </w:r>
            <w:r w:rsidRPr="00971466">
              <w:rPr>
                <w:rFonts w:ascii="Arial Narrow" w:hAnsi="Arial Narrow"/>
                <w:bCs/>
                <w:lang w:val="en-GB"/>
              </w:rPr>
              <w:t>0</w:t>
            </w:r>
            <w:r w:rsidR="00BA2908" w:rsidRPr="00971466">
              <w:rPr>
                <w:rFonts w:ascii="Arial Narrow" w:hAnsi="Arial Narrow"/>
                <w:bCs/>
                <w:lang w:val="en-GB"/>
              </w:rPr>
              <w:t>0</w:t>
            </w:r>
            <w:r w:rsidRPr="00971466">
              <w:rPr>
                <w:rFonts w:ascii="Arial Narrow" w:hAnsi="Arial Narrow"/>
                <w:lang w:val="en-GB"/>
              </w:rPr>
              <w:t>%</w:t>
            </w:r>
          </w:p>
        </w:tc>
        <w:tc>
          <w:tcPr>
            <w:tcW w:w="1673" w:type="pct"/>
          </w:tcPr>
          <w:p w14:paraId="41CF1470" w14:textId="733FC5AE" w:rsidR="00DC677B" w:rsidRPr="00971466" w:rsidRDefault="00936263" w:rsidP="00CF4896">
            <w:pPr>
              <w:pStyle w:val="ListParagraph"/>
              <w:spacing w:after="0"/>
              <w:ind w:left="0"/>
              <w:jc w:val="center"/>
              <w:rPr>
                <w:rFonts w:ascii="Arial Narrow" w:hAnsi="Arial Narrow"/>
                <w:lang w:val="en-GB"/>
              </w:rPr>
            </w:pPr>
            <w:r w:rsidRPr="00971466">
              <w:rPr>
                <w:rFonts w:ascii="Arial Narrow" w:hAnsi="Arial Narrow"/>
                <w:lang w:val="en-GB"/>
              </w:rPr>
              <w:t>3.</w:t>
            </w:r>
            <w:r w:rsidR="0094705E" w:rsidRPr="00971466">
              <w:rPr>
                <w:rFonts w:ascii="Arial Narrow" w:hAnsi="Arial Narrow"/>
                <w:lang w:val="en-GB"/>
              </w:rPr>
              <w:t>2</w:t>
            </w:r>
            <w:r w:rsidR="002768DD" w:rsidRPr="00971466">
              <w:rPr>
                <w:rFonts w:ascii="Arial Narrow" w:hAnsi="Arial Narrow"/>
                <w:lang w:val="en-GB"/>
              </w:rPr>
              <w:t>8</w:t>
            </w:r>
            <w:r w:rsidR="0094705E" w:rsidRPr="00971466">
              <w:rPr>
                <w:rFonts w:ascii="Arial Narrow" w:hAnsi="Arial Narrow"/>
                <w:lang w:val="en-GB"/>
              </w:rPr>
              <w:t>%</w:t>
            </w:r>
          </w:p>
        </w:tc>
      </w:tr>
    </w:tbl>
    <w:p w14:paraId="091A7887" w14:textId="105EB5A8" w:rsidR="00EE70BE" w:rsidRPr="00EE70BE" w:rsidRDefault="00EE70BE" w:rsidP="00EE70BE">
      <w:pPr>
        <w:spacing w:line="360" w:lineRule="auto"/>
        <w:rPr>
          <w:rFonts w:ascii="Arial Narrow" w:eastAsia="Times New Roman" w:hAnsi="Arial Narrow" w:cs="Tahoma"/>
          <w:i/>
          <w:sz w:val="20"/>
          <w:szCs w:val="20"/>
          <w:lang w:val="en-ZA"/>
        </w:rPr>
      </w:pPr>
      <w:r>
        <w:rPr>
          <w:rFonts w:ascii="Arial Narrow" w:eastAsia="Times New Roman" w:hAnsi="Arial Narrow" w:cs="Tahoma"/>
          <w:b/>
          <w:sz w:val="20"/>
          <w:szCs w:val="20"/>
          <w:lang w:val="en-ZA"/>
        </w:rPr>
        <w:t xml:space="preserve">       </w:t>
      </w:r>
      <w:r w:rsidRPr="00EE70BE">
        <w:rPr>
          <w:rFonts w:ascii="Arial Narrow" w:eastAsia="Times New Roman" w:hAnsi="Arial Narrow" w:cs="Tahoma"/>
          <w:b/>
          <w:sz w:val="20"/>
          <w:szCs w:val="20"/>
          <w:lang w:val="en-ZA"/>
        </w:rPr>
        <w:t>Note:</w:t>
      </w:r>
      <w:r w:rsidRPr="00EE70BE">
        <w:rPr>
          <w:rFonts w:ascii="Arial Narrow" w:eastAsia="Times New Roman" w:hAnsi="Arial Narrow" w:cs="Tahoma"/>
          <w:i/>
          <w:sz w:val="20"/>
          <w:szCs w:val="20"/>
          <w:lang w:val="en-ZA"/>
        </w:rPr>
        <w:t xml:space="preserve"> SEP formula is published by the Pricing Committee </w:t>
      </w:r>
    </w:p>
    <w:p w14:paraId="29EAA376" w14:textId="77777777" w:rsidR="004C6FF4" w:rsidRDefault="004C6FF4" w:rsidP="00B90B8F">
      <w:pPr>
        <w:pStyle w:val="ListParagraph"/>
        <w:ind w:left="360"/>
        <w:jc w:val="both"/>
        <w:rPr>
          <w:rFonts w:ascii="Arial Narrow" w:hAnsi="Arial Narrow"/>
          <w:b/>
          <w:lang w:val="en-GB"/>
        </w:rPr>
      </w:pPr>
    </w:p>
    <w:p w14:paraId="3A90BC00" w14:textId="77777777" w:rsidR="00ED25AD" w:rsidRDefault="00ED25AD">
      <w:pPr>
        <w:spacing w:after="0" w:line="240" w:lineRule="auto"/>
        <w:rPr>
          <w:rFonts w:ascii="Arial Narrow" w:eastAsiaTheme="minorHAnsi" w:hAnsi="Arial Narrow" w:cstheme="minorBidi"/>
          <w:b/>
          <w:lang w:val="en-GB" w:eastAsia="en-ZA"/>
        </w:rPr>
      </w:pPr>
      <w:r>
        <w:rPr>
          <w:rFonts w:ascii="Arial Narrow" w:eastAsiaTheme="minorHAnsi" w:hAnsi="Arial Narrow" w:cstheme="minorBidi"/>
          <w:b/>
          <w:lang w:val="en-GB" w:eastAsia="en-ZA"/>
        </w:rPr>
        <w:br w:type="page"/>
      </w:r>
    </w:p>
    <w:p w14:paraId="7D54E847" w14:textId="298DA8C8" w:rsidR="00893F42" w:rsidRPr="001416D0" w:rsidRDefault="00500195" w:rsidP="00893F42">
      <w:pPr>
        <w:pStyle w:val="ListParagraph"/>
        <w:numPr>
          <w:ilvl w:val="0"/>
          <w:numId w:val="7"/>
        </w:numPr>
        <w:jc w:val="both"/>
        <w:rPr>
          <w:rFonts w:ascii="Arial Narrow" w:hAnsi="Arial Narrow"/>
          <w:b/>
          <w:lang w:val="en-GB"/>
        </w:rPr>
      </w:pPr>
      <w:r>
        <w:rPr>
          <w:rFonts w:ascii="Arial Narrow" w:eastAsiaTheme="minorHAnsi" w:hAnsi="Arial Narrow" w:cstheme="minorBidi"/>
          <w:b/>
          <w:lang w:val="en-GB" w:eastAsia="en-ZA"/>
        </w:rPr>
        <w:lastRenderedPageBreak/>
        <w:t>MANDATORY S</w:t>
      </w:r>
      <w:r w:rsidRPr="001416D0">
        <w:rPr>
          <w:rFonts w:ascii="Arial Narrow" w:eastAsiaTheme="minorHAnsi" w:hAnsi="Arial Narrow" w:cstheme="minorBidi"/>
          <w:b/>
          <w:lang w:val="en-GB" w:eastAsia="en-ZA"/>
        </w:rPr>
        <w:t>TATUTORY REQUIREMENTS FOR SUBMISSION OF RULE AMENDMENTS</w:t>
      </w:r>
    </w:p>
    <w:p w14:paraId="3D5FD704" w14:textId="77777777" w:rsidR="00893F42" w:rsidRPr="007E686C" w:rsidRDefault="00893F42" w:rsidP="00893F42">
      <w:pPr>
        <w:tabs>
          <w:tab w:val="right" w:pos="9720"/>
        </w:tabs>
        <w:spacing w:after="0"/>
        <w:ind w:left="360" w:right="27"/>
        <w:contextualSpacing/>
        <w:jc w:val="both"/>
        <w:rPr>
          <w:rFonts w:ascii="Arial Narrow" w:eastAsia="Times New Roman" w:hAnsi="Arial Narrow"/>
          <w:bCs/>
          <w:lang w:val="en-GB"/>
        </w:rPr>
      </w:pPr>
      <w:r w:rsidRPr="007E686C">
        <w:rPr>
          <w:rFonts w:ascii="Arial Narrow" w:eastAsia="Times New Roman" w:hAnsi="Arial Narrow"/>
          <w:bCs/>
          <w:lang w:val="en-GB"/>
        </w:rPr>
        <w:t>The following process must be adhered to when submitting amendments in terms of section 31(3), section 33 (1) (2) (5), regulation 2(d) and regulation 4(b) &amp; (d) of the Medical Schemes Act:</w:t>
      </w:r>
    </w:p>
    <w:p w14:paraId="20C88B99" w14:textId="77777777" w:rsidR="00893F42" w:rsidRPr="007E686C" w:rsidRDefault="00893F42" w:rsidP="00893F42">
      <w:pPr>
        <w:tabs>
          <w:tab w:val="right" w:pos="9720"/>
        </w:tabs>
        <w:spacing w:after="0"/>
        <w:ind w:left="360" w:right="345"/>
        <w:contextualSpacing/>
        <w:jc w:val="both"/>
        <w:rPr>
          <w:rFonts w:ascii="Arial Narrow" w:eastAsia="Times New Roman" w:hAnsi="Arial Narrow"/>
          <w:bCs/>
          <w:lang w:val="en-GB"/>
        </w:rPr>
      </w:pPr>
    </w:p>
    <w:p w14:paraId="48A02993" w14:textId="18E13ACA" w:rsidR="00893F42" w:rsidRPr="00086A30" w:rsidRDefault="00843729" w:rsidP="00090687">
      <w:pPr>
        <w:pStyle w:val="ListParagraph"/>
        <w:numPr>
          <w:ilvl w:val="1"/>
          <w:numId w:val="7"/>
        </w:numPr>
        <w:ind w:left="450"/>
        <w:jc w:val="both"/>
        <w:rPr>
          <w:rFonts w:ascii="Arial Narrow" w:hAnsi="Arial Narrow"/>
          <w:bCs/>
          <w:lang w:val="en-GB"/>
        </w:rPr>
      </w:pPr>
      <w:bookmarkStart w:id="5" w:name="_Hlk46087515"/>
      <w:r>
        <w:rPr>
          <w:rFonts w:ascii="Arial Narrow" w:eastAsia="Times New Roman" w:hAnsi="Arial Narrow"/>
          <w:lang w:val="en-GB"/>
        </w:rPr>
        <w:t>S</w:t>
      </w:r>
      <w:r w:rsidR="00893F42" w:rsidRPr="00086A30">
        <w:rPr>
          <w:rFonts w:ascii="Arial Narrow" w:eastAsia="Times New Roman" w:hAnsi="Arial Narrow"/>
          <w:lang w:val="en-GB"/>
        </w:rPr>
        <w:t>chemes must submit a dated and certified resolution of their respective Board of Trustees</w:t>
      </w:r>
      <w:r w:rsidR="00893F42">
        <w:rPr>
          <w:rFonts w:ascii="Arial Narrow" w:eastAsia="Times New Roman" w:hAnsi="Arial Narrow"/>
          <w:lang w:val="en-GB"/>
        </w:rPr>
        <w:t xml:space="preserve"> (BoTs)</w:t>
      </w:r>
      <w:r w:rsidR="00893F42" w:rsidRPr="00086A30">
        <w:rPr>
          <w:rFonts w:ascii="Arial Narrow" w:eastAsia="Times New Roman" w:hAnsi="Arial Narrow"/>
          <w:lang w:val="en-GB"/>
        </w:rPr>
        <w:t xml:space="preserve"> with the wording “</w:t>
      </w:r>
      <w:r w:rsidR="00893F42" w:rsidRPr="00086A30">
        <w:rPr>
          <w:rFonts w:ascii="Arial Narrow" w:eastAsia="Times New Roman" w:hAnsi="Arial Narrow"/>
          <w:i/>
          <w:lang w:val="en-GB"/>
        </w:rPr>
        <w:t>Certified as having been adopted in terms of the rules</w:t>
      </w:r>
      <w:r w:rsidR="00893F42" w:rsidRPr="00086A30">
        <w:rPr>
          <w:rFonts w:ascii="Arial Narrow" w:eastAsia="Times New Roman" w:hAnsi="Arial Narrow"/>
          <w:lang w:val="en-GB"/>
        </w:rPr>
        <w:t xml:space="preserve">” </w:t>
      </w:r>
      <w:r w:rsidR="00893F42" w:rsidRPr="00086A30">
        <w:rPr>
          <w:rFonts w:ascii="Arial Narrow" w:eastAsia="Times New Roman" w:hAnsi="Arial Narrow"/>
          <w:b/>
          <w:u w:val="single"/>
          <w:lang w:val="en-GB"/>
        </w:rPr>
        <w:t>together with</w:t>
      </w:r>
      <w:r w:rsidR="00893F42" w:rsidRPr="00086A30">
        <w:rPr>
          <w:rFonts w:ascii="Arial Narrow" w:eastAsia="Times New Roman" w:hAnsi="Arial Narrow"/>
          <w:lang w:val="en-GB"/>
        </w:rPr>
        <w:t xml:space="preserve"> a summary of the changes and </w:t>
      </w:r>
      <w:r w:rsidR="00893F42">
        <w:rPr>
          <w:rFonts w:ascii="Arial Narrow" w:eastAsia="Times New Roman" w:hAnsi="Arial Narrow"/>
          <w:lang w:val="en-GB"/>
        </w:rPr>
        <w:t>a</w:t>
      </w:r>
      <w:r w:rsidR="00893F42" w:rsidRPr="00086A30">
        <w:rPr>
          <w:rFonts w:ascii="Arial Narrow" w:eastAsia="Times New Roman" w:hAnsi="Arial Narrow"/>
          <w:lang w:val="en-GB"/>
        </w:rPr>
        <w:t xml:space="preserve"> copy of </w:t>
      </w:r>
      <w:r w:rsidR="00893F42">
        <w:rPr>
          <w:rFonts w:ascii="Arial Narrow" w:eastAsia="Times New Roman" w:hAnsi="Arial Narrow"/>
          <w:lang w:val="en-GB"/>
        </w:rPr>
        <w:t xml:space="preserve">the </w:t>
      </w:r>
      <w:r w:rsidR="00893F42" w:rsidRPr="00086A30">
        <w:rPr>
          <w:rFonts w:ascii="Arial Narrow" w:eastAsia="Times New Roman" w:hAnsi="Arial Narrow"/>
          <w:lang w:val="en-GB"/>
        </w:rPr>
        <w:t xml:space="preserve">rules with tracked changes of the proposed amendments to the respective benefits and/or contributions to </w:t>
      </w:r>
      <w:r w:rsidR="00CF2E35">
        <w:rPr>
          <w:rFonts w:ascii="Arial Narrow" w:eastAsia="Times New Roman" w:hAnsi="Arial Narrow"/>
          <w:lang w:val="en-GB"/>
        </w:rPr>
        <w:t>expedite</w:t>
      </w:r>
      <w:r w:rsidR="00893F42" w:rsidRPr="00086A30">
        <w:rPr>
          <w:rFonts w:ascii="Arial Narrow" w:eastAsia="Times New Roman" w:hAnsi="Arial Narrow"/>
          <w:lang w:val="en-GB"/>
        </w:rPr>
        <w:t xml:space="preserve"> the review process. The format for tracked changes can either be shown in the margin in balloons or as underlined/strikethrough of the text to ensure that the submission is apparent.</w:t>
      </w:r>
    </w:p>
    <w:p w14:paraId="4367C0B2" w14:textId="77777777" w:rsidR="00893F42" w:rsidRPr="00086A30" w:rsidRDefault="00893F42" w:rsidP="00893F42">
      <w:pPr>
        <w:pStyle w:val="ListParagraph"/>
        <w:spacing w:after="0"/>
        <w:ind w:left="792"/>
        <w:jc w:val="both"/>
        <w:rPr>
          <w:rFonts w:ascii="Arial Narrow" w:hAnsi="Arial Narrow"/>
          <w:bCs/>
          <w:lang w:val="en-GB"/>
        </w:rPr>
      </w:pPr>
    </w:p>
    <w:p w14:paraId="7E5853C3" w14:textId="77777777" w:rsidR="00893F42" w:rsidRPr="00086A3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lang w:val="en-GB"/>
        </w:rPr>
        <w:t xml:space="preserve">Any rule amendments that the CMS requested in previous submissions must be incorporated into the current amendments, if not effected already. </w:t>
      </w:r>
    </w:p>
    <w:p w14:paraId="1D925DA6" w14:textId="77777777" w:rsidR="00893F42" w:rsidRPr="00086A30" w:rsidRDefault="00893F42" w:rsidP="00BE52D1">
      <w:pPr>
        <w:pStyle w:val="ListParagraph"/>
        <w:spacing w:after="0"/>
        <w:ind w:left="426" w:hanging="426"/>
        <w:jc w:val="both"/>
        <w:rPr>
          <w:rFonts w:ascii="Arial Narrow" w:hAnsi="Arial Narrow"/>
          <w:bCs/>
          <w:lang w:val="en-GB"/>
        </w:rPr>
      </w:pPr>
    </w:p>
    <w:p w14:paraId="131F5BE2" w14:textId="77777777" w:rsidR="00893F42" w:rsidRPr="00086A3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lang w:val="en-GB"/>
        </w:rPr>
        <w:t>No text should be underlined in the original documents or copies of the rules of each medical scheme.</w:t>
      </w:r>
    </w:p>
    <w:p w14:paraId="3514B7E2" w14:textId="77777777" w:rsidR="00893F42" w:rsidRPr="00086A30" w:rsidRDefault="00893F42" w:rsidP="00893F42">
      <w:pPr>
        <w:spacing w:after="0"/>
        <w:jc w:val="both"/>
        <w:rPr>
          <w:rFonts w:ascii="Arial Narrow" w:hAnsi="Arial Narrow"/>
          <w:bCs/>
          <w:lang w:val="en-GB"/>
        </w:rPr>
      </w:pPr>
    </w:p>
    <w:p w14:paraId="76DF1737" w14:textId="14132BF6" w:rsidR="00893F42" w:rsidRPr="00086A3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b/>
          <w:lang w:val="en-GB"/>
        </w:rPr>
        <w:t>Appendix 1A or 1A (2)</w:t>
      </w:r>
      <w:r w:rsidRPr="00086A30">
        <w:rPr>
          <w:rFonts w:ascii="Arial Narrow" w:eastAsia="Times New Roman" w:hAnsi="Arial Narrow"/>
          <w:lang w:val="en-GB"/>
        </w:rPr>
        <w:t xml:space="preserve"> must only be completed for each benefit option </w:t>
      </w:r>
      <w:r>
        <w:rPr>
          <w:rFonts w:ascii="Arial Narrow" w:eastAsia="Times New Roman" w:hAnsi="Arial Narrow"/>
          <w:lang w:val="en-GB"/>
        </w:rPr>
        <w:t>that</w:t>
      </w:r>
      <w:r w:rsidRPr="00086A30">
        <w:rPr>
          <w:rFonts w:ascii="Arial Narrow" w:eastAsia="Times New Roman" w:hAnsi="Arial Narrow"/>
          <w:lang w:val="en-GB"/>
        </w:rPr>
        <w:t xml:space="preserve"> was registered in 202</w:t>
      </w:r>
      <w:r w:rsidR="00523CD9">
        <w:rPr>
          <w:rFonts w:ascii="Arial Narrow" w:eastAsia="Times New Roman" w:hAnsi="Arial Narrow"/>
          <w:lang w:val="en-GB"/>
        </w:rPr>
        <w:t>3</w:t>
      </w:r>
      <w:r w:rsidRPr="00086A30">
        <w:rPr>
          <w:rFonts w:ascii="Arial Narrow" w:eastAsia="Times New Roman" w:hAnsi="Arial Narrow"/>
          <w:lang w:val="en-GB"/>
        </w:rPr>
        <w:t>, and again for all benefit options which the scheme intends to register in 202</w:t>
      </w:r>
      <w:r w:rsidR="00523CD9">
        <w:rPr>
          <w:rFonts w:ascii="Arial Narrow" w:eastAsia="Times New Roman" w:hAnsi="Arial Narrow"/>
          <w:lang w:val="en-GB"/>
        </w:rPr>
        <w:t>4</w:t>
      </w:r>
      <w:r w:rsidRPr="00086A30">
        <w:rPr>
          <w:rFonts w:ascii="Arial Narrow" w:eastAsia="Times New Roman" w:hAnsi="Arial Narrow"/>
          <w:lang w:val="en-GB"/>
        </w:rPr>
        <w:t>.</w:t>
      </w:r>
      <w:r w:rsidR="0085150C">
        <w:rPr>
          <w:rFonts w:ascii="Arial Narrow" w:eastAsia="Times New Roman" w:hAnsi="Arial Narrow"/>
          <w:lang w:val="en-GB"/>
        </w:rPr>
        <w:t xml:space="preserve"> S</w:t>
      </w:r>
      <w:r w:rsidR="0085150C" w:rsidRPr="00A51AC8">
        <w:rPr>
          <w:rFonts w:ascii="Arial Narrow" w:eastAsia="Times New Roman" w:hAnsi="Arial Narrow"/>
          <w:lang w:val="en-GB"/>
        </w:rPr>
        <w:t>chemes are required to include</w:t>
      </w:r>
      <w:r w:rsidR="0085150C">
        <w:rPr>
          <w:rFonts w:ascii="Arial Narrow" w:eastAsia="Times New Roman" w:hAnsi="Arial Narrow"/>
          <w:lang w:val="en-GB"/>
        </w:rPr>
        <w:t xml:space="preserve"> </w:t>
      </w:r>
      <w:r w:rsidR="0085150C" w:rsidRPr="00A51AC8">
        <w:rPr>
          <w:rFonts w:ascii="Arial Narrow" w:eastAsia="Times New Roman" w:hAnsi="Arial Narrow"/>
          <w:lang w:val="en-GB"/>
        </w:rPr>
        <w:t xml:space="preserve">the scheme registration number </w:t>
      </w:r>
      <w:r w:rsidR="0085150C">
        <w:rPr>
          <w:rFonts w:ascii="Arial Narrow" w:eastAsia="Times New Roman" w:hAnsi="Arial Narrow"/>
          <w:lang w:val="en-GB"/>
        </w:rPr>
        <w:t xml:space="preserve">(Scheme Ref No) </w:t>
      </w:r>
      <w:r w:rsidR="0085150C" w:rsidRPr="00A51AC8">
        <w:rPr>
          <w:rFonts w:ascii="Arial Narrow" w:eastAsia="Times New Roman" w:hAnsi="Arial Narrow"/>
          <w:lang w:val="en-GB"/>
        </w:rPr>
        <w:t>and benefit option identifier</w:t>
      </w:r>
      <w:r w:rsidR="0085150C">
        <w:rPr>
          <w:rFonts w:ascii="Arial Narrow" w:eastAsia="Times New Roman" w:hAnsi="Arial Narrow"/>
          <w:lang w:val="en-GB"/>
        </w:rPr>
        <w:t xml:space="preserve"> (Benefit Option Id)</w:t>
      </w:r>
      <w:r w:rsidR="0085150C" w:rsidRPr="00A51AC8">
        <w:rPr>
          <w:rFonts w:ascii="Arial Narrow" w:eastAsia="Times New Roman" w:hAnsi="Arial Narrow"/>
          <w:lang w:val="en-GB"/>
        </w:rPr>
        <w:t xml:space="preserve"> in the respective cells of the </w:t>
      </w:r>
      <w:r w:rsidR="0085150C">
        <w:rPr>
          <w:rFonts w:ascii="Arial Narrow" w:eastAsia="Times New Roman" w:hAnsi="Arial Narrow"/>
          <w:lang w:val="en-GB"/>
        </w:rPr>
        <w:t>Appendix</w:t>
      </w:r>
      <w:r w:rsidR="0085150C" w:rsidRPr="00A51AC8">
        <w:rPr>
          <w:rFonts w:ascii="Arial Narrow" w:eastAsia="Times New Roman" w:hAnsi="Arial Narrow"/>
          <w:lang w:val="en-GB"/>
        </w:rPr>
        <w:t>.</w:t>
      </w:r>
    </w:p>
    <w:p w14:paraId="678A8912" w14:textId="77777777" w:rsidR="00893F42" w:rsidRPr="00086A30" w:rsidRDefault="00893F42" w:rsidP="00BE52D1">
      <w:pPr>
        <w:pStyle w:val="ListParagraph"/>
        <w:spacing w:after="0"/>
        <w:ind w:left="426" w:hanging="426"/>
        <w:jc w:val="both"/>
        <w:rPr>
          <w:rFonts w:ascii="Arial Narrow" w:hAnsi="Arial Narrow"/>
          <w:bCs/>
          <w:lang w:val="en-GB"/>
        </w:rPr>
      </w:pPr>
    </w:p>
    <w:p w14:paraId="48B96D8D" w14:textId="2A311C4D" w:rsidR="00893F42" w:rsidRPr="00086A3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b/>
          <w:lang w:val="en-GB"/>
        </w:rPr>
        <w:t>Appendix C or C (2)</w:t>
      </w:r>
      <w:r w:rsidRPr="00086A30">
        <w:rPr>
          <w:rFonts w:ascii="Arial Narrow" w:eastAsia="Times New Roman" w:hAnsi="Arial Narrow"/>
          <w:lang w:val="en-GB"/>
        </w:rPr>
        <w:t xml:space="preserve"> must be completed for each benefit option </w:t>
      </w:r>
      <w:r>
        <w:rPr>
          <w:rFonts w:ascii="Arial Narrow" w:eastAsia="Times New Roman" w:hAnsi="Arial Narrow"/>
          <w:lang w:val="en-GB"/>
        </w:rPr>
        <w:t>that</w:t>
      </w:r>
      <w:r w:rsidRPr="00086A30">
        <w:rPr>
          <w:rFonts w:ascii="Arial Narrow" w:eastAsia="Times New Roman" w:hAnsi="Arial Narrow"/>
          <w:lang w:val="en-GB"/>
        </w:rPr>
        <w:t xml:space="preserve"> was registered in 202</w:t>
      </w:r>
      <w:r w:rsidR="00523CD9">
        <w:rPr>
          <w:rFonts w:ascii="Arial Narrow" w:eastAsia="Times New Roman" w:hAnsi="Arial Narrow"/>
          <w:lang w:val="en-GB"/>
        </w:rPr>
        <w:t>3</w:t>
      </w:r>
      <w:r w:rsidRPr="00086A30">
        <w:rPr>
          <w:rFonts w:ascii="Arial Narrow" w:eastAsia="Times New Roman" w:hAnsi="Arial Narrow"/>
          <w:lang w:val="en-GB"/>
        </w:rPr>
        <w:t xml:space="preserve">, with different contribution rates based on income band or </w:t>
      </w:r>
      <w:r w:rsidRPr="00086A30">
        <w:rPr>
          <w:rFonts w:ascii="Arial Narrow" w:eastAsia="Times New Roman" w:hAnsi="Arial Narrow"/>
          <w:b/>
          <w:lang w:val="en-GB"/>
        </w:rPr>
        <w:t>efficiency-discounted</w:t>
      </w:r>
      <w:r w:rsidRPr="00086A30">
        <w:rPr>
          <w:rFonts w:ascii="Arial Narrow" w:eastAsia="Times New Roman" w:hAnsi="Arial Narrow"/>
          <w:lang w:val="en-GB"/>
        </w:rPr>
        <w:t xml:space="preserve"> (EDO) sub-options, in an instance where the benefit option is to be registered for 202</w:t>
      </w:r>
      <w:r w:rsidR="00523CD9">
        <w:rPr>
          <w:rFonts w:ascii="Arial Narrow" w:eastAsia="Times New Roman" w:hAnsi="Arial Narrow"/>
          <w:lang w:val="en-GB"/>
        </w:rPr>
        <w:t>4</w:t>
      </w:r>
      <w:r w:rsidRPr="00086A30">
        <w:rPr>
          <w:rFonts w:ascii="Arial Narrow" w:eastAsia="Times New Roman" w:hAnsi="Arial Narrow"/>
          <w:lang w:val="en-GB"/>
        </w:rPr>
        <w:t xml:space="preserve">. </w:t>
      </w:r>
      <w:r w:rsidR="00A656B2">
        <w:rPr>
          <w:rFonts w:ascii="Arial Narrow" w:eastAsia="Times New Roman" w:hAnsi="Arial Narrow"/>
          <w:lang w:val="en-GB"/>
        </w:rPr>
        <w:t>S</w:t>
      </w:r>
      <w:r w:rsidR="00A656B2" w:rsidRPr="00A51AC8">
        <w:rPr>
          <w:rFonts w:ascii="Arial Narrow" w:eastAsia="Times New Roman" w:hAnsi="Arial Narrow"/>
          <w:lang w:val="en-GB"/>
        </w:rPr>
        <w:t>chemes are required to include</w:t>
      </w:r>
      <w:r w:rsidR="00A656B2">
        <w:rPr>
          <w:rFonts w:ascii="Arial Narrow" w:eastAsia="Times New Roman" w:hAnsi="Arial Narrow"/>
          <w:lang w:val="en-GB"/>
        </w:rPr>
        <w:t xml:space="preserve"> </w:t>
      </w:r>
      <w:r w:rsidR="00A656B2" w:rsidRPr="00A51AC8">
        <w:rPr>
          <w:rFonts w:ascii="Arial Narrow" w:eastAsia="Times New Roman" w:hAnsi="Arial Narrow"/>
          <w:lang w:val="en-GB"/>
        </w:rPr>
        <w:t xml:space="preserve">the scheme registration number </w:t>
      </w:r>
      <w:r w:rsidR="00A656B2">
        <w:rPr>
          <w:rFonts w:ascii="Arial Narrow" w:eastAsia="Times New Roman" w:hAnsi="Arial Narrow"/>
          <w:lang w:val="en-GB"/>
        </w:rPr>
        <w:t xml:space="preserve">(Scheme Ref No) </w:t>
      </w:r>
      <w:r w:rsidR="00A656B2" w:rsidRPr="00A51AC8">
        <w:rPr>
          <w:rFonts w:ascii="Arial Narrow" w:eastAsia="Times New Roman" w:hAnsi="Arial Narrow"/>
          <w:lang w:val="en-GB"/>
        </w:rPr>
        <w:t>and benefit option identifier</w:t>
      </w:r>
      <w:r w:rsidR="00A656B2">
        <w:rPr>
          <w:rFonts w:ascii="Arial Narrow" w:eastAsia="Times New Roman" w:hAnsi="Arial Narrow"/>
          <w:lang w:val="en-GB"/>
        </w:rPr>
        <w:t xml:space="preserve"> (Benefit Option Id)</w:t>
      </w:r>
      <w:r w:rsidR="00A656B2" w:rsidRPr="00A51AC8">
        <w:rPr>
          <w:rFonts w:ascii="Arial Narrow" w:eastAsia="Times New Roman" w:hAnsi="Arial Narrow"/>
          <w:lang w:val="en-GB"/>
        </w:rPr>
        <w:t xml:space="preserve"> in the respective cells of the </w:t>
      </w:r>
      <w:r w:rsidR="00A656B2">
        <w:rPr>
          <w:rFonts w:ascii="Arial Narrow" w:eastAsia="Times New Roman" w:hAnsi="Arial Narrow"/>
          <w:lang w:val="en-GB"/>
        </w:rPr>
        <w:t>Appendix</w:t>
      </w:r>
      <w:r w:rsidR="00A656B2" w:rsidRPr="00A51AC8">
        <w:rPr>
          <w:rFonts w:ascii="Arial Narrow" w:eastAsia="Times New Roman" w:hAnsi="Arial Narrow"/>
          <w:lang w:val="en-GB"/>
        </w:rPr>
        <w:t>.</w:t>
      </w:r>
    </w:p>
    <w:p w14:paraId="0CAC9749" w14:textId="77777777" w:rsidR="00893F42" w:rsidRPr="00086A30" w:rsidRDefault="00893F42" w:rsidP="00BE52D1">
      <w:pPr>
        <w:pStyle w:val="ListParagraph"/>
        <w:spacing w:after="0"/>
        <w:ind w:left="426" w:hanging="426"/>
        <w:jc w:val="both"/>
        <w:rPr>
          <w:rFonts w:ascii="Arial Narrow" w:hAnsi="Arial Narrow"/>
          <w:bCs/>
          <w:lang w:val="en-GB"/>
        </w:rPr>
      </w:pPr>
    </w:p>
    <w:p w14:paraId="543495EC" w14:textId="06E10657" w:rsidR="00893F42" w:rsidRPr="00086A3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b/>
          <w:lang w:val="en-GB"/>
        </w:rPr>
        <w:t>Appendix 1B</w:t>
      </w:r>
      <w:r w:rsidRPr="00086A30">
        <w:rPr>
          <w:rFonts w:ascii="Arial Narrow" w:eastAsia="Times New Roman" w:hAnsi="Arial Narrow"/>
          <w:lang w:val="en-GB"/>
        </w:rPr>
        <w:t xml:space="preserve"> must be completed for the entire medical scheme for both 202</w:t>
      </w:r>
      <w:r w:rsidR="00523CD9">
        <w:rPr>
          <w:rFonts w:ascii="Arial Narrow" w:eastAsia="Times New Roman" w:hAnsi="Arial Narrow"/>
          <w:lang w:val="en-GB"/>
        </w:rPr>
        <w:t>3</w:t>
      </w:r>
      <w:r w:rsidRPr="00086A30">
        <w:rPr>
          <w:rFonts w:ascii="Arial Narrow" w:eastAsia="Times New Roman" w:hAnsi="Arial Narrow"/>
          <w:lang w:val="en-GB"/>
        </w:rPr>
        <w:t xml:space="preserve"> and 202</w:t>
      </w:r>
      <w:r w:rsidR="00523CD9">
        <w:rPr>
          <w:rFonts w:ascii="Arial Narrow" w:eastAsia="Times New Roman" w:hAnsi="Arial Narrow"/>
          <w:lang w:val="en-GB"/>
        </w:rPr>
        <w:t>4</w:t>
      </w:r>
      <w:r w:rsidRPr="00086A30">
        <w:rPr>
          <w:rFonts w:ascii="Arial Narrow" w:eastAsia="Times New Roman" w:hAnsi="Arial Narrow"/>
          <w:lang w:val="en-GB"/>
        </w:rPr>
        <w:t>. Please note that schemes under close monitoring by the CMS need to provide input on the approved solvency ratio (row y) for 202</w:t>
      </w:r>
      <w:r w:rsidR="00523CD9">
        <w:rPr>
          <w:rFonts w:ascii="Arial Narrow" w:eastAsia="Times New Roman" w:hAnsi="Arial Narrow"/>
          <w:lang w:val="en-GB"/>
        </w:rPr>
        <w:t>3</w:t>
      </w:r>
      <w:r w:rsidRPr="00086A30">
        <w:rPr>
          <w:rFonts w:ascii="Arial Narrow" w:eastAsia="Times New Roman" w:hAnsi="Arial Narrow"/>
          <w:lang w:val="en-GB"/>
        </w:rPr>
        <w:t xml:space="preserve"> and 202</w:t>
      </w:r>
      <w:r w:rsidR="00523CD9">
        <w:rPr>
          <w:rFonts w:ascii="Arial Narrow" w:eastAsia="Times New Roman" w:hAnsi="Arial Narrow"/>
          <w:lang w:val="en-GB"/>
        </w:rPr>
        <w:t>4</w:t>
      </w:r>
      <w:r w:rsidRPr="00086A30">
        <w:rPr>
          <w:rFonts w:ascii="Arial Narrow" w:eastAsia="Times New Roman" w:hAnsi="Arial Narrow"/>
          <w:lang w:val="en-GB"/>
        </w:rPr>
        <w:t xml:space="preserve"> in Appendix B as per the approved business plan. The projected solvency ratio for 202</w:t>
      </w:r>
      <w:r w:rsidR="00523CD9">
        <w:rPr>
          <w:rFonts w:ascii="Arial Narrow" w:eastAsia="Times New Roman" w:hAnsi="Arial Narrow"/>
          <w:lang w:val="en-GB"/>
        </w:rPr>
        <w:t>3</w:t>
      </w:r>
      <w:r w:rsidRPr="00086A30">
        <w:rPr>
          <w:rFonts w:ascii="Arial Narrow" w:eastAsia="Times New Roman" w:hAnsi="Arial Narrow"/>
          <w:lang w:val="en-GB"/>
        </w:rPr>
        <w:t xml:space="preserve"> and 202</w:t>
      </w:r>
      <w:r w:rsidR="00523CD9">
        <w:rPr>
          <w:rFonts w:ascii="Arial Narrow" w:eastAsia="Times New Roman" w:hAnsi="Arial Narrow"/>
          <w:lang w:val="en-GB"/>
        </w:rPr>
        <w:t>4</w:t>
      </w:r>
      <w:r w:rsidRPr="00086A30">
        <w:rPr>
          <w:rFonts w:ascii="Arial Narrow" w:eastAsia="Times New Roman" w:hAnsi="Arial Narrow"/>
          <w:lang w:val="en-GB"/>
        </w:rPr>
        <w:t xml:space="preserve"> in Appendix 1B will be assessed in terms of the solvency ratio outlined in the business plan approved by the CMS, and any deviation must be explained in the scheme’s submission.</w:t>
      </w:r>
      <w:r w:rsidR="004029AF">
        <w:rPr>
          <w:rFonts w:ascii="Arial Narrow" w:eastAsia="Times New Roman" w:hAnsi="Arial Narrow"/>
          <w:lang w:val="en-GB"/>
        </w:rPr>
        <w:t xml:space="preserve"> </w:t>
      </w:r>
      <w:r w:rsidR="004029AF" w:rsidRPr="00C57DB9">
        <w:rPr>
          <w:rFonts w:ascii="Arial Narrow" w:eastAsia="Times New Roman" w:hAnsi="Arial Narrow"/>
          <w:lang w:val="en-GB"/>
        </w:rPr>
        <w:t>Schemes are required to include the scheme reference number (Scheme Ref No) in the provided cell.</w:t>
      </w:r>
    </w:p>
    <w:p w14:paraId="006866BD" w14:textId="77777777" w:rsidR="00893F42" w:rsidRPr="00086A30" w:rsidRDefault="00893F42" w:rsidP="00BE52D1">
      <w:pPr>
        <w:pStyle w:val="ListParagraph"/>
        <w:spacing w:after="0"/>
        <w:ind w:left="426" w:hanging="426"/>
        <w:jc w:val="both"/>
        <w:rPr>
          <w:rFonts w:ascii="Arial Narrow" w:hAnsi="Arial Narrow"/>
          <w:bCs/>
          <w:lang w:val="en-GB"/>
        </w:rPr>
      </w:pPr>
    </w:p>
    <w:p w14:paraId="403A18A2" w14:textId="629A0AEA" w:rsidR="00893F42" w:rsidRPr="00780DD8" w:rsidRDefault="00893F42" w:rsidP="00893F42">
      <w:pPr>
        <w:pStyle w:val="ListParagraph"/>
        <w:numPr>
          <w:ilvl w:val="1"/>
          <w:numId w:val="7"/>
        </w:numPr>
        <w:spacing w:after="0"/>
        <w:ind w:left="426" w:hanging="426"/>
        <w:jc w:val="both"/>
        <w:rPr>
          <w:rFonts w:ascii="Arial Narrow" w:hAnsi="Arial Narrow"/>
          <w:bCs/>
          <w:lang w:val="en-GB"/>
        </w:rPr>
      </w:pPr>
      <w:r w:rsidRPr="00780DD8">
        <w:rPr>
          <w:rFonts w:ascii="Arial Narrow" w:eastAsia="Times New Roman" w:hAnsi="Arial Narrow"/>
          <w:b/>
          <w:lang w:val="en-GB"/>
        </w:rPr>
        <w:t>Appendix D</w:t>
      </w:r>
      <w:r w:rsidRPr="00780DD8">
        <w:rPr>
          <w:rFonts w:ascii="Arial Narrow" w:eastAsia="Times New Roman" w:hAnsi="Arial Narrow"/>
          <w:lang w:val="en-GB"/>
        </w:rPr>
        <w:t xml:space="preserve"> requires information about the assumptions on cost increases and utilisation that medical schemes used in determining their respective contribution increase for the 202</w:t>
      </w:r>
      <w:r w:rsidR="00A02F4F">
        <w:rPr>
          <w:rFonts w:ascii="Arial Narrow" w:eastAsia="Times New Roman" w:hAnsi="Arial Narrow"/>
          <w:lang w:val="en-GB"/>
        </w:rPr>
        <w:t>4</w:t>
      </w:r>
      <w:r w:rsidRPr="00780DD8">
        <w:rPr>
          <w:rFonts w:ascii="Arial Narrow" w:eastAsia="Times New Roman" w:hAnsi="Arial Narrow"/>
          <w:lang w:val="en-GB"/>
        </w:rPr>
        <w:t xml:space="preserve"> benefit year.</w:t>
      </w:r>
      <w:r>
        <w:rPr>
          <w:rFonts w:ascii="Arial Narrow" w:eastAsia="Times New Roman" w:hAnsi="Arial Narrow"/>
          <w:lang w:val="en-GB"/>
        </w:rPr>
        <w:t xml:space="preserve"> </w:t>
      </w:r>
      <w:r w:rsidRPr="00780DD8">
        <w:rPr>
          <w:rFonts w:ascii="Arial Narrow" w:eastAsia="Times New Roman" w:hAnsi="Arial Narrow"/>
          <w:lang w:val="en-GB"/>
        </w:rPr>
        <w:t xml:space="preserve">Each medical scheme must complete the spreadsheet </w:t>
      </w:r>
      <w:r w:rsidRPr="00780DD8">
        <w:rPr>
          <w:rFonts w:ascii="Arial Narrow" w:eastAsia="Times New Roman" w:hAnsi="Arial Narrow"/>
          <w:b/>
          <w:lang w:val="en-GB"/>
        </w:rPr>
        <w:t>one time</w:t>
      </w:r>
      <w:r w:rsidRPr="00780DD8">
        <w:rPr>
          <w:rFonts w:ascii="Arial Narrow" w:eastAsia="Times New Roman" w:hAnsi="Arial Narrow"/>
          <w:lang w:val="en-GB"/>
        </w:rPr>
        <w:t xml:space="preserve"> </w:t>
      </w:r>
      <w:r w:rsidRPr="00780DD8">
        <w:rPr>
          <w:rFonts w:ascii="Arial Narrow" w:eastAsia="Times New Roman" w:hAnsi="Arial Narrow"/>
          <w:b/>
          <w:lang w:val="en-GB"/>
        </w:rPr>
        <w:t>only</w:t>
      </w:r>
      <w:r w:rsidRPr="00780DD8">
        <w:rPr>
          <w:rFonts w:ascii="Arial Narrow" w:eastAsia="Times New Roman" w:hAnsi="Arial Narrow"/>
          <w:lang w:val="en-GB"/>
        </w:rPr>
        <w:t>, and deviation(s) from the guideline assumptions must be explained in the motivation for increases.</w:t>
      </w:r>
      <w:r w:rsidR="004029AF">
        <w:rPr>
          <w:rFonts w:ascii="Arial Narrow" w:eastAsia="Times New Roman" w:hAnsi="Arial Narrow"/>
          <w:lang w:val="en-GB"/>
        </w:rPr>
        <w:t xml:space="preserve"> </w:t>
      </w:r>
      <w:r w:rsidR="004029AF" w:rsidRPr="00C57DB9">
        <w:rPr>
          <w:rFonts w:ascii="Arial Narrow" w:eastAsia="Times New Roman" w:hAnsi="Arial Narrow"/>
          <w:lang w:val="en-GB"/>
        </w:rPr>
        <w:t>Schemes are required to include the scheme reference number (Scheme Ref No) in the provided cell.</w:t>
      </w:r>
    </w:p>
    <w:p w14:paraId="0FCFCCA2" w14:textId="77777777" w:rsidR="00893F42" w:rsidRPr="00780DD8" w:rsidRDefault="00893F42" w:rsidP="00BE52D1">
      <w:pPr>
        <w:pStyle w:val="ListParagraph"/>
        <w:spacing w:after="0"/>
        <w:jc w:val="both"/>
        <w:rPr>
          <w:rFonts w:ascii="Arial Narrow" w:hAnsi="Arial Narrow"/>
          <w:bCs/>
          <w:lang w:val="en-GB"/>
        </w:rPr>
      </w:pPr>
    </w:p>
    <w:p w14:paraId="31EA132E" w14:textId="77777777" w:rsidR="00893F42" w:rsidRPr="001416D0" w:rsidRDefault="00893F42" w:rsidP="00893F42">
      <w:pPr>
        <w:pStyle w:val="ListParagraph"/>
        <w:numPr>
          <w:ilvl w:val="1"/>
          <w:numId w:val="7"/>
        </w:numPr>
        <w:spacing w:after="0"/>
        <w:ind w:left="426" w:hanging="426"/>
        <w:jc w:val="both"/>
        <w:rPr>
          <w:rFonts w:ascii="Arial Narrow" w:hAnsi="Arial Narrow"/>
          <w:bCs/>
          <w:lang w:val="en-GB"/>
        </w:rPr>
      </w:pPr>
      <w:r w:rsidRPr="00086A30">
        <w:rPr>
          <w:rFonts w:ascii="Arial Narrow" w:eastAsia="Times New Roman" w:hAnsi="Arial Narrow"/>
          <w:lang w:val="en-GB"/>
        </w:rPr>
        <w:t xml:space="preserve">All the Appendices must be submitted by the deadline date. </w:t>
      </w:r>
      <w:r w:rsidRPr="00DA0AD2">
        <w:rPr>
          <w:rFonts w:ascii="Arial Narrow" w:eastAsia="Times New Roman" w:hAnsi="Arial Narrow"/>
          <w:b/>
          <w:lang w:val="en-GB"/>
        </w:rPr>
        <w:t>Only the spreadsheet template provided should be used for the submission.</w:t>
      </w:r>
      <w:r w:rsidRPr="00086A30">
        <w:rPr>
          <w:rFonts w:ascii="Arial Narrow" w:eastAsia="Times New Roman" w:hAnsi="Arial Narrow"/>
          <w:lang w:val="en-GB"/>
        </w:rPr>
        <w:t xml:space="preserve"> The spreadsheet is available on the CMS </w:t>
      </w:r>
      <w:hyperlink r:id="rId19" w:history="1">
        <w:r w:rsidRPr="00C326CF">
          <w:rPr>
            <w:rStyle w:val="Hyperlink"/>
            <w:rFonts w:ascii="Arial Narrow" w:eastAsia="Times New Roman" w:hAnsi="Arial Narrow"/>
            <w:lang w:val="en-GB"/>
          </w:rPr>
          <w:t>website</w:t>
        </w:r>
      </w:hyperlink>
      <w:r w:rsidRPr="00086A30">
        <w:rPr>
          <w:rFonts w:ascii="Arial Narrow" w:eastAsia="Times New Roman" w:hAnsi="Arial Narrow"/>
          <w:lang w:val="en-GB"/>
        </w:rPr>
        <w:t>.</w:t>
      </w:r>
    </w:p>
    <w:p w14:paraId="7BEEAB9E" w14:textId="77777777" w:rsidR="00893F42" w:rsidRPr="001416D0" w:rsidRDefault="00893F42" w:rsidP="00893F42">
      <w:pPr>
        <w:pStyle w:val="ListParagraph"/>
        <w:ind w:left="426" w:hanging="426"/>
        <w:jc w:val="both"/>
        <w:rPr>
          <w:rFonts w:ascii="Arial Narrow" w:hAnsi="Arial Narrow"/>
          <w:bCs/>
          <w:lang w:val="en-GB"/>
        </w:rPr>
      </w:pPr>
    </w:p>
    <w:p w14:paraId="0E3AB96C" w14:textId="12AFC01A" w:rsidR="00893F42" w:rsidRPr="00086A30" w:rsidRDefault="00893F42" w:rsidP="00893F42">
      <w:pPr>
        <w:pStyle w:val="ListParagraph"/>
        <w:numPr>
          <w:ilvl w:val="1"/>
          <w:numId w:val="7"/>
        </w:numPr>
        <w:ind w:left="426" w:hanging="426"/>
        <w:jc w:val="both"/>
        <w:rPr>
          <w:rFonts w:ascii="Arial Narrow" w:hAnsi="Arial Narrow"/>
          <w:bCs/>
          <w:lang w:val="en-GB"/>
        </w:rPr>
      </w:pPr>
      <w:r w:rsidRPr="001416D0">
        <w:rPr>
          <w:rFonts w:ascii="Arial Narrow" w:eastAsia="Times New Roman" w:hAnsi="Arial Narrow"/>
          <w:lang w:val="en-GB"/>
        </w:rPr>
        <w:t xml:space="preserve">Schemes seeking to register </w:t>
      </w:r>
      <w:r w:rsidRPr="001416D0">
        <w:rPr>
          <w:rFonts w:ascii="Arial Narrow" w:eastAsia="Times New Roman" w:hAnsi="Arial Narrow"/>
          <w:b/>
          <w:lang w:val="en-GB"/>
        </w:rPr>
        <w:t>efficiency-discounted sub-options</w:t>
      </w:r>
      <w:r w:rsidRPr="00086A30">
        <w:rPr>
          <w:rFonts w:ascii="Arial Narrow" w:eastAsia="Times New Roman" w:hAnsi="Arial Narrow"/>
          <w:lang w:val="en-GB"/>
        </w:rPr>
        <w:t xml:space="preserve"> must have obtained an exemption from Section 29(1)(n) of the Medical Schemes Act. Section 8(h) stipulates that only the </w:t>
      </w:r>
      <w:r w:rsidR="00D73D2A" w:rsidRPr="00086A30">
        <w:rPr>
          <w:rFonts w:ascii="Arial Narrow" w:eastAsia="Times New Roman" w:hAnsi="Arial Narrow"/>
          <w:lang w:val="en-GB"/>
        </w:rPr>
        <w:t>Council has</w:t>
      </w:r>
      <w:r w:rsidRPr="00086A30">
        <w:rPr>
          <w:rFonts w:ascii="Arial Narrow" w:eastAsia="Times New Roman" w:hAnsi="Arial Narrow"/>
          <w:lang w:val="en-GB"/>
        </w:rPr>
        <w:t xml:space="preserve"> the power to grant exemptions from any provision of the Act. It should be noted that an exemption must be granted by the </w:t>
      </w:r>
      <w:r w:rsidRPr="00086A30">
        <w:rPr>
          <w:rFonts w:ascii="Arial Narrow" w:eastAsia="Times New Roman" w:hAnsi="Arial Narrow"/>
          <w:lang w:val="en-GB"/>
        </w:rPr>
        <w:lastRenderedPageBreak/>
        <w:t>CMS for each efficiency-discounted sub-option. An exemption is not granted at scheme level</w:t>
      </w:r>
      <w:r w:rsidR="00B73E15" w:rsidRPr="00086A30">
        <w:rPr>
          <w:rFonts w:ascii="Arial Narrow" w:eastAsia="Times New Roman" w:hAnsi="Arial Narrow"/>
          <w:lang w:val="en-GB"/>
        </w:rPr>
        <w:t>.</w:t>
      </w:r>
      <w:r w:rsidR="00B73E15">
        <w:rPr>
          <w:rFonts w:ascii="Arial Narrow" w:eastAsia="Times New Roman" w:hAnsi="Arial Narrow"/>
          <w:lang w:val="en-GB"/>
        </w:rPr>
        <w:t xml:space="preserve"> </w:t>
      </w:r>
      <w:r>
        <w:rPr>
          <w:rFonts w:ascii="Arial Narrow" w:eastAsia="Times New Roman" w:hAnsi="Arial Narrow"/>
          <w:lang w:val="en-GB"/>
        </w:rPr>
        <w:t xml:space="preserve">All exemptions must follow the process outlined in </w:t>
      </w:r>
      <w:hyperlink r:id="rId20" w:history="1">
        <w:r w:rsidRPr="00C326CF">
          <w:rPr>
            <w:rStyle w:val="Hyperlink"/>
            <w:rFonts w:ascii="Arial Narrow" w:eastAsia="Times New Roman" w:hAnsi="Arial Narrow"/>
            <w:lang w:val="en-GB"/>
          </w:rPr>
          <w:t>Circular 33 of 2021</w:t>
        </w:r>
      </w:hyperlink>
      <w:r>
        <w:rPr>
          <w:rFonts w:ascii="Arial Narrow" w:eastAsia="Times New Roman" w:hAnsi="Arial Narrow"/>
          <w:lang w:val="en-GB"/>
        </w:rPr>
        <w:t>.</w:t>
      </w:r>
    </w:p>
    <w:p w14:paraId="7DE822CC" w14:textId="77777777" w:rsidR="00893F42" w:rsidRPr="00086A30" w:rsidRDefault="00893F42" w:rsidP="00BE52D1">
      <w:pPr>
        <w:pStyle w:val="ListParagraph"/>
        <w:ind w:left="426" w:hanging="426"/>
        <w:jc w:val="both"/>
        <w:rPr>
          <w:rFonts w:ascii="Arial Narrow" w:hAnsi="Arial Narrow"/>
          <w:bCs/>
          <w:lang w:val="en-GB"/>
        </w:rPr>
      </w:pPr>
    </w:p>
    <w:p w14:paraId="4D8BDFA6" w14:textId="29A1487C" w:rsidR="00893F42" w:rsidRPr="00086A30" w:rsidRDefault="00893F42" w:rsidP="00893F42">
      <w:pPr>
        <w:pStyle w:val="ListParagraph"/>
        <w:numPr>
          <w:ilvl w:val="1"/>
          <w:numId w:val="7"/>
        </w:numPr>
        <w:ind w:left="426" w:hanging="426"/>
        <w:jc w:val="both"/>
        <w:rPr>
          <w:rFonts w:ascii="Arial Narrow" w:hAnsi="Arial Narrow"/>
          <w:bCs/>
          <w:lang w:val="en-GB"/>
        </w:rPr>
      </w:pPr>
      <w:r w:rsidRPr="00086A30">
        <w:rPr>
          <w:rFonts w:ascii="Arial Narrow" w:eastAsia="Times New Roman" w:hAnsi="Arial Narrow"/>
          <w:lang w:val="en-GB"/>
        </w:rPr>
        <w:t xml:space="preserve">Applications for all </w:t>
      </w:r>
      <w:r w:rsidRPr="00086A30">
        <w:rPr>
          <w:rFonts w:ascii="Arial Narrow" w:eastAsia="Times New Roman" w:hAnsi="Arial Narrow"/>
          <w:b/>
          <w:lang w:val="en-GB"/>
        </w:rPr>
        <w:t xml:space="preserve">new benefit options </w:t>
      </w:r>
      <w:r w:rsidRPr="00086A30">
        <w:rPr>
          <w:rFonts w:ascii="Arial Narrow" w:eastAsia="Times New Roman" w:hAnsi="Arial Narrow"/>
          <w:lang w:val="en-GB"/>
        </w:rPr>
        <w:t>including</w:t>
      </w:r>
      <w:r w:rsidRPr="00086A30">
        <w:rPr>
          <w:rFonts w:ascii="Arial Narrow" w:eastAsia="Times New Roman" w:hAnsi="Arial Narrow"/>
          <w:b/>
          <w:lang w:val="en-GB"/>
        </w:rPr>
        <w:t xml:space="preserve"> efficiency-discounted sub-options</w:t>
      </w:r>
      <w:r w:rsidRPr="00086A30">
        <w:rPr>
          <w:rFonts w:ascii="Arial Narrow" w:eastAsia="Times New Roman" w:hAnsi="Arial Narrow"/>
          <w:lang w:val="en-GB"/>
        </w:rPr>
        <w:t xml:space="preserve"> taking effect from 1 January 202</w:t>
      </w:r>
      <w:r w:rsidR="00AA4897">
        <w:rPr>
          <w:rFonts w:ascii="Arial Narrow" w:eastAsia="Times New Roman" w:hAnsi="Arial Narrow"/>
          <w:lang w:val="en-GB"/>
        </w:rPr>
        <w:t>4</w:t>
      </w:r>
      <w:r>
        <w:rPr>
          <w:rFonts w:ascii="Arial Narrow" w:eastAsia="Times New Roman" w:hAnsi="Arial Narrow"/>
          <w:lang w:val="en-GB"/>
        </w:rPr>
        <w:t xml:space="preserve"> </w:t>
      </w:r>
      <w:r w:rsidRPr="00086A30">
        <w:rPr>
          <w:rFonts w:ascii="Arial Narrow" w:eastAsia="Times New Roman" w:hAnsi="Arial Narrow"/>
          <w:lang w:val="en-GB"/>
        </w:rPr>
        <w:t xml:space="preserve">must reach the CMS by </w:t>
      </w:r>
      <w:r w:rsidRPr="00086A30">
        <w:rPr>
          <w:rFonts w:ascii="Arial Narrow" w:eastAsia="Times New Roman" w:hAnsi="Arial Narrow"/>
          <w:b/>
          <w:lang w:val="en-GB"/>
        </w:rPr>
        <w:t>1 September 202</w:t>
      </w:r>
      <w:r w:rsidR="00AA4897">
        <w:rPr>
          <w:rFonts w:ascii="Arial Narrow" w:eastAsia="Times New Roman" w:hAnsi="Arial Narrow"/>
          <w:b/>
          <w:lang w:val="en-GB"/>
        </w:rPr>
        <w:t>3</w:t>
      </w:r>
      <w:r w:rsidRPr="00086A30">
        <w:rPr>
          <w:rFonts w:ascii="Arial Narrow" w:eastAsia="Times New Roman" w:hAnsi="Arial Narrow"/>
          <w:lang w:val="en-GB"/>
        </w:rPr>
        <w:t xml:space="preserve"> in terms of section 33(1) of the Medical Schemes Act. Applications received after 1 September 202</w:t>
      </w:r>
      <w:r w:rsidR="00AA4897">
        <w:rPr>
          <w:rFonts w:ascii="Arial Narrow" w:eastAsia="Times New Roman" w:hAnsi="Arial Narrow"/>
          <w:lang w:val="en-GB"/>
        </w:rPr>
        <w:t>3</w:t>
      </w:r>
      <w:r w:rsidRPr="00086A30">
        <w:rPr>
          <w:rFonts w:ascii="Arial Narrow" w:eastAsia="Times New Roman" w:hAnsi="Arial Narrow"/>
          <w:lang w:val="en-GB"/>
        </w:rPr>
        <w:t xml:space="preserve"> will not be attended to until the CMS has considered all the benefit and contribution amendments of those medical schemes that submitted their amendments by the stipulated deadline. </w:t>
      </w:r>
    </w:p>
    <w:p w14:paraId="0A0FC0BE" w14:textId="77777777" w:rsidR="00893F42" w:rsidRPr="00086A30" w:rsidRDefault="00893F42" w:rsidP="00BE52D1">
      <w:pPr>
        <w:pStyle w:val="ListParagraph"/>
        <w:ind w:left="426" w:hanging="426"/>
        <w:jc w:val="both"/>
        <w:rPr>
          <w:rFonts w:ascii="Arial Narrow" w:hAnsi="Arial Narrow"/>
          <w:bCs/>
          <w:lang w:val="en-GB"/>
        </w:rPr>
      </w:pPr>
    </w:p>
    <w:p w14:paraId="1961FFE9" w14:textId="77777777" w:rsidR="00893F42" w:rsidRPr="00086A30" w:rsidRDefault="00893F42" w:rsidP="00893F42">
      <w:pPr>
        <w:pStyle w:val="ListParagraph"/>
        <w:numPr>
          <w:ilvl w:val="1"/>
          <w:numId w:val="7"/>
        </w:numPr>
        <w:ind w:left="426" w:hanging="426"/>
        <w:jc w:val="both"/>
        <w:rPr>
          <w:rFonts w:ascii="Arial Narrow" w:hAnsi="Arial Narrow"/>
          <w:bCs/>
          <w:lang w:val="en-GB"/>
        </w:rPr>
      </w:pPr>
      <w:r w:rsidRPr="00086A30">
        <w:rPr>
          <w:rFonts w:ascii="Arial Narrow" w:eastAsia="Times New Roman" w:hAnsi="Arial Narrow"/>
          <w:lang w:val="en-GB"/>
        </w:rPr>
        <w:t xml:space="preserve">Schemes are further required to indicate percentage changes on any benefits that are being amended in a tabular form (submitted in </w:t>
      </w:r>
      <w:r w:rsidRPr="00086A30">
        <w:rPr>
          <w:rFonts w:ascii="Arial Narrow" w:eastAsia="Times New Roman" w:hAnsi="Arial Narrow"/>
          <w:b/>
          <w:lang w:val="en-GB"/>
        </w:rPr>
        <w:t>word/excel format electronically</w:t>
      </w:r>
      <w:r w:rsidRPr="00086A30">
        <w:rPr>
          <w:rFonts w:ascii="Arial Narrow" w:eastAsia="Times New Roman" w:hAnsi="Arial Narrow"/>
          <w:lang w:val="en-GB"/>
        </w:rPr>
        <w:t>), as follows:</w:t>
      </w:r>
    </w:p>
    <w:p w14:paraId="5FA33AAD" w14:textId="77777777" w:rsidR="00893F42" w:rsidRPr="00DE3236" w:rsidRDefault="00893F42" w:rsidP="00BE52D1">
      <w:pPr>
        <w:pStyle w:val="ListParagraph"/>
        <w:jc w:val="both"/>
        <w:rPr>
          <w:rFonts w:ascii="Arial Narrow" w:eastAsia="Times New Roman" w:hAnsi="Arial Narrow"/>
          <w:lang w:val="en-GB"/>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7"/>
        <w:gridCol w:w="2004"/>
        <w:gridCol w:w="2007"/>
        <w:gridCol w:w="1748"/>
      </w:tblGrid>
      <w:tr w:rsidR="00893F42" w:rsidRPr="00086A30" w14:paraId="198FFE9F" w14:textId="77777777">
        <w:trPr>
          <w:trHeight w:val="397"/>
        </w:trPr>
        <w:tc>
          <w:tcPr>
            <w:tcW w:w="8436" w:type="dxa"/>
            <w:gridSpan w:val="4"/>
            <w:vAlign w:val="center"/>
          </w:tcPr>
          <w:p w14:paraId="140EDF0F" w14:textId="77777777" w:rsidR="00893F42" w:rsidRPr="001416D0" w:rsidRDefault="00893F42" w:rsidP="00BE52D1">
            <w:pPr>
              <w:tabs>
                <w:tab w:val="right" w:pos="9720"/>
              </w:tabs>
              <w:spacing w:after="0"/>
              <w:ind w:right="345"/>
              <w:contextualSpacing/>
              <w:jc w:val="both"/>
              <w:rPr>
                <w:rFonts w:ascii="Arial Narrow" w:eastAsia="Times New Roman" w:hAnsi="Arial Narrow"/>
                <w:b/>
                <w:lang w:val="en-GB"/>
              </w:rPr>
            </w:pPr>
            <w:r w:rsidRPr="001416D0">
              <w:rPr>
                <w:rFonts w:ascii="Arial Narrow" w:eastAsia="Times New Roman" w:hAnsi="Arial Narrow"/>
                <w:b/>
                <w:lang w:val="en-GB"/>
              </w:rPr>
              <w:t>Name of benefit option</w:t>
            </w:r>
          </w:p>
        </w:tc>
      </w:tr>
      <w:tr w:rsidR="00893F42" w:rsidRPr="00086A30" w14:paraId="62A8FE8F" w14:textId="77777777">
        <w:trPr>
          <w:trHeight w:val="454"/>
        </w:trPr>
        <w:tc>
          <w:tcPr>
            <w:tcW w:w="2677" w:type="dxa"/>
            <w:vAlign w:val="center"/>
          </w:tcPr>
          <w:p w14:paraId="4427C7C5" w14:textId="77777777" w:rsidR="00893F42" w:rsidRPr="00086A30" w:rsidRDefault="00893F42" w:rsidP="00BE52D1">
            <w:pPr>
              <w:tabs>
                <w:tab w:val="right" w:pos="9720"/>
              </w:tabs>
              <w:spacing w:after="0"/>
              <w:ind w:right="345"/>
              <w:contextualSpacing/>
              <w:jc w:val="both"/>
              <w:rPr>
                <w:rFonts w:ascii="Arial Narrow" w:eastAsia="Times New Roman" w:hAnsi="Arial Narrow"/>
                <w:b/>
                <w:lang w:val="en-GB"/>
              </w:rPr>
            </w:pPr>
            <w:r w:rsidRPr="00086A30">
              <w:rPr>
                <w:rFonts w:ascii="Arial Narrow" w:eastAsia="Times New Roman" w:hAnsi="Arial Narrow"/>
                <w:b/>
                <w:lang w:val="en-GB"/>
              </w:rPr>
              <w:t>Benefits/services</w:t>
            </w:r>
          </w:p>
        </w:tc>
        <w:tc>
          <w:tcPr>
            <w:tcW w:w="2004" w:type="dxa"/>
            <w:vAlign w:val="center"/>
          </w:tcPr>
          <w:p w14:paraId="45279846" w14:textId="0BD02940" w:rsidR="00893F42" w:rsidRPr="001416D0" w:rsidRDefault="00893F42" w:rsidP="00BE52D1">
            <w:pPr>
              <w:tabs>
                <w:tab w:val="right" w:pos="9720"/>
              </w:tabs>
              <w:spacing w:after="0"/>
              <w:ind w:right="345"/>
              <w:contextualSpacing/>
              <w:jc w:val="both"/>
              <w:rPr>
                <w:rFonts w:ascii="Arial Narrow" w:eastAsia="Times New Roman" w:hAnsi="Arial Narrow"/>
                <w:b/>
                <w:lang w:val="en-GB"/>
              </w:rPr>
            </w:pPr>
            <w:r w:rsidRPr="001416D0">
              <w:rPr>
                <w:rFonts w:ascii="Arial Narrow" w:eastAsia="Times New Roman" w:hAnsi="Arial Narrow"/>
                <w:b/>
                <w:lang w:val="en-GB"/>
              </w:rPr>
              <w:t>202</w:t>
            </w:r>
            <w:r w:rsidR="004C6CBA">
              <w:rPr>
                <w:rFonts w:ascii="Arial Narrow" w:eastAsia="Times New Roman" w:hAnsi="Arial Narrow"/>
                <w:b/>
                <w:lang w:val="en-GB"/>
              </w:rPr>
              <w:t>3</w:t>
            </w:r>
          </w:p>
        </w:tc>
        <w:tc>
          <w:tcPr>
            <w:tcW w:w="2007" w:type="dxa"/>
            <w:vAlign w:val="center"/>
          </w:tcPr>
          <w:p w14:paraId="1B0988C1" w14:textId="4BB0D2BA" w:rsidR="00893F42" w:rsidRPr="00086A30" w:rsidRDefault="00893F42" w:rsidP="00BE52D1">
            <w:pPr>
              <w:tabs>
                <w:tab w:val="right" w:pos="9720"/>
              </w:tabs>
              <w:spacing w:after="0"/>
              <w:ind w:right="345"/>
              <w:contextualSpacing/>
              <w:jc w:val="both"/>
              <w:rPr>
                <w:rFonts w:ascii="Arial Narrow" w:eastAsia="Times New Roman" w:hAnsi="Arial Narrow"/>
                <w:b/>
                <w:lang w:val="en-GB"/>
              </w:rPr>
            </w:pPr>
            <w:r w:rsidRPr="001416D0">
              <w:rPr>
                <w:rFonts w:ascii="Arial Narrow" w:eastAsia="Times New Roman" w:hAnsi="Arial Narrow"/>
                <w:b/>
                <w:lang w:val="en-GB"/>
              </w:rPr>
              <w:t>202</w:t>
            </w:r>
            <w:r w:rsidR="004C6CBA">
              <w:rPr>
                <w:rFonts w:ascii="Arial Narrow" w:eastAsia="Times New Roman" w:hAnsi="Arial Narrow"/>
                <w:b/>
                <w:lang w:val="en-GB"/>
              </w:rPr>
              <w:t>4</w:t>
            </w:r>
          </w:p>
        </w:tc>
        <w:tc>
          <w:tcPr>
            <w:tcW w:w="1748" w:type="dxa"/>
            <w:vAlign w:val="center"/>
          </w:tcPr>
          <w:p w14:paraId="57D006FD" w14:textId="77777777" w:rsidR="00893F42" w:rsidRPr="00086A30" w:rsidRDefault="00893F42" w:rsidP="00BE52D1">
            <w:pPr>
              <w:tabs>
                <w:tab w:val="right" w:pos="9720"/>
              </w:tabs>
              <w:spacing w:after="0"/>
              <w:ind w:right="345"/>
              <w:contextualSpacing/>
              <w:jc w:val="both"/>
              <w:rPr>
                <w:rFonts w:ascii="Arial Narrow" w:eastAsia="Times New Roman" w:hAnsi="Arial Narrow"/>
                <w:b/>
                <w:lang w:val="en-GB"/>
              </w:rPr>
            </w:pPr>
            <w:r w:rsidRPr="00086A30">
              <w:rPr>
                <w:rFonts w:ascii="Arial Narrow" w:eastAsia="Times New Roman" w:hAnsi="Arial Narrow"/>
                <w:b/>
                <w:lang w:val="en-GB"/>
              </w:rPr>
              <w:t>% Change</w:t>
            </w:r>
          </w:p>
        </w:tc>
      </w:tr>
      <w:tr w:rsidR="00893F42" w:rsidRPr="00086A30" w14:paraId="321B74C2" w14:textId="77777777">
        <w:trPr>
          <w:trHeight w:val="680"/>
        </w:trPr>
        <w:tc>
          <w:tcPr>
            <w:tcW w:w="2677" w:type="dxa"/>
            <w:vAlign w:val="center"/>
          </w:tcPr>
          <w:p w14:paraId="083AAE50" w14:textId="4C1E5C7F" w:rsidR="00893F42" w:rsidRPr="00086A30" w:rsidRDefault="00C51C38" w:rsidP="00BE52D1">
            <w:pPr>
              <w:tabs>
                <w:tab w:val="right" w:pos="9720"/>
              </w:tabs>
              <w:spacing w:after="0"/>
              <w:ind w:right="345"/>
              <w:contextualSpacing/>
              <w:jc w:val="both"/>
              <w:rPr>
                <w:rFonts w:ascii="Arial Narrow" w:eastAsia="Times New Roman" w:hAnsi="Arial Narrow"/>
                <w:lang w:val="en-GB"/>
              </w:rPr>
            </w:pPr>
            <w:r>
              <w:rPr>
                <w:rFonts w:ascii="Arial Narrow" w:eastAsia="Times New Roman" w:hAnsi="Arial Narrow"/>
                <w:lang w:val="en-GB"/>
              </w:rPr>
              <w:t>e.</w:t>
            </w:r>
            <w:r w:rsidRPr="00086A30">
              <w:rPr>
                <w:rFonts w:ascii="Arial Narrow" w:eastAsia="Times New Roman" w:hAnsi="Arial Narrow"/>
                <w:lang w:val="en-GB"/>
              </w:rPr>
              <w:t>g</w:t>
            </w:r>
            <w:r>
              <w:rPr>
                <w:rFonts w:ascii="Arial Narrow" w:eastAsia="Times New Roman" w:hAnsi="Arial Narrow"/>
                <w:lang w:val="en-GB"/>
              </w:rPr>
              <w:t>.,</w:t>
            </w:r>
            <w:r w:rsidR="00893F42" w:rsidRPr="00086A30">
              <w:rPr>
                <w:rFonts w:ascii="Arial Narrow" w:eastAsia="Times New Roman" w:hAnsi="Arial Narrow"/>
                <w:lang w:val="en-GB"/>
              </w:rPr>
              <w:t xml:space="preserve"> day-to-day limit</w:t>
            </w:r>
          </w:p>
        </w:tc>
        <w:tc>
          <w:tcPr>
            <w:tcW w:w="2004" w:type="dxa"/>
            <w:vAlign w:val="center"/>
          </w:tcPr>
          <w:p w14:paraId="4E3DD7ED" w14:textId="1CD355F5" w:rsidR="00893F42" w:rsidRPr="008251FC" w:rsidRDefault="00C51C38" w:rsidP="00BE52D1">
            <w:pPr>
              <w:tabs>
                <w:tab w:val="right" w:pos="9720"/>
              </w:tabs>
              <w:spacing w:after="0"/>
              <w:ind w:right="345"/>
              <w:contextualSpacing/>
              <w:jc w:val="both"/>
              <w:rPr>
                <w:rFonts w:ascii="Arial Narrow" w:eastAsia="Times New Roman" w:hAnsi="Arial Narrow"/>
                <w:lang w:val="pt-PT"/>
              </w:rPr>
            </w:pPr>
            <w:r w:rsidRPr="008251FC">
              <w:rPr>
                <w:rFonts w:ascii="Arial Narrow" w:eastAsia="Times New Roman" w:hAnsi="Arial Narrow"/>
                <w:lang w:val="pt-PT"/>
              </w:rPr>
              <w:t>e.g.,</w:t>
            </w:r>
            <w:r w:rsidR="00893F42" w:rsidRPr="008251FC">
              <w:rPr>
                <w:rFonts w:ascii="Arial Narrow" w:eastAsia="Times New Roman" w:hAnsi="Arial Narrow"/>
                <w:lang w:val="pt-PT"/>
              </w:rPr>
              <w:t xml:space="preserve"> R10 000 per beneficiary</w:t>
            </w:r>
          </w:p>
        </w:tc>
        <w:tc>
          <w:tcPr>
            <w:tcW w:w="2007" w:type="dxa"/>
            <w:vAlign w:val="center"/>
          </w:tcPr>
          <w:p w14:paraId="35918706" w14:textId="721E73F2" w:rsidR="00893F42" w:rsidRPr="008251FC" w:rsidRDefault="00C51C38" w:rsidP="00BE52D1">
            <w:pPr>
              <w:tabs>
                <w:tab w:val="right" w:pos="9720"/>
              </w:tabs>
              <w:spacing w:after="0"/>
              <w:ind w:right="345"/>
              <w:contextualSpacing/>
              <w:jc w:val="both"/>
              <w:rPr>
                <w:rFonts w:ascii="Arial Narrow" w:eastAsia="Times New Roman" w:hAnsi="Arial Narrow"/>
                <w:lang w:val="pt-PT"/>
              </w:rPr>
            </w:pPr>
            <w:r w:rsidRPr="008251FC">
              <w:rPr>
                <w:rFonts w:ascii="Arial Narrow" w:eastAsia="Times New Roman" w:hAnsi="Arial Narrow"/>
                <w:lang w:val="pt-PT"/>
              </w:rPr>
              <w:t>e.g.,</w:t>
            </w:r>
            <w:r w:rsidR="00893F42" w:rsidRPr="008251FC">
              <w:rPr>
                <w:rFonts w:ascii="Arial Narrow" w:eastAsia="Times New Roman" w:hAnsi="Arial Narrow"/>
                <w:lang w:val="pt-PT"/>
              </w:rPr>
              <w:t xml:space="preserve"> R11 000 per beneficiary</w:t>
            </w:r>
          </w:p>
        </w:tc>
        <w:tc>
          <w:tcPr>
            <w:tcW w:w="1748" w:type="dxa"/>
            <w:vAlign w:val="center"/>
          </w:tcPr>
          <w:p w14:paraId="2AF5C88C" w14:textId="77777777" w:rsidR="00893F42" w:rsidRPr="00086A30" w:rsidRDefault="00893F42" w:rsidP="00BE52D1">
            <w:pPr>
              <w:tabs>
                <w:tab w:val="right" w:pos="9720"/>
              </w:tabs>
              <w:spacing w:after="0"/>
              <w:ind w:right="345"/>
              <w:contextualSpacing/>
              <w:jc w:val="both"/>
              <w:rPr>
                <w:rFonts w:ascii="Arial Narrow" w:eastAsia="Times New Roman" w:hAnsi="Arial Narrow"/>
                <w:lang w:val="en-GB"/>
              </w:rPr>
            </w:pPr>
            <w:r w:rsidRPr="00086A30">
              <w:rPr>
                <w:rFonts w:ascii="Arial Narrow" w:eastAsia="Times New Roman" w:hAnsi="Arial Narrow"/>
                <w:lang w:val="en-GB"/>
              </w:rPr>
              <w:t>10% increase</w:t>
            </w:r>
          </w:p>
        </w:tc>
      </w:tr>
    </w:tbl>
    <w:p w14:paraId="625AFE68" w14:textId="77777777" w:rsidR="00893F42" w:rsidRPr="00086A30" w:rsidRDefault="00893F42" w:rsidP="00893F42">
      <w:pPr>
        <w:pStyle w:val="ListParagraph"/>
        <w:ind w:left="792"/>
        <w:jc w:val="both"/>
        <w:rPr>
          <w:rFonts w:ascii="Arial Narrow" w:hAnsi="Arial Narrow"/>
          <w:bCs/>
          <w:lang w:val="en-GB"/>
        </w:rPr>
      </w:pPr>
    </w:p>
    <w:p w14:paraId="57DEC401" w14:textId="1508C565" w:rsidR="00893F42" w:rsidRPr="007E686C" w:rsidRDefault="00893F42" w:rsidP="00893F42">
      <w:pPr>
        <w:pStyle w:val="ListParagraph"/>
        <w:numPr>
          <w:ilvl w:val="1"/>
          <w:numId w:val="7"/>
        </w:numPr>
        <w:ind w:left="426" w:hanging="426"/>
        <w:jc w:val="both"/>
        <w:rPr>
          <w:rFonts w:ascii="Arial Narrow" w:hAnsi="Arial Narrow"/>
          <w:bCs/>
          <w:lang w:val="en-GB"/>
        </w:rPr>
      </w:pPr>
      <w:r w:rsidRPr="00086A30">
        <w:rPr>
          <w:rFonts w:ascii="Arial Narrow" w:eastAsia="Times New Roman" w:hAnsi="Arial Narrow"/>
          <w:lang w:val="en-GB"/>
        </w:rPr>
        <w:t xml:space="preserve">In instances where registered rules or rule amendments impose monetary limits on benefits, an explicit condition must </w:t>
      </w:r>
      <w:r w:rsidRPr="001416D0">
        <w:rPr>
          <w:rFonts w:ascii="Arial Narrow" w:eastAsia="Times New Roman" w:hAnsi="Arial Narrow"/>
          <w:lang w:val="en-GB"/>
        </w:rPr>
        <w:t xml:space="preserve">be included indicating that the limit does not apply to the </w:t>
      </w:r>
      <w:r>
        <w:rPr>
          <w:rFonts w:ascii="Arial Narrow" w:eastAsia="Times New Roman" w:hAnsi="Arial Narrow"/>
          <w:lang w:val="en-GB"/>
        </w:rPr>
        <w:t>P</w:t>
      </w:r>
      <w:r w:rsidRPr="001416D0">
        <w:rPr>
          <w:rFonts w:ascii="Arial Narrow" w:eastAsia="Times New Roman" w:hAnsi="Arial Narrow"/>
          <w:lang w:val="en-GB"/>
        </w:rPr>
        <w:t xml:space="preserve">rescribed </w:t>
      </w:r>
      <w:r>
        <w:rPr>
          <w:rFonts w:ascii="Arial Narrow" w:eastAsia="Times New Roman" w:hAnsi="Arial Narrow"/>
          <w:lang w:val="en-GB"/>
        </w:rPr>
        <w:t>M</w:t>
      </w:r>
      <w:r w:rsidRPr="001416D0">
        <w:rPr>
          <w:rFonts w:ascii="Arial Narrow" w:eastAsia="Times New Roman" w:hAnsi="Arial Narrow"/>
          <w:lang w:val="en-GB"/>
        </w:rPr>
        <w:t xml:space="preserve">inimum </w:t>
      </w:r>
      <w:r>
        <w:rPr>
          <w:rFonts w:ascii="Arial Narrow" w:eastAsia="Times New Roman" w:hAnsi="Arial Narrow"/>
          <w:lang w:val="en-GB"/>
        </w:rPr>
        <w:t>B</w:t>
      </w:r>
      <w:r w:rsidRPr="001416D0">
        <w:rPr>
          <w:rFonts w:ascii="Arial Narrow" w:eastAsia="Times New Roman" w:hAnsi="Arial Narrow"/>
          <w:lang w:val="en-GB"/>
        </w:rPr>
        <w:t>enefit</w:t>
      </w:r>
      <w:r w:rsidR="00471A19">
        <w:rPr>
          <w:rFonts w:ascii="Arial Narrow" w:eastAsia="Times New Roman" w:hAnsi="Arial Narrow"/>
          <w:lang w:val="en-GB"/>
        </w:rPr>
        <w:t>s</w:t>
      </w:r>
      <w:r w:rsidRPr="001416D0">
        <w:rPr>
          <w:rFonts w:ascii="Arial Narrow" w:eastAsia="Times New Roman" w:hAnsi="Arial Narrow"/>
          <w:lang w:val="en-GB"/>
        </w:rPr>
        <w:t xml:space="preserve"> (PMB</w:t>
      </w:r>
      <w:r w:rsidR="00471A19">
        <w:rPr>
          <w:rFonts w:ascii="Arial Narrow" w:eastAsia="Times New Roman" w:hAnsi="Arial Narrow"/>
          <w:lang w:val="en-GB"/>
        </w:rPr>
        <w:t>s</w:t>
      </w:r>
      <w:r w:rsidRPr="001416D0">
        <w:rPr>
          <w:rFonts w:ascii="Arial Narrow" w:eastAsia="Times New Roman" w:hAnsi="Arial Narrow"/>
          <w:lang w:val="en-GB"/>
        </w:rPr>
        <w:t>), and further stating that PMBs are paid in full when making use of a designated service provider (DSP). The submission of rule amendments with limits on</w:t>
      </w:r>
      <w:r w:rsidRPr="00086A30">
        <w:rPr>
          <w:rFonts w:ascii="Arial Narrow" w:eastAsia="Times New Roman" w:hAnsi="Arial Narrow"/>
          <w:lang w:val="en-GB"/>
        </w:rPr>
        <w:t xml:space="preserve"> PMB conditions will be amended to highlight the fact that the PMBs are provided at no cost to beneficiaries. This is to ensure that rule amendments are compliant with the Medical Schemes Act and are fair to beneficiaries.</w:t>
      </w:r>
    </w:p>
    <w:p w14:paraId="18124D9B" w14:textId="77777777" w:rsidR="00893F42" w:rsidRPr="007E686C" w:rsidRDefault="00893F42" w:rsidP="00893F42">
      <w:pPr>
        <w:pStyle w:val="ListParagraph"/>
        <w:ind w:left="426"/>
        <w:jc w:val="both"/>
        <w:rPr>
          <w:rFonts w:ascii="Arial Narrow" w:hAnsi="Arial Narrow"/>
          <w:bCs/>
          <w:lang w:val="en-GB"/>
        </w:rPr>
      </w:pPr>
    </w:p>
    <w:p w14:paraId="1137F4B9" w14:textId="67001A34" w:rsidR="00893F42" w:rsidRPr="00537503" w:rsidRDefault="00893F42" w:rsidP="00893F42">
      <w:pPr>
        <w:pStyle w:val="ListParagraph"/>
        <w:numPr>
          <w:ilvl w:val="1"/>
          <w:numId w:val="7"/>
        </w:numPr>
        <w:ind w:left="426" w:hanging="426"/>
        <w:jc w:val="both"/>
        <w:rPr>
          <w:rFonts w:ascii="Arial Narrow" w:hAnsi="Arial Narrow"/>
          <w:bCs/>
          <w:lang w:val="en-GB"/>
        </w:rPr>
      </w:pPr>
      <w:r w:rsidRPr="007E686C">
        <w:rPr>
          <w:rFonts w:ascii="Arial Narrow" w:hAnsi="Arial Narrow"/>
          <w:lang w:val="en-GB"/>
        </w:rPr>
        <w:t xml:space="preserve">To expedite the rule registration process, schemes are required to submit amendments to rules relating to the </w:t>
      </w:r>
      <w:r w:rsidRPr="007E686C">
        <w:rPr>
          <w:rFonts w:ascii="Arial Narrow" w:hAnsi="Arial Narrow"/>
          <w:b/>
          <w:lang w:val="en-GB"/>
        </w:rPr>
        <w:t>changes to the contributions, and benefit changes only</w:t>
      </w:r>
      <w:r w:rsidRPr="007E686C">
        <w:rPr>
          <w:rFonts w:ascii="Arial Narrow" w:hAnsi="Arial Narrow"/>
          <w:lang w:val="en-GB"/>
        </w:rPr>
        <w:t>. Changes to the main rules will not be prioritised unless they have a material impact on the benefit and contributions, for example</w:t>
      </w:r>
      <w:r>
        <w:rPr>
          <w:rFonts w:ascii="Arial Narrow" w:hAnsi="Arial Narrow"/>
          <w:lang w:val="en-GB"/>
        </w:rPr>
        <w:t>,</w:t>
      </w:r>
      <w:r w:rsidRPr="007E686C">
        <w:rPr>
          <w:rFonts w:ascii="Arial Narrow" w:hAnsi="Arial Narrow"/>
          <w:lang w:val="en-GB"/>
        </w:rPr>
        <w:t xml:space="preserve"> an amendment relating to scheme tariffs. The rest of the changes to the main rules must only be submitted </w:t>
      </w:r>
      <w:r w:rsidR="007D5DC8">
        <w:rPr>
          <w:rFonts w:ascii="Arial Narrow" w:hAnsi="Arial Narrow"/>
          <w:lang w:val="en-GB"/>
        </w:rPr>
        <w:t xml:space="preserve">or attended to </w:t>
      </w:r>
      <w:r w:rsidRPr="007E686C">
        <w:rPr>
          <w:rFonts w:ascii="Arial Narrow" w:hAnsi="Arial Narrow"/>
          <w:lang w:val="en-GB"/>
        </w:rPr>
        <w:t>once the amendments to contribution and benefits changes have been approved by the Registrar</w:t>
      </w:r>
      <w:r>
        <w:rPr>
          <w:rFonts w:ascii="Arial Narrow" w:hAnsi="Arial Narrow"/>
          <w:lang w:val="en-GB"/>
        </w:rPr>
        <w:t>.</w:t>
      </w:r>
    </w:p>
    <w:p w14:paraId="1739A050" w14:textId="77777777" w:rsidR="00537503" w:rsidRPr="007E686C" w:rsidRDefault="00537503" w:rsidP="00537503">
      <w:pPr>
        <w:pStyle w:val="ListParagraph"/>
        <w:ind w:left="426"/>
        <w:jc w:val="both"/>
        <w:rPr>
          <w:rFonts w:ascii="Arial Narrow" w:hAnsi="Arial Narrow"/>
          <w:bCs/>
          <w:lang w:val="en-GB"/>
        </w:rPr>
      </w:pPr>
    </w:p>
    <w:p w14:paraId="5C3B155A" w14:textId="2B596386" w:rsidR="00893F42" w:rsidRPr="007E686C" w:rsidRDefault="00893F42" w:rsidP="00893F42">
      <w:pPr>
        <w:pStyle w:val="ListParagraph"/>
        <w:numPr>
          <w:ilvl w:val="1"/>
          <w:numId w:val="7"/>
        </w:numPr>
        <w:ind w:left="426" w:hanging="426"/>
        <w:jc w:val="both"/>
        <w:rPr>
          <w:rFonts w:ascii="Arial Narrow" w:hAnsi="Arial Narrow"/>
          <w:bCs/>
          <w:lang w:val="en-GB"/>
        </w:rPr>
      </w:pPr>
      <w:r w:rsidRPr="007E686C">
        <w:rPr>
          <w:rFonts w:ascii="Arial Narrow" w:hAnsi="Arial Narrow"/>
          <w:lang w:val="en-GB"/>
        </w:rPr>
        <w:t>All the 202</w:t>
      </w:r>
      <w:r w:rsidR="004C6CBA">
        <w:rPr>
          <w:rFonts w:ascii="Arial Narrow" w:hAnsi="Arial Narrow"/>
          <w:lang w:val="en-GB"/>
        </w:rPr>
        <w:t>4</w:t>
      </w:r>
      <w:r w:rsidRPr="007E686C">
        <w:rPr>
          <w:rFonts w:ascii="Arial Narrow" w:hAnsi="Arial Narrow"/>
          <w:lang w:val="en-GB"/>
        </w:rPr>
        <w:t xml:space="preserve"> rule submissions must be done electronically </w:t>
      </w:r>
      <w:hyperlink r:id="rId21" w:history="1">
        <w:r w:rsidRPr="007E686C">
          <w:rPr>
            <w:rStyle w:val="Hyperlink"/>
            <w:rFonts w:ascii="Arial Narrow" w:hAnsi="Arial Narrow"/>
            <w:lang w:val="en-GB"/>
          </w:rPr>
          <w:t>here</w:t>
        </w:r>
      </w:hyperlink>
      <w:r w:rsidRPr="007E686C">
        <w:rPr>
          <w:rFonts w:ascii="Arial Narrow" w:hAnsi="Arial Narrow"/>
          <w:lang w:val="en-GB"/>
        </w:rPr>
        <w:t xml:space="preserve">. New users must first complete </w:t>
      </w:r>
      <w:r w:rsidRPr="00441B7B">
        <w:t xml:space="preserve">this </w:t>
      </w:r>
      <w:hyperlink r:id="rId22" w:history="1">
        <w:r w:rsidRPr="0018204D">
          <w:rPr>
            <w:rStyle w:val="Hyperlink"/>
            <w:rFonts w:ascii="Arial Narrow" w:hAnsi="Arial Narrow"/>
            <w:lang w:val="en-GB"/>
          </w:rPr>
          <w:t>authorisation form</w:t>
        </w:r>
      </w:hyperlink>
      <w:r w:rsidRPr="007E686C">
        <w:rPr>
          <w:rFonts w:ascii="Arial Narrow" w:hAnsi="Arial Narrow"/>
          <w:lang w:val="en-GB"/>
        </w:rPr>
        <w:t xml:space="preserve"> to be granted access</w:t>
      </w:r>
      <w:r w:rsidRPr="007E686C">
        <w:rPr>
          <w:lang w:val="en-GB"/>
        </w:rPr>
        <w:t>.</w:t>
      </w:r>
    </w:p>
    <w:p w14:paraId="61AF0B3D" w14:textId="77777777" w:rsidR="00893F42" w:rsidRDefault="00893F42" w:rsidP="00BE52D1">
      <w:pPr>
        <w:pStyle w:val="ListParagraph"/>
        <w:jc w:val="both"/>
        <w:rPr>
          <w:rFonts w:ascii="Arial Narrow" w:hAnsi="Arial Narrow"/>
          <w:bCs/>
          <w:lang w:val="en-GB"/>
        </w:rPr>
      </w:pPr>
    </w:p>
    <w:bookmarkEnd w:id="5"/>
    <w:p w14:paraId="52361E6E" w14:textId="265BF253" w:rsidR="00D017F7" w:rsidRPr="00086A30" w:rsidRDefault="00A37DA7" w:rsidP="00D017F7">
      <w:pPr>
        <w:pStyle w:val="ListParagraph"/>
        <w:numPr>
          <w:ilvl w:val="0"/>
          <w:numId w:val="7"/>
        </w:numPr>
        <w:jc w:val="both"/>
        <w:rPr>
          <w:rFonts w:ascii="Arial Narrow" w:hAnsi="Arial Narrow"/>
          <w:b/>
          <w:lang w:val="en-GB"/>
        </w:rPr>
      </w:pPr>
      <w:r w:rsidRPr="00086A30">
        <w:rPr>
          <w:rFonts w:ascii="Arial Narrow" w:eastAsia="Times New Roman" w:hAnsi="Arial Narrow" w:cstheme="minorBidi"/>
          <w:b/>
          <w:lang w:val="en-GB" w:eastAsia="en-ZA"/>
        </w:rPr>
        <w:t>KEY CMS RECOMMENDATIONS</w:t>
      </w:r>
    </w:p>
    <w:p w14:paraId="013A3A4E" w14:textId="77777777" w:rsidR="00D017F7" w:rsidRPr="00086A30" w:rsidRDefault="00D017F7" w:rsidP="00D017F7">
      <w:pPr>
        <w:pStyle w:val="ListParagraph"/>
        <w:ind w:left="360"/>
        <w:jc w:val="both"/>
        <w:rPr>
          <w:rFonts w:ascii="Arial Narrow" w:eastAsia="Times New Roman" w:hAnsi="Arial Narrow" w:cstheme="minorBidi"/>
          <w:b/>
          <w:lang w:val="en-GB" w:eastAsia="en-ZA"/>
        </w:rPr>
      </w:pPr>
    </w:p>
    <w:p w14:paraId="31DB7BBB" w14:textId="77777777" w:rsidR="00D017F7" w:rsidRPr="00086A30" w:rsidRDefault="00D017F7" w:rsidP="00D017F7">
      <w:pPr>
        <w:pStyle w:val="ListParagraph"/>
        <w:numPr>
          <w:ilvl w:val="1"/>
          <w:numId w:val="7"/>
        </w:numPr>
        <w:ind w:left="426" w:hanging="426"/>
        <w:jc w:val="both"/>
        <w:rPr>
          <w:rFonts w:ascii="Arial Narrow" w:hAnsi="Arial Narrow"/>
          <w:b/>
          <w:lang w:val="en-GB"/>
        </w:rPr>
      </w:pPr>
      <w:r>
        <w:rPr>
          <w:rFonts w:ascii="Arial Narrow" w:hAnsi="Arial Narrow"/>
          <w:b/>
          <w:lang w:val="en-GB"/>
        </w:rPr>
        <w:t>Recommended 2024 c</w:t>
      </w:r>
      <w:r w:rsidRPr="00086A30">
        <w:rPr>
          <w:rFonts w:ascii="Arial Narrow" w:hAnsi="Arial Narrow"/>
          <w:b/>
          <w:lang w:val="en-GB"/>
        </w:rPr>
        <w:t xml:space="preserve">ontribution increases </w:t>
      </w:r>
    </w:p>
    <w:p w14:paraId="4C269405" w14:textId="77777777" w:rsidR="00D017F7" w:rsidRPr="00086A30" w:rsidRDefault="00D017F7" w:rsidP="00D017F7">
      <w:pPr>
        <w:pStyle w:val="ListParagraph"/>
        <w:ind w:left="426"/>
        <w:jc w:val="both"/>
        <w:rPr>
          <w:rFonts w:ascii="Arial Narrow" w:hAnsi="Arial Narrow"/>
          <w:b/>
          <w:lang w:val="en-GB"/>
        </w:rPr>
      </w:pPr>
    </w:p>
    <w:p w14:paraId="3552ECAA" w14:textId="2E5DE9A7" w:rsidR="008A2740" w:rsidRPr="008A2740" w:rsidRDefault="00DA3716">
      <w:pPr>
        <w:pStyle w:val="ListParagraph"/>
        <w:ind w:left="426"/>
        <w:jc w:val="both"/>
        <w:rPr>
          <w:rFonts w:ascii="Arial Narrow" w:eastAsia="Times New Roman" w:hAnsi="Arial Narrow"/>
          <w:lang w:val="en-GB" w:eastAsia="en-ZA"/>
        </w:rPr>
      </w:pPr>
      <w:r w:rsidRPr="0D803B9D">
        <w:rPr>
          <w:rFonts w:ascii="Arial Narrow" w:hAnsi="Arial Narrow" w:cs="Helvetica"/>
          <w:lang w:val="en-GB"/>
        </w:rPr>
        <w:t xml:space="preserve">Against the backdrop </w:t>
      </w:r>
      <w:r w:rsidR="00C57EC2" w:rsidRPr="0D803B9D">
        <w:rPr>
          <w:rFonts w:ascii="Arial Narrow" w:hAnsi="Arial Narrow" w:cs="Helvetica"/>
          <w:lang w:val="en-GB"/>
        </w:rPr>
        <w:t>of the</w:t>
      </w:r>
      <w:r w:rsidRPr="0D803B9D">
        <w:rPr>
          <w:rFonts w:ascii="Arial Narrow" w:hAnsi="Arial Narrow" w:cs="Helvetica"/>
          <w:lang w:val="en-GB"/>
        </w:rPr>
        <w:t xml:space="preserve"> current adverse macroeconomic conditions characterised by mu</w:t>
      </w:r>
      <w:r w:rsidR="00D3278A">
        <w:rPr>
          <w:rFonts w:ascii="Arial Narrow" w:hAnsi="Arial Narrow" w:cs="Helvetica"/>
          <w:lang w:val="en-GB"/>
        </w:rPr>
        <w:t>l</w:t>
      </w:r>
      <w:r w:rsidRPr="0D803B9D">
        <w:rPr>
          <w:rFonts w:ascii="Arial Narrow" w:hAnsi="Arial Narrow" w:cs="Helvetica"/>
          <w:lang w:val="en-GB"/>
        </w:rPr>
        <w:t xml:space="preserve">ti-year higher interest rates due to stubbornly higher inflation </w:t>
      </w:r>
      <w:r w:rsidR="005D66FE" w:rsidRPr="0D803B9D">
        <w:rPr>
          <w:rFonts w:ascii="Arial Narrow" w:hAnsi="Arial Narrow" w:cs="Helvetica"/>
          <w:lang w:val="en-GB"/>
        </w:rPr>
        <w:t>rate,</w:t>
      </w:r>
      <w:r w:rsidR="001D4983" w:rsidRPr="0D803B9D">
        <w:rPr>
          <w:rFonts w:ascii="Arial Narrow" w:hAnsi="Arial Narrow" w:cs="Helvetica"/>
          <w:lang w:val="en-GB"/>
        </w:rPr>
        <w:t xml:space="preserve"> </w:t>
      </w:r>
      <w:r w:rsidR="001C5F84" w:rsidRPr="0D803B9D">
        <w:rPr>
          <w:rFonts w:ascii="Arial Narrow" w:hAnsi="Arial Narrow" w:cs="Helvetica"/>
          <w:lang w:val="en-GB"/>
        </w:rPr>
        <w:t>volatile</w:t>
      </w:r>
      <w:r w:rsidR="00375B69" w:rsidRPr="0D803B9D">
        <w:rPr>
          <w:rFonts w:ascii="Arial Narrow" w:hAnsi="Arial Narrow" w:cs="Helvetica"/>
          <w:lang w:val="en-GB"/>
        </w:rPr>
        <w:t xml:space="preserve"> domestic currency</w:t>
      </w:r>
      <w:r w:rsidR="00EE1629" w:rsidRPr="0D803B9D">
        <w:rPr>
          <w:rFonts w:ascii="Arial Narrow" w:hAnsi="Arial Narrow" w:cs="Helvetica"/>
          <w:lang w:val="en-GB"/>
        </w:rPr>
        <w:t xml:space="preserve"> and surging energy prices</w:t>
      </w:r>
      <w:r w:rsidR="001C5F84" w:rsidRPr="0D803B9D">
        <w:rPr>
          <w:rFonts w:ascii="Arial Narrow" w:hAnsi="Arial Narrow" w:cs="Helvetica"/>
          <w:lang w:val="en-GB"/>
        </w:rPr>
        <w:t xml:space="preserve"> and overall lacklustre economic </w:t>
      </w:r>
      <w:r w:rsidR="006B61D1" w:rsidRPr="0D803B9D">
        <w:rPr>
          <w:rFonts w:ascii="Arial Narrow" w:hAnsi="Arial Narrow" w:cs="Helvetica"/>
          <w:lang w:val="en-GB"/>
        </w:rPr>
        <w:t>growth,</w:t>
      </w:r>
      <w:r w:rsidR="005A21A4" w:rsidRPr="0D803B9D">
        <w:rPr>
          <w:rFonts w:ascii="Arial Narrow" w:hAnsi="Arial Narrow" w:cs="Helvetica"/>
          <w:lang w:val="en-GB"/>
        </w:rPr>
        <w:t xml:space="preserve"> </w:t>
      </w:r>
      <w:r w:rsidR="002E64FA" w:rsidRPr="0D803B9D">
        <w:rPr>
          <w:rFonts w:ascii="Arial Narrow" w:hAnsi="Arial Narrow" w:cs="Helvetica"/>
          <w:lang w:val="en-GB"/>
        </w:rPr>
        <w:t>it</w:t>
      </w:r>
      <w:r w:rsidR="00437CF4" w:rsidRPr="0D803B9D">
        <w:rPr>
          <w:rFonts w:ascii="Arial Narrow" w:hAnsi="Arial Narrow" w:cs="Helvetica"/>
          <w:lang w:val="en-GB"/>
        </w:rPr>
        <w:t xml:space="preserve"> is evident that most</w:t>
      </w:r>
      <w:r w:rsidR="002E64FA" w:rsidRPr="0D803B9D">
        <w:rPr>
          <w:rFonts w:ascii="Arial Narrow" w:hAnsi="Arial Narrow" w:cs="Helvetica"/>
          <w:lang w:val="en-GB"/>
        </w:rPr>
        <w:t xml:space="preserve"> </w:t>
      </w:r>
      <w:r w:rsidR="00152847" w:rsidRPr="0D803B9D">
        <w:rPr>
          <w:rFonts w:ascii="Arial Narrow" w:hAnsi="Arial Narrow" w:cs="Helvetica"/>
          <w:lang w:val="en-GB"/>
        </w:rPr>
        <w:t xml:space="preserve">household </w:t>
      </w:r>
      <w:r w:rsidR="00EB1D43" w:rsidRPr="0D803B9D">
        <w:rPr>
          <w:rFonts w:ascii="Arial Narrow" w:hAnsi="Arial Narrow" w:cs="Helvetica"/>
          <w:lang w:val="en-GB"/>
        </w:rPr>
        <w:t>budgets will remain</w:t>
      </w:r>
      <w:r w:rsidR="00DE6735" w:rsidRPr="0D803B9D">
        <w:rPr>
          <w:rFonts w:ascii="Arial Narrow" w:hAnsi="Arial Narrow" w:cs="Helvetica"/>
          <w:lang w:val="en-GB"/>
        </w:rPr>
        <w:t xml:space="preserve"> constrained </w:t>
      </w:r>
      <w:r w:rsidR="002E64FA" w:rsidRPr="0D803B9D">
        <w:rPr>
          <w:rFonts w:ascii="Arial Narrow" w:hAnsi="Arial Narrow" w:cs="Helvetica"/>
          <w:lang w:val="en-GB"/>
        </w:rPr>
        <w:t xml:space="preserve">for a </w:t>
      </w:r>
      <w:r w:rsidR="00152847" w:rsidRPr="0D803B9D">
        <w:rPr>
          <w:rFonts w:ascii="Arial Narrow" w:hAnsi="Arial Narrow" w:cs="Helvetica"/>
          <w:lang w:val="en-GB"/>
        </w:rPr>
        <w:t>foreseeable future, leaving most consumers under</w:t>
      </w:r>
      <w:r w:rsidR="26B3FA9C" w:rsidRPr="0D803B9D">
        <w:rPr>
          <w:rFonts w:ascii="Arial Narrow" w:hAnsi="Arial Narrow" w:cs="Helvetica"/>
          <w:lang w:val="en-GB"/>
        </w:rPr>
        <w:t xml:space="preserve"> a</w:t>
      </w:r>
      <w:r w:rsidR="00152847" w:rsidRPr="0D803B9D">
        <w:rPr>
          <w:rFonts w:ascii="Arial Narrow" w:hAnsi="Arial Narrow" w:cs="Helvetica"/>
          <w:lang w:val="en-GB"/>
        </w:rPr>
        <w:t xml:space="preserve"> </w:t>
      </w:r>
      <w:r w:rsidR="005D66FE" w:rsidRPr="0D803B9D">
        <w:rPr>
          <w:rFonts w:ascii="Arial Narrow" w:hAnsi="Arial Narrow" w:cs="Helvetica"/>
          <w:lang w:val="en-GB"/>
        </w:rPr>
        <w:t>precarious financial position.</w:t>
      </w:r>
      <w:r w:rsidR="008A50EF" w:rsidRPr="0D803B9D">
        <w:rPr>
          <w:rFonts w:ascii="Arial Narrow" w:hAnsi="Arial Narrow" w:cs="Helvetica"/>
          <w:lang w:val="en-GB"/>
        </w:rPr>
        <w:t xml:space="preserve"> To cushion members of medical schemes against further financial distress and the probable risk of losing their health insurance cover </w:t>
      </w:r>
      <w:r w:rsidR="001C0148" w:rsidRPr="0D803B9D">
        <w:rPr>
          <w:rFonts w:ascii="Arial Narrow" w:hAnsi="Arial Narrow" w:cs="Helvetica"/>
          <w:lang w:val="en-GB"/>
        </w:rPr>
        <w:t xml:space="preserve">due to affordability constraints, </w:t>
      </w:r>
      <w:r w:rsidR="008A2740" w:rsidRPr="008A2740">
        <w:rPr>
          <w:rFonts w:ascii="Arial Narrow" w:eastAsia="Times New Roman" w:hAnsi="Arial Narrow"/>
          <w:lang w:val="en-GB" w:eastAsia="en-ZA"/>
        </w:rPr>
        <w:t>medical schemes are advised to limit their cost increase assumptions for contribution increases for the 202</w:t>
      </w:r>
      <w:r w:rsidR="006B11C6">
        <w:rPr>
          <w:rFonts w:ascii="Arial Narrow" w:eastAsia="Times New Roman" w:hAnsi="Arial Narrow"/>
          <w:lang w:val="en-GB" w:eastAsia="en-ZA"/>
        </w:rPr>
        <w:t>4</w:t>
      </w:r>
      <w:r w:rsidR="008A2740" w:rsidRPr="008A2740">
        <w:rPr>
          <w:rFonts w:ascii="Arial Narrow" w:eastAsia="Times New Roman" w:hAnsi="Arial Narrow"/>
          <w:lang w:val="en-GB" w:eastAsia="en-ZA"/>
        </w:rPr>
        <w:t xml:space="preserve"> benefit year to </w:t>
      </w:r>
      <w:r w:rsidR="008A2740" w:rsidRPr="00746D41">
        <w:rPr>
          <w:rFonts w:ascii="Arial Narrow" w:eastAsia="Times New Roman" w:hAnsi="Arial Narrow"/>
          <w:b/>
          <w:bCs/>
          <w:lang w:val="en-GB" w:eastAsia="en-ZA"/>
        </w:rPr>
        <w:t>5.</w:t>
      </w:r>
      <w:r w:rsidR="005A3D2C" w:rsidRPr="00746D41">
        <w:rPr>
          <w:rFonts w:ascii="Arial Narrow" w:eastAsia="Times New Roman" w:hAnsi="Arial Narrow"/>
          <w:b/>
          <w:bCs/>
          <w:lang w:val="en-GB" w:eastAsia="en-ZA"/>
        </w:rPr>
        <w:t>0</w:t>
      </w:r>
      <w:r w:rsidR="008A2740" w:rsidRPr="00746D41">
        <w:rPr>
          <w:rFonts w:ascii="Arial Narrow" w:eastAsia="Times New Roman" w:hAnsi="Arial Narrow"/>
          <w:b/>
          <w:bCs/>
          <w:lang w:val="en-GB" w:eastAsia="en-ZA"/>
        </w:rPr>
        <w:t>%</w:t>
      </w:r>
      <w:r w:rsidR="008A2740" w:rsidRPr="008A2740">
        <w:rPr>
          <w:rFonts w:ascii="Arial Narrow" w:eastAsia="Times New Roman" w:hAnsi="Arial Narrow"/>
          <w:lang w:val="en-GB" w:eastAsia="en-ZA"/>
        </w:rPr>
        <w:t>, in line with CPI.</w:t>
      </w:r>
    </w:p>
    <w:p w14:paraId="6C279960" w14:textId="77777777" w:rsidR="008A2740" w:rsidRDefault="008A2740">
      <w:pPr>
        <w:pStyle w:val="ListParagraph"/>
        <w:ind w:left="426"/>
        <w:jc w:val="both"/>
        <w:rPr>
          <w:rFonts w:ascii="Arial Narrow" w:eastAsia="Times New Roman" w:hAnsi="Arial Narrow"/>
          <w:b/>
          <w:bCs/>
          <w:lang w:val="en-GB" w:eastAsia="en-ZA"/>
        </w:rPr>
      </w:pPr>
    </w:p>
    <w:p w14:paraId="408C8B05" w14:textId="42578AC0" w:rsidR="00C04740" w:rsidRDefault="7032ED50">
      <w:pPr>
        <w:pStyle w:val="ListParagraph"/>
        <w:ind w:left="426"/>
        <w:jc w:val="both"/>
        <w:rPr>
          <w:rFonts w:ascii="Arial Narrow" w:hAnsi="Arial Narrow" w:cs="Helvetica"/>
          <w:lang w:val="en-GB"/>
        </w:rPr>
      </w:pPr>
      <w:r w:rsidRPr="00743814">
        <w:rPr>
          <w:rFonts w:ascii="Arial Narrow" w:eastAsia="Times New Roman" w:hAnsi="Arial Narrow"/>
          <w:lang w:val="en-GB" w:eastAsia="en-ZA"/>
        </w:rPr>
        <w:t xml:space="preserve">This </w:t>
      </w:r>
      <w:r w:rsidR="00743814" w:rsidRPr="00743814">
        <w:rPr>
          <w:rFonts w:ascii="Arial Narrow" w:eastAsia="Times New Roman" w:hAnsi="Arial Narrow"/>
          <w:lang w:val="en-GB" w:eastAsia="en-ZA"/>
        </w:rPr>
        <w:t>in</w:t>
      </w:r>
      <w:r w:rsidR="006B61D1">
        <w:rPr>
          <w:rFonts w:ascii="Arial Narrow" w:eastAsia="Times New Roman" w:hAnsi="Arial Narrow"/>
          <w:lang w:val="en-GB" w:eastAsia="en-ZA"/>
        </w:rPr>
        <w:t xml:space="preserve"> </w:t>
      </w:r>
      <w:r w:rsidR="00350CFC">
        <w:rPr>
          <w:rFonts w:ascii="Arial Narrow" w:eastAsia="Times New Roman" w:hAnsi="Arial Narrow"/>
          <w:lang w:val="en-GB" w:eastAsia="en-ZA"/>
        </w:rPr>
        <w:t>line</w:t>
      </w:r>
      <w:r w:rsidR="006B61D1" w:rsidRPr="0D803B9D">
        <w:rPr>
          <w:rFonts w:ascii="Arial Narrow" w:eastAsia="Times New Roman" w:hAnsi="Arial Narrow"/>
          <w:b/>
          <w:lang w:val="en-GB" w:eastAsia="en-ZA"/>
        </w:rPr>
        <w:t xml:space="preserve"> </w:t>
      </w:r>
      <w:r w:rsidR="006B61D1" w:rsidRPr="0D803B9D">
        <w:rPr>
          <w:rFonts w:ascii="Arial Narrow" w:eastAsia="Times New Roman" w:hAnsi="Arial Narrow"/>
          <w:lang w:val="en-GB" w:eastAsia="en-ZA"/>
        </w:rPr>
        <w:t xml:space="preserve">with </w:t>
      </w:r>
      <w:r w:rsidR="00F83018" w:rsidRPr="0D803B9D">
        <w:rPr>
          <w:rFonts w:ascii="Arial Narrow" w:eastAsia="Times New Roman" w:hAnsi="Arial Narrow"/>
          <w:lang w:val="en-GB" w:eastAsia="en-ZA"/>
        </w:rPr>
        <w:t xml:space="preserve">the </w:t>
      </w:r>
      <w:r w:rsidR="00EC0D16" w:rsidRPr="0D803B9D">
        <w:rPr>
          <w:rFonts w:ascii="Arial Narrow" w:eastAsia="Times New Roman" w:hAnsi="Arial Narrow"/>
          <w:lang w:val="en-GB" w:eastAsia="en-ZA"/>
        </w:rPr>
        <w:t xml:space="preserve">CPI </w:t>
      </w:r>
      <w:r w:rsidR="00B16D5D" w:rsidRPr="0D803B9D">
        <w:rPr>
          <w:rFonts w:ascii="Arial Narrow" w:eastAsia="Times New Roman" w:hAnsi="Arial Narrow"/>
          <w:lang w:val="en-GB" w:eastAsia="en-ZA"/>
        </w:rPr>
        <w:t xml:space="preserve">forecast </w:t>
      </w:r>
      <w:r w:rsidR="00350CFC">
        <w:rPr>
          <w:rFonts w:ascii="Arial Narrow" w:hAnsi="Arial Narrow" w:cs="Helvetica"/>
          <w:lang w:val="en-GB"/>
        </w:rPr>
        <w:t>by</w:t>
      </w:r>
      <w:r w:rsidR="006B61D1" w:rsidRPr="0D803B9D">
        <w:rPr>
          <w:rFonts w:ascii="Arial Narrow" w:hAnsi="Arial Narrow" w:cs="Helvetica"/>
          <w:lang w:val="en-GB"/>
        </w:rPr>
        <w:t xml:space="preserve"> the South African Reserve Bank, as outlined in the July MPC Statement.</w:t>
      </w:r>
      <w:r w:rsidR="00B3463F" w:rsidRPr="0D803B9D">
        <w:rPr>
          <w:rFonts w:ascii="Arial Narrow" w:hAnsi="Arial Narrow" w:cs="Helvetica"/>
          <w:lang w:val="en-GB"/>
        </w:rPr>
        <w:t xml:space="preserve"> </w:t>
      </w:r>
      <w:r w:rsidR="00A64E50" w:rsidRPr="0D803B9D">
        <w:rPr>
          <w:rFonts w:ascii="Arial Narrow" w:eastAsia="Times New Roman" w:hAnsi="Arial Narrow"/>
          <w:lang w:val="en-GB" w:eastAsia="en-ZA"/>
        </w:rPr>
        <w:t>The CMS uses CPI, as a proxy measure for the affordability of annual contribution increases in the industry</w:t>
      </w:r>
      <w:r w:rsidR="00B73E15" w:rsidRPr="0D803B9D">
        <w:rPr>
          <w:rFonts w:ascii="Arial Narrow" w:eastAsia="Times New Roman" w:hAnsi="Arial Narrow"/>
          <w:lang w:val="en-GB" w:eastAsia="en-ZA"/>
        </w:rPr>
        <w:t xml:space="preserve">. </w:t>
      </w:r>
      <w:r w:rsidR="0089103D">
        <w:rPr>
          <w:rFonts w:ascii="Arial Narrow" w:hAnsi="Arial Narrow" w:cs="Helvetica"/>
          <w:bCs/>
          <w:lang w:val="en-GB"/>
        </w:rPr>
        <w:t xml:space="preserve"> </w:t>
      </w:r>
      <w:r w:rsidR="00743814">
        <w:rPr>
          <w:rFonts w:ascii="Arial Narrow" w:hAnsi="Arial Narrow" w:cs="Helvetica"/>
          <w:bCs/>
          <w:lang w:val="en-GB"/>
        </w:rPr>
        <w:t>It</w:t>
      </w:r>
      <w:r w:rsidR="00B15AD6" w:rsidRPr="0D803B9D">
        <w:rPr>
          <w:rFonts w:ascii="Arial Narrow" w:hAnsi="Arial Narrow" w:cs="Helvetica"/>
          <w:lang w:val="en-GB"/>
        </w:rPr>
        <w:t xml:space="preserve"> is </w:t>
      </w:r>
      <w:r w:rsidR="00536AEA">
        <w:rPr>
          <w:rFonts w:ascii="Arial Narrow" w:hAnsi="Arial Narrow" w:cs="Helvetica"/>
          <w:lang w:val="en-GB"/>
        </w:rPr>
        <w:t>CMS’</w:t>
      </w:r>
      <w:r w:rsidR="00B15AD6" w:rsidRPr="0D803B9D">
        <w:rPr>
          <w:rFonts w:ascii="Arial Narrow" w:hAnsi="Arial Narrow" w:cs="Helvetica"/>
          <w:lang w:val="en-GB"/>
        </w:rPr>
        <w:t xml:space="preserve"> </w:t>
      </w:r>
      <w:r w:rsidR="17C6AF73" w:rsidRPr="0D803B9D">
        <w:rPr>
          <w:rFonts w:ascii="Arial Narrow" w:eastAsia="Times New Roman" w:hAnsi="Arial Narrow"/>
          <w:lang w:val="en-GB" w:eastAsia="en-ZA"/>
        </w:rPr>
        <w:t>position</w:t>
      </w:r>
      <w:r w:rsidR="00B15AD6">
        <w:rPr>
          <w:rFonts w:ascii="Arial Narrow" w:eastAsia="Times New Roman" w:hAnsi="Arial Narrow"/>
          <w:lang w:val="en-GB" w:eastAsia="en-ZA"/>
        </w:rPr>
        <w:t xml:space="preserve"> </w:t>
      </w:r>
      <w:r w:rsidR="2BFCD06C" w:rsidRPr="0D803B9D">
        <w:rPr>
          <w:rFonts w:ascii="Arial Narrow" w:hAnsi="Arial Narrow" w:cs="Helvetica"/>
          <w:lang w:val="en-GB"/>
        </w:rPr>
        <w:t xml:space="preserve">that the </w:t>
      </w:r>
      <w:r w:rsidR="00C72EE7" w:rsidRPr="0D803B9D">
        <w:rPr>
          <w:rFonts w:ascii="Arial Narrow" w:hAnsi="Arial Narrow" w:cs="Helvetica"/>
          <w:lang w:val="en-GB"/>
        </w:rPr>
        <w:t>annual</w:t>
      </w:r>
      <w:r w:rsidR="009F200C" w:rsidRPr="0D803B9D">
        <w:rPr>
          <w:rFonts w:ascii="Arial Narrow" w:hAnsi="Arial Narrow" w:cs="Helvetica"/>
          <w:lang w:val="en-GB"/>
        </w:rPr>
        <w:t xml:space="preserve"> industry </w:t>
      </w:r>
      <w:r w:rsidR="00D47FE1" w:rsidRPr="0D803B9D">
        <w:rPr>
          <w:rFonts w:ascii="Arial Narrow" w:hAnsi="Arial Narrow" w:cs="Helvetica"/>
          <w:lang w:val="en-GB"/>
        </w:rPr>
        <w:t xml:space="preserve">price </w:t>
      </w:r>
      <w:r w:rsidR="002B368D" w:rsidRPr="0D803B9D">
        <w:rPr>
          <w:rFonts w:ascii="Arial Narrow" w:hAnsi="Arial Narrow" w:cs="Helvetica"/>
          <w:lang w:val="en-GB"/>
        </w:rPr>
        <w:t>inflation</w:t>
      </w:r>
      <w:r w:rsidR="00572411" w:rsidRPr="0D803B9D">
        <w:rPr>
          <w:rFonts w:ascii="Arial Narrow" w:hAnsi="Arial Narrow" w:cs="Helvetica"/>
          <w:lang w:val="en-GB"/>
        </w:rPr>
        <w:t xml:space="preserve"> </w:t>
      </w:r>
      <w:r w:rsidR="00C72EE7" w:rsidRPr="0D803B9D">
        <w:rPr>
          <w:rFonts w:ascii="Arial Narrow" w:hAnsi="Arial Narrow" w:cs="Helvetica"/>
          <w:lang w:val="en-GB"/>
        </w:rPr>
        <w:t>assumption</w:t>
      </w:r>
      <w:r w:rsidR="005F309D" w:rsidRPr="0D803B9D">
        <w:rPr>
          <w:rFonts w:ascii="Arial Narrow" w:hAnsi="Arial Narrow" w:cs="Helvetica"/>
          <w:lang w:val="en-GB"/>
        </w:rPr>
        <w:t xml:space="preserve">s </w:t>
      </w:r>
      <w:r w:rsidR="0003487C" w:rsidRPr="0D803B9D">
        <w:rPr>
          <w:rFonts w:ascii="Arial Narrow" w:hAnsi="Arial Narrow" w:cs="Helvetica"/>
          <w:lang w:val="en-GB"/>
        </w:rPr>
        <w:t>must be anchored</w:t>
      </w:r>
      <w:r w:rsidR="001A64F6" w:rsidRPr="0D803B9D">
        <w:rPr>
          <w:rFonts w:ascii="Arial Narrow" w:hAnsi="Arial Narrow" w:cs="Helvetica"/>
          <w:lang w:val="en-GB"/>
        </w:rPr>
        <w:t xml:space="preserve"> </w:t>
      </w:r>
      <w:r w:rsidR="0003487C" w:rsidRPr="0D803B9D">
        <w:rPr>
          <w:rFonts w:ascii="Arial Narrow" w:hAnsi="Arial Narrow" w:cs="Helvetica"/>
          <w:lang w:val="en-GB"/>
        </w:rPr>
        <w:t xml:space="preserve">firmly </w:t>
      </w:r>
      <w:r w:rsidR="0061768E" w:rsidRPr="0D803B9D">
        <w:rPr>
          <w:rFonts w:ascii="Arial Narrow" w:hAnsi="Arial Narrow" w:cs="Helvetica"/>
          <w:lang w:val="en-GB"/>
        </w:rPr>
        <w:t>in</w:t>
      </w:r>
      <w:r w:rsidR="00251340" w:rsidRPr="0D803B9D">
        <w:rPr>
          <w:rFonts w:ascii="Arial Narrow" w:hAnsi="Arial Narrow" w:cs="Helvetica"/>
          <w:lang w:val="en-GB"/>
        </w:rPr>
        <w:t xml:space="preserve"> line with the </w:t>
      </w:r>
      <w:r w:rsidR="00593DB1" w:rsidRPr="0D803B9D">
        <w:rPr>
          <w:rFonts w:ascii="Arial Narrow" w:hAnsi="Arial Narrow" w:cs="Helvetica"/>
          <w:lang w:val="en-GB"/>
        </w:rPr>
        <w:t>CPI forecast of the SARB</w:t>
      </w:r>
      <w:r w:rsidR="00B73E15" w:rsidRPr="0D803B9D">
        <w:rPr>
          <w:rFonts w:ascii="Arial Narrow" w:hAnsi="Arial Narrow" w:cs="Helvetica"/>
          <w:lang w:val="en-GB"/>
        </w:rPr>
        <w:t xml:space="preserve">. </w:t>
      </w:r>
      <w:r w:rsidR="00A64E50" w:rsidRPr="0D803B9D" w:rsidDel="00132104">
        <w:rPr>
          <w:rFonts w:ascii="Arial Narrow" w:hAnsi="Arial Narrow" w:cs="Helvetica"/>
          <w:lang w:val="en-GB"/>
        </w:rPr>
        <w:t>Persistently</w:t>
      </w:r>
      <w:r w:rsidR="00A64E50" w:rsidRPr="0D803B9D" w:rsidDel="00B95B16">
        <w:rPr>
          <w:rFonts w:ascii="Arial Narrow" w:hAnsi="Arial Narrow" w:cs="Helvetica"/>
          <w:lang w:val="en-GB"/>
        </w:rPr>
        <w:t xml:space="preserve"> and stubbornly above</w:t>
      </w:r>
      <w:r w:rsidR="00A64E50" w:rsidRPr="0D803B9D" w:rsidDel="00132104">
        <w:rPr>
          <w:rFonts w:ascii="Arial Narrow" w:hAnsi="Arial Narrow" w:cs="Helvetica"/>
          <w:lang w:val="en-GB"/>
        </w:rPr>
        <w:t xml:space="preserve"> inflationary annual</w:t>
      </w:r>
      <w:r w:rsidR="00A64E50" w:rsidRPr="0D803B9D" w:rsidDel="00B95B16">
        <w:rPr>
          <w:rFonts w:ascii="Arial Narrow" w:hAnsi="Arial Narrow" w:cs="Helvetica"/>
          <w:lang w:val="en-GB"/>
        </w:rPr>
        <w:t xml:space="preserve"> </w:t>
      </w:r>
      <w:r w:rsidR="00A64E50" w:rsidRPr="0D803B9D" w:rsidDel="00132104">
        <w:rPr>
          <w:rFonts w:ascii="Arial Narrow" w:hAnsi="Arial Narrow" w:cs="Helvetica"/>
          <w:lang w:val="en-GB"/>
        </w:rPr>
        <w:t xml:space="preserve">contribution increases are simply above the budget line for most </w:t>
      </w:r>
      <w:r w:rsidR="00213446">
        <w:rPr>
          <w:rFonts w:ascii="Arial Narrow" w:hAnsi="Arial Narrow" w:cs="Helvetica"/>
          <w:bCs/>
          <w:lang w:val="en-GB"/>
        </w:rPr>
        <w:t xml:space="preserve">members of </w:t>
      </w:r>
      <w:r w:rsidR="00D96176" w:rsidRPr="0D803B9D">
        <w:rPr>
          <w:rFonts w:ascii="Arial Narrow" w:hAnsi="Arial Narrow" w:cs="Helvetica"/>
          <w:lang w:val="en-GB"/>
        </w:rPr>
        <w:t>medical scheme</w:t>
      </w:r>
      <w:r w:rsidR="00A64E50" w:rsidRPr="0D803B9D" w:rsidDel="00D96176">
        <w:rPr>
          <w:rFonts w:ascii="Arial Narrow" w:hAnsi="Arial Narrow" w:cs="Helvetica"/>
          <w:lang w:val="en-GB"/>
        </w:rPr>
        <w:t>s</w:t>
      </w:r>
      <w:r w:rsidR="00213446">
        <w:rPr>
          <w:rFonts w:ascii="Arial Narrow" w:hAnsi="Arial Narrow" w:cs="Helvetica"/>
          <w:bCs/>
          <w:lang w:val="en-GB"/>
        </w:rPr>
        <w:t>.</w:t>
      </w:r>
      <w:r w:rsidR="00786438">
        <w:rPr>
          <w:rFonts w:ascii="Arial Narrow" w:hAnsi="Arial Narrow" w:cs="Helvetica"/>
          <w:bCs/>
          <w:lang w:val="en-GB"/>
        </w:rPr>
        <w:t xml:space="preserve"> </w:t>
      </w:r>
      <w:r w:rsidR="0A59D348" w:rsidRPr="0D803B9D">
        <w:rPr>
          <w:rFonts w:ascii="Arial Narrow" w:hAnsi="Arial Narrow" w:cs="Helvetica"/>
          <w:lang w:val="en-GB"/>
        </w:rPr>
        <w:t>H</w:t>
      </w:r>
      <w:r w:rsidR="00D96176" w:rsidRPr="0D803B9D">
        <w:rPr>
          <w:rFonts w:ascii="Arial Narrow" w:hAnsi="Arial Narrow" w:cs="Helvetica"/>
          <w:lang w:val="en-GB"/>
        </w:rPr>
        <w:t>igh</w:t>
      </w:r>
      <w:r w:rsidR="00D96176">
        <w:rPr>
          <w:rFonts w:ascii="Arial Narrow" w:hAnsi="Arial Narrow" w:cs="Helvetica"/>
          <w:bCs/>
          <w:lang w:val="en-GB"/>
        </w:rPr>
        <w:t xml:space="preserve"> medical scheme</w:t>
      </w:r>
      <w:r w:rsidR="00A315A4">
        <w:rPr>
          <w:rFonts w:ascii="Arial Narrow" w:hAnsi="Arial Narrow" w:cs="Helvetica"/>
          <w:bCs/>
          <w:lang w:val="en-GB"/>
        </w:rPr>
        <w:t>s</w:t>
      </w:r>
      <w:r w:rsidR="00D96176">
        <w:rPr>
          <w:rFonts w:ascii="Arial Narrow" w:hAnsi="Arial Narrow" w:cs="Helvetica"/>
          <w:bCs/>
          <w:lang w:val="en-GB"/>
        </w:rPr>
        <w:t xml:space="preserve"> </w:t>
      </w:r>
      <w:r w:rsidR="00D96176" w:rsidRPr="0D803B9D">
        <w:rPr>
          <w:rFonts w:ascii="Arial Narrow" w:hAnsi="Arial Narrow" w:cs="Helvetica"/>
          <w:lang w:val="en-GB"/>
        </w:rPr>
        <w:t>contribution rate</w:t>
      </w:r>
      <w:r w:rsidR="4F384299" w:rsidRPr="0D803B9D">
        <w:rPr>
          <w:rFonts w:ascii="Arial Narrow" w:hAnsi="Arial Narrow" w:cs="Helvetica"/>
          <w:lang w:val="en-GB"/>
        </w:rPr>
        <w:t>s create a</w:t>
      </w:r>
      <w:r w:rsidR="00A64E50" w:rsidRPr="0D803B9D" w:rsidDel="00D96176">
        <w:rPr>
          <w:rFonts w:ascii="Arial Narrow" w:hAnsi="Arial Narrow" w:cs="Helvetica"/>
          <w:lang w:val="en-GB"/>
        </w:rPr>
        <w:t xml:space="preserve"> </w:t>
      </w:r>
      <w:r w:rsidR="00D96176" w:rsidRPr="0D803B9D">
        <w:rPr>
          <w:rFonts w:ascii="Arial Narrow" w:hAnsi="Arial Narrow" w:cs="Helvetica"/>
          <w:lang w:val="en-GB"/>
        </w:rPr>
        <w:t xml:space="preserve">barrier </w:t>
      </w:r>
      <w:r w:rsidR="001F1A34" w:rsidRPr="0D803B9D">
        <w:rPr>
          <w:rFonts w:ascii="Arial Narrow" w:hAnsi="Arial Narrow" w:cs="Helvetica"/>
          <w:lang w:val="en-GB"/>
        </w:rPr>
        <w:t>to entry</w:t>
      </w:r>
      <w:r w:rsidR="00386737" w:rsidRPr="0D803B9D">
        <w:rPr>
          <w:rFonts w:ascii="Arial Narrow" w:hAnsi="Arial Narrow" w:cs="Helvetica"/>
          <w:lang w:val="en-GB"/>
        </w:rPr>
        <w:t xml:space="preserve"> for potential new entrants to </w:t>
      </w:r>
      <w:r w:rsidR="00C1294E" w:rsidRPr="0D803B9D">
        <w:rPr>
          <w:rFonts w:ascii="Arial Narrow" w:hAnsi="Arial Narrow" w:cs="Helvetica"/>
          <w:lang w:val="en-GB"/>
        </w:rPr>
        <w:t xml:space="preserve">the </w:t>
      </w:r>
      <w:r w:rsidR="00267F95" w:rsidRPr="0D803B9D">
        <w:rPr>
          <w:rFonts w:ascii="Arial Narrow" w:hAnsi="Arial Narrow" w:cs="Helvetica"/>
          <w:lang w:val="en-GB"/>
        </w:rPr>
        <w:t>private healthcare industry</w:t>
      </w:r>
      <w:r w:rsidR="00386737" w:rsidRPr="0D803B9D">
        <w:rPr>
          <w:rFonts w:ascii="Arial Narrow" w:hAnsi="Arial Narrow" w:cs="Helvetica"/>
          <w:lang w:val="en-GB"/>
        </w:rPr>
        <w:t>.</w:t>
      </w:r>
      <w:r w:rsidR="00B0334A" w:rsidRPr="0D803B9D">
        <w:rPr>
          <w:rFonts w:ascii="Arial Narrow" w:hAnsi="Arial Narrow" w:cs="Helvetica"/>
          <w:lang w:val="en-GB"/>
        </w:rPr>
        <w:t xml:space="preserve"> </w:t>
      </w:r>
    </w:p>
    <w:p w14:paraId="183528AF" w14:textId="77777777" w:rsidR="00C04740" w:rsidRDefault="00C04740" w:rsidP="00642AAB">
      <w:pPr>
        <w:pStyle w:val="ListParagraph"/>
        <w:ind w:left="426"/>
        <w:jc w:val="both"/>
        <w:rPr>
          <w:rFonts w:ascii="Arial Narrow" w:hAnsi="Arial Narrow" w:cs="Helvetica"/>
          <w:bCs/>
          <w:lang w:val="en-GB"/>
        </w:rPr>
      </w:pPr>
    </w:p>
    <w:p w14:paraId="49B28281" w14:textId="77777777" w:rsidR="004114C1" w:rsidRDefault="0005797D" w:rsidP="00CB73AD">
      <w:pPr>
        <w:pStyle w:val="ListParagraph"/>
        <w:ind w:left="426"/>
        <w:jc w:val="both"/>
        <w:rPr>
          <w:rFonts w:ascii="Arial Narrow" w:eastAsia="Times New Roman" w:hAnsi="Arial Narrow" w:cs="Helvetica"/>
          <w:lang w:val="en-GB" w:eastAsia="en-ZA"/>
        </w:rPr>
      </w:pPr>
      <w:r w:rsidRPr="0005797D">
        <w:rPr>
          <w:rFonts w:ascii="Arial Narrow" w:eastAsia="Times New Roman" w:hAnsi="Arial Narrow" w:cs="Helvetica"/>
          <w:lang w:val="en-GB" w:eastAsia="en-ZA"/>
        </w:rPr>
        <w:t>While recognising</w:t>
      </w:r>
      <w:r w:rsidR="00DB3195">
        <w:rPr>
          <w:rFonts w:ascii="Arial Narrow" w:eastAsia="Times New Roman" w:hAnsi="Arial Narrow" w:cs="Helvetica"/>
          <w:lang w:val="en-GB" w:eastAsia="en-ZA"/>
        </w:rPr>
        <w:t xml:space="preserve"> the </w:t>
      </w:r>
      <w:r w:rsidRPr="0005797D">
        <w:rPr>
          <w:rFonts w:ascii="Arial Narrow" w:eastAsia="Times New Roman" w:hAnsi="Arial Narrow" w:cs="Helvetica"/>
          <w:lang w:val="en-GB" w:eastAsia="en-ZA"/>
        </w:rPr>
        <w:t xml:space="preserve">importance of </w:t>
      </w:r>
      <w:r w:rsidR="00DB3195">
        <w:rPr>
          <w:rFonts w:ascii="Arial Narrow" w:eastAsia="Times New Roman" w:hAnsi="Arial Narrow" w:cs="Helvetica"/>
          <w:lang w:val="en-GB" w:eastAsia="en-ZA"/>
        </w:rPr>
        <w:t xml:space="preserve">pricing models that </w:t>
      </w:r>
      <w:r w:rsidRPr="0005797D">
        <w:rPr>
          <w:rFonts w:ascii="Arial Narrow" w:eastAsia="Times New Roman" w:hAnsi="Arial Narrow" w:cs="Helvetica"/>
          <w:lang w:val="en-GB" w:eastAsia="en-ZA"/>
        </w:rPr>
        <w:t>prioritise the interests of members</w:t>
      </w:r>
      <w:r w:rsidR="00F5409D">
        <w:rPr>
          <w:rFonts w:ascii="Arial Narrow" w:eastAsia="Times New Roman" w:hAnsi="Arial Narrow" w:cs="Helvetica"/>
          <w:lang w:val="en-GB" w:eastAsia="en-ZA"/>
        </w:rPr>
        <w:t xml:space="preserve">, </w:t>
      </w:r>
      <w:r w:rsidR="004D2020">
        <w:rPr>
          <w:rFonts w:ascii="Arial Narrow" w:eastAsia="Times New Roman" w:hAnsi="Arial Narrow" w:cs="Helvetica"/>
          <w:lang w:val="en-GB" w:eastAsia="en-ZA"/>
        </w:rPr>
        <w:t>the CMS</w:t>
      </w:r>
      <w:r w:rsidR="00C43F61">
        <w:rPr>
          <w:rFonts w:ascii="Arial Narrow" w:eastAsia="Times New Roman" w:hAnsi="Arial Narrow" w:cs="Helvetica"/>
          <w:lang w:val="en-GB" w:eastAsia="en-ZA"/>
        </w:rPr>
        <w:t xml:space="preserve"> </w:t>
      </w:r>
      <w:r w:rsidRPr="0005797D">
        <w:rPr>
          <w:rFonts w:ascii="Arial Narrow" w:eastAsia="Times New Roman" w:hAnsi="Arial Narrow" w:cs="Helvetica"/>
          <w:lang w:val="en-GB" w:eastAsia="en-ZA"/>
        </w:rPr>
        <w:t>acknowledges</w:t>
      </w:r>
      <w:r w:rsidR="00C43F61">
        <w:rPr>
          <w:rFonts w:ascii="Arial Narrow" w:eastAsia="Times New Roman" w:hAnsi="Arial Narrow" w:cs="Helvetica"/>
          <w:lang w:val="en-GB" w:eastAsia="en-ZA"/>
        </w:rPr>
        <w:t xml:space="preserve"> that </w:t>
      </w:r>
      <w:r>
        <w:rPr>
          <w:rFonts w:ascii="Arial Narrow" w:eastAsia="Times New Roman" w:hAnsi="Arial Narrow" w:cs="Helvetica"/>
          <w:lang w:val="en-GB" w:eastAsia="en-ZA"/>
        </w:rPr>
        <w:t>some</w:t>
      </w:r>
      <w:r w:rsidRPr="0005797D">
        <w:rPr>
          <w:rFonts w:ascii="Arial Narrow" w:eastAsia="Times New Roman" w:hAnsi="Arial Narrow" w:cs="Helvetica"/>
          <w:lang w:val="en-GB" w:eastAsia="en-ZA"/>
        </w:rPr>
        <w:t xml:space="preserve"> medical schemes may find it necessary to implement contribution increases that exceed the </w:t>
      </w:r>
      <w:r w:rsidR="00536AEA">
        <w:rPr>
          <w:rFonts w:ascii="Arial Narrow" w:eastAsia="Times New Roman" w:hAnsi="Arial Narrow" w:cs="Helvetica"/>
          <w:lang w:val="en-GB" w:eastAsia="en-ZA"/>
        </w:rPr>
        <w:t>CMS’</w:t>
      </w:r>
      <w:r w:rsidRPr="0005797D">
        <w:rPr>
          <w:rFonts w:ascii="Arial Narrow" w:eastAsia="Times New Roman" w:hAnsi="Arial Narrow" w:cs="Helvetica"/>
          <w:lang w:val="en-GB" w:eastAsia="en-ZA"/>
        </w:rPr>
        <w:t xml:space="preserve"> recommended increments linked to the Consumer Price Index (CPI). The </w:t>
      </w:r>
      <w:proofErr w:type="gramStart"/>
      <w:r w:rsidRPr="0005797D">
        <w:rPr>
          <w:rFonts w:ascii="Arial Narrow" w:eastAsia="Times New Roman" w:hAnsi="Arial Narrow" w:cs="Helvetica"/>
          <w:lang w:val="en-GB" w:eastAsia="en-ZA"/>
        </w:rPr>
        <w:t>aforementioned circumstances</w:t>
      </w:r>
      <w:proofErr w:type="gramEnd"/>
      <w:r w:rsidRPr="0005797D">
        <w:rPr>
          <w:rFonts w:ascii="Arial Narrow" w:eastAsia="Times New Roman" w:hAnsi="Arial Narrow" w:cs="Helvetica"/>
          <w:lang w:val="en-GB" w:eastAsia="en-ZA"/>
        </w:rPr>
        <w:t xml:space="preserve"> can be attributed to </w:t>
      </w:r>
      <w:r w:rsidR="00C43F61" w:rsidRPr="00D8220A">
        <w:rPr>
          <w:rFonts w:ascii="Arial Narrow" w:eastAsia="Times New Roman" w:hAnsi="Arial Narrow" w:cs="Helvetica"/>
          <w:lang w:val="en-GB" w:eastAsia="en-ZA"/>
        </w:rPr>
        <w:t>industry-specific cost-push factors</w:t>
      </w:r>
      <w:r w:rsidRPr="0005797D">
        <w:rPr>
          <w:rFonts w:ascii="Arial Narrow" w:eastAsia="Times New Roman" w:hAnsi="Arial Narrow" w:cs="Helvetica"/>
          <w:lang w:val="en-GB" w:eastAsia="en-ZA"/>
        </w:rPr>
        <w:t>, encompassing various elements</w:t>
      </w:r>
      <w:r w:rsidR="00C43F61" w:rsidRPr="00D8220A">
        <w:rPr>
          <w:rFonts w:ascii="Arial Narrow" w:eastAsia="Times New Roman" w:hAnsi="Arial Narrow" w:cs="Helvetica"/>
          <w:lang w:val="en-GB" w:eastAsia="en-ZA"/>
        </w:rPr>
        <w:t xml:space="preserve"> such as</w:t>
      </w:r>
      <w:r w:rsidR="00C43F61">
        <w:rPr>
          <w:rFonts w:ascii="Arial Narrow" w:eastAsia="Times New Roman" w:hAnsi="Arial Narrow" w:cs="Helvetica"/>
          <w:lang w:val="en-GB" w:eastAsia="en-ZA"/>
        </w:rPr>
        <w:t xml:space="preserve"> </w:t>
      </w:r>
      <w:r w:rsidRPr="0005797D">
        <w:rPr>
          <w:rFonts w:ascii="Arial Narrow" w:eastAsia="Times New Roman" w:hAnsi="Arial Narrow" w:cs="Helvetica"/>
          <w:lang w:val="en-GB" w:eastAsia="en-ZA"/>
        </w:rPr>
        <w:t xml:space="preserve">the </w:t>
      </w:r>
      <w:r w:rsidR="00C43F61">
        <w:rPr>
          <w:rFonts w:ascii="Arial Narrow" w:eastAsia="Times New Roman" w:hAnsi="Arial Narrow" w:cs="Helvetica"/>
          <w:lang w:val="en-GB" w:eastAsia="en-ZA"/>
        </w:rPr>
        <w:t xml:space="preserve">burden of diseases, </w:t>
      </w:r>
      <w:r w:rsidRPr="0005797D">
        <w:rPr>
          <w:rFonts w:ascii="Arial Narrow" w:eastAsia="Times New Roman" w:hAnsi="Arial Narrow" w:cs="Helvetica"/>
          <w:lang w:val="en-GB" w:eastAsia="en-ZA"/>
        </w:rPr>
        <w:t>unfavourable</w:t>
      </w:r>
      <w:r w:rsidR="004D2020">
        <w:rPr>
          <w:rFonts w:ascii="Arial Narrow" w:eastAsia="Times New Roman" w:hAnsi="Arial Narrow" w:cs="Helvetica"/>
          <w:lang w:val="en-GB" w:eastAsia="en-ZA"/>
        </w:rPr>
        <w:t xml:space="preserve"> </w:t>
      </w:r>
      <w:r w:rsidR="00C43F61">
        <w:rPr>
          <w:rFonts w:ascii="Arial Narrow" w:eastAsia="Times New Roman" w:hAnsi="Arial Narrow" w:cs="Helvetica"/>
          <w:lang w:val="en-GB" w:eastAsia="en-ZA"/>
        </w:rPr>
        <w:t>demographic profile,</w:t>
      </w:r>
      <w:r w:rsidR="00C43F61" w:rsidRPr="00D8220A">
        <w:rPr>
          <w:rFonts w:ascii="Arial Narrow" w:eastAsia="Times New Roman" w:hAnsi="Arial Narrow" w:cs="Helvetica"/>
          <w:lang w:val="en-GB" w:eastAsia="en-ZA"/>
        </w:rPr>
        <w:t xml:space="preserve"> </w:t>
      </w:r>
      <w:r w:rsidRPr="0005797D">
        <w:rPr>
          <w:rFonts w:ascii="Arial Narrow" w:eastAsia="Times New Roman" w:hAnsi="Arial Narrow" w:cs="Helvetica"/>
          <w:lang w:val="en-GB" w:eastAsia="en-ZA"/>
        </w:rPr>
        <w:t>and the repercussions of a depreciated</w:t>
      </w:r>
      <w:r w:rsidR="00C43F61" w:rsidRPr="00D8220A">
        <w:rPr>
          <w:rFonts w:ascii="Arial Narrow" w:eastAsia="Times New Roman" w:hAnsi="Arial Narrow" w:cs="Helvetica"/>
          <w:lang w:val="en-GB" w:eastAsia="en-ZA"/>
        </w:rPr>
        <w:t xml:space="preserve"> rand exchange rate</w:t>
      </w:r>
      <w:r w:rsidRPr="0005797D">
        <w:rPr>
          <w:rFonts w:ascii="Arial Narrow" w:eastAsia="Times New Roman" w:hAnsi="Arial Narrow" w:cs="Helvetica"/>
          <w:lang w:val="en-GB" w:eastAsia="en-ZA"/>
        </w:rPr>
        <w:t>.</w:t>
      </w:r>
      <w:r w:rsidR="00E05D4A">
        <w:rPr>
          <w:rFonts w:ascii="Arial Narrow" w:eastAsia="Times New Roman" w:hAnsi="Arial Narrow" w:cs="Helvetica"/>
          <w:lang w:val="en-GB" w:eastAsia="en-ZA"/>
        </w:rPr>
        <w:t xml:space="preserve"> </w:t>
      </w:r>
    </w:p>
    <w:p w14:paraId="61055C1D" w14:textId="77777777" w:rsidR="004114C1" w:rsidRDefault="004114C1" w:rsidP="00CB73AD">
      <w:pPr>
        <w:pStyle w:val="ListParagraph"/>
        <w:ind w:left="426"/>
        <w:jc w:val="both"/>
        <w:rPr>
          <w:rFonts w:ascii="Arial Narrow" w:eastAsia="Times New Roman" w:hAnsi="Arial Narrow" w:cs="Helvetica"/>
          <w:lang w:val="en-GB" w:eastAsia="en-ZA"/>
        </w:rPr>
      </w:pPr>
    </w:p>
    <w:p w14:paraId="327C8969" w14:textId="60456375" w:rsidR="00CB73AD" w:rsidRPr="0046205A" w:rsidRDefault="00E05D4A" w:rsidP="00CB73AD">
      <w:pPr>
        <w:pStyle w:val="ListParagraph"/>
        <w:ind w:left="426"/>
        <w:jc w:val="both"/>
        <w:rPr>
          <w:rFonts w:ascii="Arial Narrow" w:eastAsia="Times New Roman" w:hAnsi="Arial Narrow" w:cs="Helvetica"/>
          <w:lang w:val="en-GB" w:eastAsia="en-ZA"/>
        </w:rPr>
      </w:pPr>
      <w:r>
        <w:rPr>
          <w:rFonts w:ascii="Arial Narrow" w:eastAsia="Times New Roman" w:hAnsi="Arial Narrow" w:cs="Helvetica"/>
          <w:lang w:val="en-GB" w:eastAsia="en-ZA"/>
        </w:rPr>
        <w:t>In such cases</w:t>
      </w:r>
      <w:r w:rsidR="0037610C">
        <w:rPr>
          <w:rFonts w:ascii="Arial Narrow" w:eastAsia="Times New Roman" w:hAnsi="Arial Narrow" w:cs="Helvetica"/>
          <w:lang w:val="en-GB" w:eastAsia="en-ZA"/>
        </w:rPr>
        <w:t xml:space="preserve">, </w:t>
      </w:r>
      <w:r w:rsidR="009265A9">
        <w:rPr>
          <w:rFonts w:ascii="Arial Narrow" w:eastAsia="Times New Roman" w:hAnsi="Arial Narrow" w:cs="Helvetica"/>
          <w:lang w:val="en-GB" w:eastAsia="en-ZA"/>
        </w:rPr>
        <w:t>BoTs</w:t>
      </w:r>
      <w:r>
        <w:rPr>
          <w:rFonts w:ascii="Arial Narrow" w:eastAsia="Times New Roman" w:hAnsi="Arial Narrow" w:cs="Helvetica"/>
          <w:lang w:val="en-GB" w:eastAsia="en-ZA"/>
        </w:rPr>
        <w:t xml:space="preserve"> are required to </w:t>
      </w:r>
      <w:r w:rsidR="00B8188B">
        <w:rPr>
          <w:rFonts w:ascii="Arial Narrow" w:eastAsia="Times New Roman" w:hAnsi="Arial Narrow" w:cs="Helvetica"/>
          <w:lang w:val="en-GB" w:eastAsia="en-ZA"/>
        </w:rPr>
        <w:t>provide</w:t>
      </w:r>
      <w:r w:rsidR="007C165C">
        <w:rPr>
          <w:rFonts w:ascii="Arial Narrow" w:eastAsia="Times New Roman" w:hAnsi="Arial Narrow" w:cs="Helvetica"/>
          <w:lang w:val="en-GB" w:eastAsia="en-ZA"/>
        </w:rPr>
        <w:t xml:space="preserve"> the Registrar</w:t>
      </w:r>
      <w:r w:rsidR="00CE0434">
        <w:rPr>
          <w:rFonts w:ascii="Arial Narrow" w:eastAsia="Times New Roman" w:hAnsi="Arial Narrow" w:cs="Helvetica"/>
          <w:lang w:val="en-GB" w:eastAsia="en-ZA"/>
        </w:rPr>
        <w:t xml:space="preserve"> with </w:t>
      </w:r>
      <w:r w:rsidR="00514F0F">
        <w:rPr>
          <w:rFonts w:ascii="Arial Narrow" w:eastAsia="Times New Roman" w:hAnsi="Arial Narrow" w:cs="Helvetica"/>
          <w:lang w:val="en-GB" w:eastAsia="en-ZA"/>
        </w:rPr>
        <w:t>a comprehensive</w:t>
      </w:r>
      <w:r w:rsidR="00847263">
        <w:rPr>
          <w:rFonts w:ascii="Arial Narrow" w:eastAsia="Times New Roman" w:hAnsi="Arial Narrow" w:cs="Helvetica"/>
          <w:lang w:val="en-GB" w:eastAsia="en-ZA"/>
        </w:rPr>
        <w:t xml:space="preserve"> actuarial business plan</w:t>
      </w:r>
      <w:r w:rsidR="003E7D00">
        <w:rPr>
          <w:rFonts w:ascii="Arial Narrow" w:eastAsia="Times New Roman" w:hAnsi="Arial Narrow" w:cs="Helvetica"/>
          <w:lang w:val="en-GB" w:eastAsia="en-ZA"/>
        </w:rPr>
        <w:t xml:space="preserve"> j</w:t>
      </w:r>
      <w:r w:rsidR="00847263">
        <w:rPr>
          <w:rFonts w:ascii="Arial Narrow" w:eastAsia="Times New Roman" w:hAnsi="Arial Narrow" w:cs="Helvetica"/>
          <w:lang w:val="en-GB" w:eastAsia="en-ZA"/>
        </w:rPr>
        <w:t>ustifying</w:t>
      </w:r>
      <w:r w:rsidR="00514F0F">
        <w:rPr>
          <w:rFonts w:ascii="Arial Narrow" w:eastAsia="Times New Roman" w:hAnsi="Arial Narrow" w:cs="Helvetica"/>
          <w:lang w:val="en-GB" w:eastAsia="en-ZA"/>
        </w:rPr>
        <w:t xml:space="preserve"> the proposed contribution increases</w:t>
      </w:r>
      <w:r w:rsidR="005E45F6">
        <w:rPr>
          <w:rFonts w:ascii="Arial Narrow" w:eastAsia="Times New Roman" w:hAnsi="Arial Narrow" w:cs="Helvetica"/>
          <w:lang w:val="en-GB" w:eastAsia="en-ZA"/>
        </w:rPr>
        <w:t xml:space="preserve"> that</w:t>
      </w:r>
      <w:r w:rsidR="00514F0F">
        <w:rPr>
          <w:rFonts w:ascii="Arial Narrow" w:eastAsia="Times New Roman" w:hAnsi="Arial Narrow" w:cs="Helvetica"/>
          <w:lang w:val="en-GB" w:eastAsia="en-ZA"/>
        </w:rPr>
        <w:t xml:space="preserve"> above inflation. T</w:t>
      </w:r>
      <w:r w:rsidR="00A736F5">
        <w:rPr>
          <w:rFonts w:ascii="Arial Narrow" w:eastAsia="Times New Roman" w:hAnsi="Arial Narrow" w:cs="Helvetica"/>
          <w:lang w:val="en-GB" w:eastAsia="en-ZA"/>
        </w:rPr>
        <w:t>he</w:t>
      </w:r>
      <w:r w:rsidR="002F0EE2">
        <w:rPr>
          <w:rFonts w:ascii="Arial Narrow" w:eastAsia="Times New Roman" w:hAnsi="Arial Narrow" w:cs="Helvetica"/>
          <w:lang w:val="en-GB" w:eastAsia="en-ZA"/>
        </w:rPr>
        <w:t xml:space="preserve"> </w:t>
      </w:r>
      <w:r w:rsidR="00492399">
        <w:rPr>
          <w:rFonts w:ascii="Arial Narrow" w:eastAsia="Times New Roman" w:hAnsi="Arial Narrow" w:cs="Helvetica"/>
          <w:lang w:val="en-GB" w:eastAsia="en-ZA"/>
        </w:rPr>
        <w:t>business pla</w:t>
      </w:r>
      <w:r w:rsidR="00996DD4">
        <w:rPr>
          <w:rFonts w:ascii="Arial Narrow" w:eastAsia="Times New Roman" w:hAnsi="Arial Narrow" w:cs="Helvetica"/>
          <w:lang w:val="en-GB" w:eastAsia="en-ZA"/>
        </w:rPr>
        <w:t xml:space="preserve">n must </w:t>
      </w:r>
      <w:r w:rsidR="003E7D00">
        <w:rPr>
          <w:rFonts w:ascii="Arial Narrow" w:eastAsia="Times New Roman" w:hAnsi="Arial Narrow" w:cs="Helvetica"/>
          <w:lang w:val="en-GB" w:eastAsia="en-ZA"/>
        </w:rPr>
        <w:t xml:space="preserve">fully </w:t>
      </w:r>
      <w:r w:rsidR="00996DD4">
        <w:rPr>
          <w:rFonts w:ascii="Arial Narrow" w:eastAsia="Times New Roman" w:hAnsi="Arial Narrow" w:cs="Helvetica"/>
          <w:lang w:val="en-GB" w:eastAsia="en-ZA"/>
        </w:rPr>
        <w:t>comply</w:t>
      </w:r>
      <w:r w:rsidR="003E7D00">
        <w:rPr>
          <w:rFonts w:ascii="Arial Narrow" w:eastAsia="Times New Roman" w:hAnsi="Arial Narrow" w:cs="Helvetica"/>
          <w:lang w:val="en-GB" w:eastAsia="en-ZA"/>
        </w:rPr>
        <w:t xml:space="preserve"> </w:t>
      </w:r>
      <w:r w:rsidR="00996DD4">
        <w:rPr>
          <w:rFonts w:ascii="Arial Narrow" w:eastAsia="Times New Roman" w:hAnsi="Arial Narrow" w:cs="Helvetica"/>
          <w:lang w:val="en-GB" w:eastAsia="en-ZA"/>
        </w:rPr>
        <w:t>with the stringent requirements</w:t>
      </w:r>
      <w:r w:rsidR="006D7852">
        <w:rPr>
          <w:rFonts w:ascii="Arial Narrow" w:eastAsia="Times New Roman" w:hAnsi="Arial Narrow" w:cs="Helvetica"/>
          <w:lang w:val="en-GB" w:eastAsia="en-ZA"/>
        </w:rPr>
        <w:t xml:space="preserve"> </w:t>
      </w:r>
      <w:r w:rsidR="00C303CC">
        <w:rPr>
          <w:rFonts w:ascii="Arial Narrow" w:eastAsia="Times New Roman" w:hAnsi="Arial Narrow" w:cs="Helvetica"/>
          <w:lang w:val="en-GB" w:eastAsia="en-ZA"/>
        </w:rPr>
        <w:t>of the</w:t>
      </w:r>
      <w:r w:rsidR="00570874">
        <w:rPr>
          <w:rFonts w:ascii="Arial Narrow" w:eastAsia="Times New Roman" w:hAnsi="Arial Narrow" w:cs="Helvetica"/>
          <w:lang w:val="en-GB" w:eastAsia="en-ZA"/>
        </w:rPr>
        <w:t xml:space="preserve"> </w:t>
      </w:r>
      <w:r w:rsidR="00CB73AD" w:rsidRPr="0046205A">
        <w:rPr>
          <w:rFonts w:ascii="Arial Narrow" w:eastAsia="Times New Roman" w:hAnsi="Arial Narrow" w:cs="Helvetica"/>
          <w:lang w:val="en-GB" w:eastAsia="en-ZA"/>
        </w:rPr>
        <w:t xml:space="preserve">Advisory Practice Note (APN303), on the adequacy of contribution increases, </w:t>
      </w:r>
      <w:r w:rsidR="00A736F5">
        <w:rPr>
          <w:rFonts w:ascii="Arial Narrow" w:eastAsia="Times New Roman" w:hAnsi="Arial Narrow" w:cs="Helvetica"/>
          <w:lang w:val="en-GB" w:eastAsia="en-ZA"/>
        </w:rPr>
        <w:t xml:space="preserve">as prescribed </w:t>
      </w:r>
      <w:r w:rsidR="00CB73AD" w:rsidRPr="0046205A">
        <w:rPr>
          <w:rFonts w:ascii="Arial Narrow" w:eastAsia="Times New Roman" w:hAnsi="Arial Narrow" w:cs="Helvetica"/>
          <w:lang w:val="en-GB" w:eastAsia="en-ZA"/>
        </w:rPr>
        <w:t xml:space="preserve">by the Actuarial Society of South Africa (ASSA). </w:t>
      </w:r>
      <w:r w:rsidR="00A736F5">
        <w:rPr>
          <w:rFonts w:ascii="Arial Narrow" w:eastAsia="Times New Roman" w:hAnsi="Arial Narrow" w:cs="Helvetica"/>
          <w:lang w:val="en-GB" w:eastAsia="en-ZA"/>
        </w:rPr>
        <w:t xml:space="preserve">Similarly, to avoid isolated incidents of </w:t>
      </w:r>
      <w:r w:rsidR="00570D7B">
        <w:rPr>
          <w:rFonts w:ascii="Arial Narrow" w:eastAsia="Times New Roman" w:hAnsi="Arial Narrow" w:cs="Helvetica"/>
          <w:lang w:val="en-GB" w:eastAsia="en-ZA"/>
        </w:rPr>
        <w:t xml:space="preserve">deliberate </w:t>
      </w:r>
      <w:r w:rsidR="00A736F5">
        <w:rPr>
          <w:rFonts w:ascii="Arial Narrow" w:eastAsia="Times New Roman" w:hAnsi="Arial Narrow" w:cs="Helvetica"/>
          <w:lang w:val="en-GB" w:eastAsia="en-ZA"/>
        </w:rPr>
        <w:t>under-pricing</w:t>
      </w:r>
      <w:r w:rsidR="00514F0F">
        <w:rPr>
          <w:rFonts w:ascii="Arial Narrow" w:eastAsia="Times New Roman" w:hAnsi="Arial Narrow" w:cs="Helvetica"/>
          <w:lang w:val="en-GB" w:eastAsia="en-ZA"/>
        </w:rPr>
        <w:t xml:space="preserve"> </w:t>
      </w:r>
      <w:r w:rsidR="00081D64">
        <w:rPr>
          <w:rFonts w:ascii="Arial Narrow" w:eastAsia="Times New Roman" w:hAnsi="Arial Narrow" w:cs="Helvetica"/>
          <w:lang w:val="en-GB" w:eastAsia="en-ZA"/>
        </w:rPr>
        <w:t xml:space="preserve">by some </w:t>
      </w:r>
      <w:r w:rsidR="00056E26">
        <w:rPr>
          <w:rFonts w:ascii="Arial Narrow" w:eastAsia="Times New Roman" w:hAnsi="Arial Narrow" w:cs="Helvetica"/>
          <w:lang w:val="en-GB" w:eastAsia="en-ZA"/>
        </w:rPr>
        <w:t xml:space="preserve">medical </w:t>
      </w:r>
      <w:r w:rsidR="00081D64">
        <w:rPr>
          <w:rFonts w:ascii="Arial Narrow" w:eastAsia="Times New Roman" w:hAnsi="Arial Narrow" w:cs="Helvetica"/>
          <w:lang w:val="en-GB" w:eastAsia="en-ZA"/>
        </w:rPr>
        <w:t>schemes</w:t>
      </w:r>
      <w:r w:rsidR="009B6667">
        <w:rPr>
          <w:rFonts w:ascii="Arial Narrow" w:eastAsia="Times New Roman" w:hAnsi="Arial Narrow" w:cs="Helvetica"/>
          <w:lang w:val="en-GB" w:eastAsia="en-ZA"/>
        </w:rPr>
        <w:t xml:space="preserve">, to gain </w:t>
      </w:r>
      <w:r w:rsidR="00C83468">
        <w:rPr>
          <w:rFonts w:ascii="Arial Narrow" w:eastAsia="Times New Roman" w:hAnsi="Arial Narrow" w:cs="Helvetica"/>
          <w:lang w:val="en-GB" w:eastAsia="en-ZA"/>
        </w:rPr>
        <w:t xml:space="preserve">an </w:t>
      </w:r>
      <w:r w:rsidR="009B6667">
        <w:rPr>
          <w:rFonts w:ascii="Arial Narrow" w:eastAsia="Times New Roman" w:hAnsi="Arial Narrow" w:cs="Helvetica"/>
          <w:lang w:val="en-GB" w:eastAsia="en-ZA"/>
        </w:rPr>
        <w:t xml:space="preserve">unfair competitive edge in the market, </w:t>
      </w:r>
      <w:r w:rsidR="003A7BCE">
        <w:rPr>
          <w:rFonts w:ascii="Arial Narrow" w:eastAsia="Times New Roman" w:hAnsi="Arial Narrow" w:cs="Helvetica"/>
          <w:lang w:val="en-GB" w:eastAsia="en-ZA"/>
        </w:rPr>
        <w:t xml:space="preserve">which may pose </w:t>
      </w:r>
      <w:r w:rsidR="00F400D1">
        <w:rPr>
          <w:rFonts w:ascii="Arial Narrow" w:eastAsia="Times New Roman" w:hAnsi="Arial Narrow" w:cs="Helvetica"/>
          <w:lang w:val="en-GB" w:eastAsia="en-ZA"/>
        </w:rPr>
        <w:t>an insolvency risk to a</w:t>
      </w:r>
      <w:r w:rsidR="00F123A9">
        <w:rPr>
          <w:rFonts w:ascii="Arial Narrow" w:eastAsia="Times New Roman" w:hAnsi="Arial Narrow" w:cs="Helvetica"/>
          <w:lang w:val="en-GB" w:eastAsia="en-ZA"/>
        </w:rPr>
        <w:t xml:space="preserve"> medical</w:t>
      </w:r>
      <w:r w:rsidR="00F400D1">
        <w:rPr>
          <w:rFonts w:ascii="Arial Narrow" w:eastAsia="Times New Roman" w:hAnsi="Arial Narrow" w:cs="Helvetica"/>
          <w:lang w:val="en-GB" w:eastAsia="en-ZA"/>
        </w:rPr>
        <w:t xml:space="preserve"> scheme, </w:t>
      </w:r>
      <w:r w:rsidR="009265A9">
        <w:rPr>
          <w:rFonts w:ascii="Arial Narrow" w:eastAsia="Times New Roman" w:hAnsi="Arial Narrow" w:cs="Helvetica"/>
          <w:lang w:val="en-GB" w:eastAsia="en-ZA"/>
        </w:rPr>
        <w:t>BoTs</w:t>
      </w:r>
      <w:r w:rsidR="008D4177">
        <w:rPr>
          <w:rFonts w:ascii="Arial Narrow" w:eastAsia="Times New Roman" w:hAnsi="Arial Narrow" w:cs="Helvetica"/>
          <w:lang w:val="en-GB" w:eastAsia="en-ZA"/>
        </w:rPr>
        <w:t xml:space="preserve"> that intend to </w:t>
      </w:r>
      <w:r w:rsidR="009A1E6F">
        <w:rPr>
          <w:rFonts w:ascii="Arial Narrow" w:eastAsia="Times New Roman" w:hAnsi="Arial Narrow" w:cs="Helvetica"/>
          <w:lang w:val="en-GB" w:eastAsia="en-ZA"/>
        </w:rPr>
        <w:t>implement contribution increases below CPI,</w:t>
      </w:r>
      <w:r w:rsidR="00DF08D1">
        <w:rPr>
          <w:rFonts w:ascii="Arial Narrow" w:eastAsia="Times New Roman" w:hAnsi="Arial Narrow" w:cs="Helvetica"/>
          <w:lang w:val="en-GB" w:eastAsia="en-ZA"/>
        </w:rPr>
        <w:t xml:space="preserve"> must </w:t>
      </w:r>
      <w:r w:rsidR="00AA358F">
        <w:rPr>
          <w:rFonts w:ascii="Arial Narrow" w:eastAsia="Times New Roman" w:hAnsi="Arial Narrow" w:cs="Helvetica"/>
          <w:lang w:val="en-GB" w:eastAsia="en-ZA"/>
        </w:rPr>
        <w:t xml:space="preserve">also submit an independent actuarial evaluation in line with </w:t>
      </w:r>
      <w:r w:rsidR="00514F0F">
        <w:rPr>
          <w:rFonts w:ascii="Arial Narrow" w:eastAsia="Times New Roman" w:hAnsi="Arial Narrow" w:cs="Helvetica"/>
          <w:lang w:val="en-GB" w:eastAsia="en-ZA"/>
        </w:rPr>
        <w:t>APN 303 to</w:t>
      </w:r>
      <w:r w:rsidR="00AA358F">
        <w:rPr>
          <w:rFonts w:ascii="Arial Narrow" w:eastAsia="Times New Roman" w:hAnsi="Arial Narrow" w:cs="Helvetica"/>
          <w:lang w:val="en-GB" w:eastAsia="en-ZA"/>
        </w:rPr>
        <w:t xml:space="preserve"> justify their pricing assumptions. </w:t>
      </w:r>
    </w:p>
    <w:p w14:paraId="45C36AF8" w14:textId="28560B4B" w:rsidR="00E05D4A" w:rsidRDefault="00E05D4A" w:rsidP="00E05D4A">
      <w:pPr>
        <w:pStyle w:val="ListParagraph"/>
        <w:ind w:left="426"/>
        <w:jc w:val="both"/>
        <w:rPr>
          <w:rFonts w:ascii="Arial Narrow" w:eastAsia="Times New Roman" w:hAnsi="Arial Narrow" w:cs="Helvetica"/>
          <w:lang w:val="en-GB" w:eastAsia="en-ZA"/>
        </w:rPr>
      </w:pPr>
    </w:p>
    <w:p w14:paraId="5EC9A4BB" w14:textId="44DE8B2F" w:rsidR="00D017F7" w:rsidRPr="00086A30" w:rsidRDefault="00D017F7" w:rsidP="00D017F7">
      <w:pPr>
        <w:pStyle w:val="ListParagraph"/>
        <w:numPr>
          <w:ilvl w:val="1"/>
          <w:numId w:val="7"/>
        </w:numPr>
        <w:ind w:left="426" w:hanging="426"/>
        <w:jc w:val="both"/>
        <w:rPr>
          <w:rFonts w:ascii="Arial Narrow" w:hAnsi="Arial Narrow"/>
          <w:b/>
          <w:lang w:val="en-GB"/>
        </w:rPr>
      </w:pPr>
      <w:r w:rsidRPr="001416D0">
        <w:rPr>
          <w:rFonts w:ascii="Arial Narrow" w:hAnsi="Arial Narrow" w:cs="Helvetica"/>
          <w:b/>
          <w:lang w:val="en-GB"/>
        </w:rPr>
        <w:t>Increase in manag</w:t>
      </w:r>
      <w:r w:rsidRPr="00086A30">
        <w:rPr>
          <w:rFonts w:ascii="Arial Narrow" w:hAnsi="Arial Narrow" w:cs="Helvetica"/>
          <w:b/>
          <w:lang w:val="en-GB"/>
        </w:rPr>
        <w:t xml:space="preserve">ed care and administration </w:t>
      </w:r>
      <w:r w:rsidR="001422F2" w:rsidRPr="00086A30">
        <w:rPr>
          <w:rFonts w:ascii="Arial Narrow" w:hAnsi="Arial Narrow" w:cs="Helvetica"/>
          <w:b/>
          <w:lang w:val="en-GB"/>
        </w:rPr>
        <w:t>fees.</w:t>
      </w:r>
      <w:r w:rsidRPr="00086A30">
        <w:rPr>
          <w:rFonts w:ascii="Arial Narrow" w:hAnsi="Arial Narrow" w:cs="Helvetica"/>
          <w:b/>
          <w:lang w:val="en-GB"/>
        </w:rPr>
        <w:t xml:space="preserve"> </w:t>
      </w:r>
    </w:p>
    <w:p w14:paraId="78C17711" w14:textId="77777777" w:rsidR="00D017F7" w:rsidRPr="00086A30" w:rsidRDefault="00D017F7" w:rsidP="00D017F7">
      <w:pPr>
        <w:pStyle w:val="ListParagraph"/>
        <w:ind w:left="360"/>
        <w:jc w:val="both"/>
        <w:rPr>
          <w:rFonts w:ascii="Arial Narrow" w:eastAsia="Times New Roman" w:hAnsi="Arial Narrow" w:cs="Helvetica"/>
          <w:lang w:val="en-GB" w:eastAsia="en-ZA"/>
        </w:rPr>
      </w:pPr>
    </w:p>
    <w:p w14:paraId="11A5289C" w14:textId="1FD08A40" w:rsidR="00CC3D07" w:rsidRDefault="009C3F5A" w:rsidP="00CC3D07">
      <w:pPr>
        <w:pStyle w:val="ListParagraph"/>
        <w:ind w:left="426"/>
        <w:jc w:val="both"/>
        <w:rPr>
          <w:rFonts w:ascii="Arial Narrow" w:eastAsia="Times New Roman" w:hAnsi="Arial Narrow" w:cs="Helvetica"/>
          <w:lang w:val="en-GB" w:eastAsia="en-ZA"/>
        </w:rPr>
      </w:pPr>
      <w:r>
        <w:rPr>
          <w:rFonts w:ascii="Arial Narrow" w:hAnsi="Arial Narrow" w:cs="Helvetica"/>
          <w:bCs/>
          <w:lang w:val="en-GB"/>
        </w:rPr>
        <w:t>To further continue to contain contribution increases and keep the risk pool sustainable,</w:t>
      </w:r>
      <w:r w:rsidR="00CC3D07">
        <w:rPr>
          <w:rFonts w:ascii="Arial Narrow" w:hAnsi="Arial Narrow" w:cs="Helvetica"/>
          <w:bCs/>
          <w:lang w:val="en-GB"/>
        </w:rPr>
        <w:t xml:space="preserve"> </w:t>
      </w:r>
      <w:r w:rsidR="00CC3D07" w:rsidRPr="00D8220A">
        <w:rPr>
          <w:rFonts w:ascii="Arial Narrow" w:eastAsia="Times New Roman" w:hAnsi="Arial Narrow" w:cs="Helvetica"/>
          <w:lang w:val="en-GB" w:eastAsia="en-ZA"/>
        </w:rPr>
        <w:t xml:space="preserve">the CMS would like to impress on Principal </w:t>
      </w:r>
      <w:r w:rsidR="00CC3D07">
        <w:rPr>
          <w:rFonts w:ascii="Arial Narrow" w:eastAsia="Times New Roman" w:hAnsi="Arial Narrow" w:cs="Helvetica"/>
          <w:lang w:val="en-GB" w:eastAsia="en-ZA"/>
        </w:rPr>
        <w:t>O</w:t>
      </w:r>
      <w:r w:rsidR="00CC3D07" w:rsidRPr="00D8220A">
        <w:rPr>
          <w:rFonts w:ascii="Arial Narrow" w:eastAsia="Times New Roman" w:hAnsi="Arial Narrow" w:cs="Helvetica"/>
          <w:lang w:val="en-GB" w:eastAsia="en-ZA"/>
        </w:rPr>
        <w:t xml:space="preserve">fficers and </w:t>
      </w:r>
      <w:r w:rsidR="009265A9">
        <w:rPr>
          <w:rFonts w:ascii="Arial Narrow" w:eastAsia="Times New Roman" w:hAnsi="Arial Narrow" w:cs="Helvetica"/>
          <w:lang w:val="en-GB" w:eastAsia="en-ZA"/>
        </w:rPr>
        <w:t>BoTs</w:t>
      </w:r>
      <w:r w:rsidR="00CC3D07" w:rsidRPr="00D8220A">
        <w:rPr>
          <w:rFonts w:ascii="Arial Narrow" w:eastAsia="Times New Roman" w:hAnsi="Arial Narrow" w:cs="Helvetica"/>
          <w:lang w:val="en-GB" w:eastAsia="en-ZA"/>
        </w:rPr>
        <w:t xml:space="preserve"> to </w:t>
      </w:r>
      <w:r w:rsidR="00CC3D07">
        <w:rPr>
          <w:rFonts w:ascii="Arial Narrow" w:eastAsia="Times New Roman" w:hAnsi="Arial Narrow" w:cs="Helvetica"/>
          <w:lang w:val="en-GB" w:eastAsia="en-ZA"/>
        </w:rPr>
        <w:t>continue to negotiate favourable terms with service providers.</w:t>
      </w:r>
      <w:r w:rsidR="00CC3D07" w:rsidRPr="002D7CBE">
        <w:rPr>
          <w:rFonts w:ascii="Arial Narrow" w:eastAsia="Times New Roman" w:hAnsi="Arial Narrow" w:cs="Helvetica"/>
          <w:lang w:val="en-GB" w:eastAsia="en-ZA"/>
        </w:rPr>
        <w:t xml:space="preserve"> Those schemes that have sufficient economies of scale are expected to continue using their strategic purchasing when contracting with all providers to ensure value-based contracting</w:t>
      </w:r>
      <w:r w:rsidR="00211523">
        <w:rPr>
          <w:rFonts w:ascii="Arial Narrow" w:eastAsia="Times New Roman" w:hAnsi="Arial Narrow" w:cs="Helvetica"/>
          <w:lang w:val="en-GB" w:eastAsia="en-ZA"/>
        </w:rPr>
        <w:t xml:space="preserve"> and pass some of the efficiency gains to their members. As</w:t>
      </w:r>
      <w:r w:rsidR="00CC3D07">
        <w:rPr>
          <w:rFonts w:ascii="Arial Narrow" w:eastAsia="Times New Roman" w:hAnsi="Arial Narrow" w:cs="Helvetica"/>
          <w:lang w:val="en-GB" w:eastAsia="en-ZA"/>
        </w:rPr>
        <w:t xml:space="preserve"> such, in the best interest of the long-term sustainability of the industry, the CMS </w:t>
      </w:r>
      <w:r w:rsidR="0069342E">
        <w:rPr>
          <w:rFonts w:ascii="Arial Narrow" w:eastAsia="Times New Roman" w:hAnsi="Arial Narrow" w:cs="Helvetica"/>
          <w:lang w:val="en-GB" w:eastAsia="en-ZA"/>
        </w:rPr>
        <w:t>recommends,</w:t>
      </w:r>
      <w:r w:rsidR="00CC3D07">
        <w:rPr>
          <w:rFonts w:ascii="Arial Narrow" w:eastAsia="Times New Roman" w:hAnsi="Arial Narrow" w:cs="Helvetica"/>
          <w:lang w:val="en-GB" w:eastAsia="en-ZA"/>
        </w:rPr>
        <w:t xml:space="preserve"> increases in non-healthcare expenditure for 202</w:t>
      </w:r>
      <w:r w:rsidR="00211523">
        <w:rPr>
          <w:rFonts w:ascii="Arial Narrow" w:eastAsia="Times New Roman" w:hAnsi="Arial Narrow" w:cs="Helvetica"/>
          <w:lang w:val="en-GB" w:eastAsia="en-ZA"/>
        </w:rPr>
        <w:t>4</w:t>
      </w:r>
      <w:r w:rsidR="00CC3D07">
        <w:rPr>
          <w:rFonts w:ascii="Arial Narrow" w:eastAsia="Times New Roman" w:hAnsi="Arial Narrow" w:cs="Helvetica"/>
          <w:lang w:val="en-GB" w:eastAsia="en-ZA"/>
        </w:rPr>
        <w:t xml:space="preserve"> must </w:t>
      </w:r>
      <w:r w:rsidR="0069342E">
        <w:rPr>
          <w:rFonts w:ascii="Arial Narrow" w:eastAsia="Times New Roman" w:hAnsi="Arial Narrow" w:cs="Helvetica"/>
          <w:lang w:val="en-GB" w:eastAsia="en-ZA"/>
        </w:rPr>
        <w:t xml:space="preserve">also be adjusted in </w:t>
      </w:r>
      <w:r w:rsidR="00CC3D07">
        <w:rPr>
          <w:rFonts w:ascii="Arial Narrow" w:eastAsia="Times New Roman" w:hAnsi="Arial Narrow" w:cs="Helvetica"/>
          <w:lang w:val="en-GB" w:eastAsia="en-ZA"/>
        </w:rPr>
        <w:t>line with CPI.</w:t>
      </w:r>
      <w:r w:rsidR="0069342E">
        <w:rPr>
          <w:rFonts w:ascii="Arial Narrow" w:eastAsia="Times New Roman" w:hAnsi="Arial Narrow" w:cs="Helvetica"/>
          <w:lang w:val="en-GB" w:eastAsia="en-ZA"/>
        </w:rPr>
        <w:t xml:space="preserve"> </w:t>
      </w:r>
    </w:p>
    <w:p w14:paraId="0813ACB6" w14:textId="77777777" w:rsidR="00CC3D07" w:rsidRDefault="00CC3D07" w:rsidP="00CC3D07">
      <w:pPr>
        <w:pStyle w:val="ListParagraph"/>
        <w:ind w:left="426"/>
        <w:jc w:val="both"/>
        <w:rPr>
          <w:rFonts w:ascii="Arial Narrow" w:eastAsia="Times New Roman" w:hAnsi="Arial Narrow" w:cs="Helvetica"/>
          <w:lang w:val="en-GB" w:eastAsia="en-ZA"/>
        </w:rPr>
      </w:pPr>
    </w:p>
    <w:p w14:paraId="4778EC1E" w14:textId="77777777" w:rsidR="00D017F7" w:rsidRDefault="00D017F7" w:rsidP="00D017F7">
      <w:pPr>
        <w:pStyle w:val="ListParagraph"/>
        <w:ind w:left="426"/>
        <w:jc w:val="both"/>
        <w:rPr>
          <w:rFonts w:ascii="Arial Narrow" w:hAnsi="Arial Narrow"/>
          <w:b/>
          <w:lang w:val="en-GB"/>
        </w:rPr>
      </w:pPr>
    </w:p>
    <w:p w14:paraId="3745665C" w14:textId="5CE6DBCF" w:rsidR="00D017F7" w:rsidRPr="00A15055" w:rsidRDefault="00D017F7" w:rsidP="006C58D1">
      <w:pPr>
        <w:pStyle w:val="ListParagraph"/>
        <w:keepNext/>
        <w:numPr>
          <w:ilvl w:val="1"/>
          <w:numId w:val="7"/>
        </w:numPr>
        <w:ind w:left="432"/>
        <w:jc w:val="both"/>
        <w:rPr>
          <w:rFonts w:ascii="Arial Narrow" w:hAnsi="Arial Narrow"/>
          <w:b/>
          <w:lang w:val="en-GB"/>
        </w:rPr>
      </w:pPr>
      <w:r w:rsidRPr="00A15055">
        <w:rPr>
          <w:rFonts w:ascii="Arial Narrow" w:hAnsi="Arial Narrow"/>
          <w:b/>
          <w:lang w:val="en-GB"/>
        </w:rPr>
        <w:t>Medium</w:t>
      </w:r>
      <w:r w:rsidR="00C83468">
        <w:rPr>
          <w:rFonts w:ascii="Arial Narrow" w:hAnsi="Arial Narrow"/>
          <w:b/>
          <w:lang w:val="en-GB"/>
        </w:rPr>
        <w:t>-</w:t>
      </w:r>
      <w:r w:rsidRPr="00A15055">
        <w:rPr>
          <w:rFonts w:ascii="Arial Narrow" w:hAnsi="Arial Narrow"/>
          <w:b/>
          <w:lang w:val="en-GB"/>
        </w:rPr>
        <w:t>term cost increase assumptions for contribution increases</w:t>
      </w:r>
      <w:r w:rsidR="003A679C">
        <w:rPr>
          <w:rFonts w:ascii="Arial Narrow" w:hAnsi="Arial Narrow"/>
          <w:b/>
          <w:lang w:val="en-GB"/>
        </w:rPr>
        <w:t>.</w:t>
      </w:r>
    </w:p>
    <w:p w14:paraId="7C74A3B2" w14:textId="77777777" w:rsidR="00D017F7" w:rsidRPr="00780DD8" w:rsidRDefault="00D017F7" w:rsidP="00D017F7">
      <w:pPr>
        <w:pStyle w:val="ListParagraph"/>
        <w:ind w:left="426" w:hanging="426"/>
        <w:jc w:val="both"/>
        <w:rPr>
          <w:rFonts w:ascii="Arial Narrow" w:hAnsi="Arial Narrow"/>
          <w:b/>
          <w:lang w:val="en-GB"/>
        </w:rPr>
      </w:pPr>
    </w:p>
    <w:p w14:paraId="21B8E06C" w14:textId="685AAA39" w:rsidR="00D017F7" w:rsidRDefault="00D017F7" w:rsidP="00D017F7">
      <w:pPr>
        <w:pStyle w:val="ListParagraph"/>
        <w:ind w:left="426"/>
        <w:jc w:val="both"/>
        <w:rPr>
          <w:rFonts w:ascii="Arial Narrow" w:hAnsi="Arial Narrow" w:cs="Helvetica"/>
          <w:bCs/>
          <w:lang w:val="en-GB"/>
        </w:rPr>
      </w:pPr>
      <w:r w:rsidRPr="00780DD8">
        <w:rPr>
          <w:rFonts w:ascii="Arial Narrow" w:hAnsi="Arial Narrow" w:cs="Helvetica"/>
          <w:bCs/>
          <w:lang w:val="en-GB"/>
        </w:rPr>
        <w:t>To assist the industry with future planning, the CMS</w:t>
      </w:r>
      <w:r>
        <w:rPr>
          <w:rFonts w:ascii="Arial Narrow" w:hAnsi="Arial Narrow" w:cs="Helvetica"/>
          <w:bCs/>
          <w:lang w:val="en-GB"/>
        </w:rPr>
        <w:t>, therefore,</w:t>
      </w:r>
      <w:r w:rsidRPr="00780DD8">
        <w:rPr>
          <w:rFonts w:ascii="Arial Narrow" w:hAnsi="Arial Narrow" w:cs="Helvetica"/>
          <w:bCs/>
          <w:lang w:val="en-GB"/>
        </w:rPr>
        <w:t xml:space="preserve"> offers the industry a t</w:t>
      </w:r>
      <w:r>
        <w:rPr>
          <w:rFonts w:ascii="Arial Narrow" w:hAnsi="Arial Narrow" w:cs="Helvetica"/>
          <w:bCs/>
          <w:lang w:val="en-GB"/>
        </w:rPr>
        <w:t>wo</w:t>
      </w:r>
      <w:r w:rsidRPr="00780DD8">
        <w:rPr>
          <w:rFonts w:ascii="Arial Narrow" w:hAnsi="Arial Narrow" w:cs="Helvetica"/>
          <w:bCs/>
          <w:lang w:val="en-GB"/>
        </w:rPr>
        <w:t>-year forward</w:t>
      </w:r>
      <w:r w:rsidR="00C83468">
        <w:rPr>
          <w:rFonts w:ascii="Arial Narrow" w:hAnsi="Arial Narrow" w:cs="Helvetica"/>
          <w:bCs/>
          <w:lang w:val="en-GB"/>
        </w:rPr>
        <w:t>-</w:t>
      </w:r>
      <w:r w:rsidRPr="00780DD8">
        <w:rPr>
          <w:rFonts w:ascii="Arial Narrow" w:hAnsi="Arial Narrow" w:cs="Helvetica"/>
          <w:bCs/>
          <w:lang w:val="en-GB"/>
        </w:rPr>
        <w:t>looking cost increase assumption for contribution increases.</w:t>
      </w:r>
      <w:r>
        <w:rPr>
          <w:rFonts w:ascii="Arial Narrow" w:hAnsi="Arial Narrow" w:cs="Helvetica"/>
          <w:bCs/>
          <w:lang w:val="en-GB"/>
        </w:rPr>
        <w:t xml:space="preserve"> </w:t>
      </w:r>
      <w:r w:rsidRPr="00780DD8">
        <w:rPr>
          <w:rFonts w:ascii="Arial Narrow" w:hAnsi="Arial Narrow" w:cs="Helvetica"/>
          <w:bCs/>
          <w:lang w:val="en-GB"/>
        </w:rPr>
        <w:t>To this end, cost increase assumptions for contribution increase for the 202</w:t>
      </w:r>
      <w:r w:rsidR="00EE1170">
        <w:rPr>
          <w:rFonts w:ascii="Arial Narrow" w:hAnsi="Arial Narrow" w:cs="Helvetica"/>
          <w:bCs/>
          <w:lang w:val="en-GB"/>
        </w:rPr>
        <w:t>4</w:t>
      </w:r>
      <w:r>
        <w:rPr>
          <w:rFonts w:ascii="Arial Narrow" w:hAnsi="Arial Narrow" w:cs="Helvetica"/>
          <w:bCs/>
          <w:lang w:val="en-GB"/>
        </w:rPr>
        <w:t xml:space="preserve"> benefit year are projected to increase by 5.</w:t>
      </w:r>
      <w:r w:rsidR="00EE1170">
        <w:rPr>
          <w:rFonts w:ascii="Arial Narrow" w:hAnsi="Arial Narrow" w:cs="Helvetica"/>
          <w:bCs/>
          <w:lang w:val="en-GB"/>
        </w:rPr>
        <w:t>0</w:t>
      </w:r>
      <w:r>
        <w:rPr>
          <w:rFonts w:ascii="Arial Narrow" w:hAnsi="Arial Narrow" w:cs="Helvetica"/>
          <w:bCs/>
          <w:lang w:val="en-GB"/>
        </w:rPr>
        <w:t>%, before moderating significantly to 4.</w:t>
      </w:r>
      <w:r w:rsidR="009B4065">
        <w:rPr>
          <w:rFonts w:ascii="Arial Narrow" w:hAnsi="Arial Narrow" w:cs="Helvetica"/>
          <w:bCs/>
          <w:lang w:val="en-GB"/>
        </w:rPr>
        <w:t>5</w:t>
      </w:r>
      <w:r>
        <w:rPr>
          <w:rFonts w:ascii="Arial Narrow" w:hAnsi="Arial Narrow" w:cs="Helvetica"/>
          <w:bCs/>
          <w:lang w:val="en-GB"/>
        </w:rPr>
        <w:t>% in 202</w:t>
      </w:r>
      <w:r w:rsidR="009B4065">
        <w:rPr>
          <w:rFonts w:ascii="Arial Narrow" w:hAnsi="Arial Narrow" w:cs="Helvetica"/>
          <w:bCs/>
          <w:lang w:val="en-GB"/>
        </w:rPr>
        <w:t>5</w:t>
      </w:r>
      <w:r>
        <w:rPr>
          <w:rFonts w:ascii="Arial Narrow" w:hAnsi="Arial Narrow" w:cs="Helvetica"/>
          <w:bCs/>
          <w:lang w:val="en-GB"/>
        </w:rPr>
        <w:t xml:space="preserve">, </w:t>
      </w:r>
      <w:r w:rsidRPr="00780DD8">
        <w:rPr>
          <w:rFonts w:ascii="Arial Narrow" w:hAnsi="Arial Narrow" w:cs="Helvetica"/>
          <w:bCs/>
          <w:lang w:val="en-GB"/>
        </w:rPr>
        <w:t xml:space="preserve">in line with the projected CPI. These projections are, however, subject to revision in line with the inflation forecast </w:t>
      </w:r>
      <w:r>
        <w:rPr>
          <w:rFonts w:ascii="Arial Narrow" w:hAnsi="Arial Narrow" w:cs="Helvetica"/>
          <w:bCs/>
          <w:lang w:val="en-GB"/>
        </w:rPr>
        <w:t>of the South African Reserve Bank.</w:t>
      </w:r>
    </w:p>
    <w:p w14:paraId="02FA559D" w14:textId="77777777" w:rsidR="003005FC" w:rsidRDefault="003005FC" w:rsidP="00D017F7">
      <w:pPr>
        <w:pStyle w:val="ListParagraph"/>
        <w:ind w:left="426"/>
        <w:jc w:val="both"/>
        <w:rPr>
          <w:rFonts w:ascii="Arial Narrow" w:hAnsi="Arial Narrow"/>
          <w:b/>
          <w:lang w:val="en-GB"/>
        </w:rPr>
      </w:pPr>
    </w:p>
    <w:p w14:paraId="5702F96F" w14:textId="77777777" w:rsidR="00023BA3" w:rsidRDefault="00023BA3">
      <w:pPr>
        <w:spacing w:after="0" w:line="240" w:lineRule="auto"/>
        <w:rPr>
          <w:rFonts w:ascii="Arial Narrow" w:hAnsi="Arial Narrow"/>
          <w:b/>
          <w:lang w:val="en-GB"/>
        </w:rPr>
      </w:pPr>
      <w:r>
        <w:rPr>
          <w:rFonts w:ascii="Arial Narrow" w:hAnsi="Arial Narrow"/>
          <w:b/>
          <w:lang w:val="en-GB"/>
        </w:rPr>
        <w:br w:type="page"/>
      </w:r>
    </w:p>
    <w:p w14:paraId="5803CF58" w14:textId="0A0AAFB2" w:rsidR="005A781E" w:rsidRDefault="005A781E" w:rsidP="005A781E">
      <w:pPr>
        <w:pStyle w:val="ListParagraph"/>
        <w:numPr>
          <w:ilvl w:val="1"/>
          <w:numId w:val="7"/>
        </w:numPr>
        <w:ind w:left="426" w:hanging="426"/>
        <w:jc w:val="both"/>
        <w:rPr>
          <w:rFonts w:ascii="Arial Narrow" w:hAnsi="Arial Narrow"/>
          <w:b/>
          <w:lang w:val="en-GB"/>
        </w:rPr>
      </w:pPr>
      <w:r w:rsidRPr="005A781E">
        <w:rPr>
          <w:rFonts w:ascii="Arial Narrow" w:hAnsi="Arial Narrow"/>
          <w:b/>
          <w:lang w:val="en-GB"/>
        </w:rPr>
        <w:lastRenderedPageBreak/>
        <w:t>Application for registration of new benefit options</w:t>
      </w:r>
    </w:p>
    <w:p w14:paraId="2A78057E" w14:textId="5688E0AD" w:rsidR="00A46B02" w:rsidRPr="005A781E" w:rsidRDefault="00A46B02" w:rsidP="00A46B02">
      <w:pPr>
        <w:pStyle w:val="ListParagraph"/>
        <w:ind w:left="426"/>
        <w:jc w:val="both"/>
        <w:rPr>
          <w:rFonts w:ascii="Arial Narrow" w:hAnsi="Arial Narrow"/>
          <w:b/>
          <w:lang w:val="en-GB"/>
        </w:rPr>
      </w:pPr>
    </w:p>
    <w:p w14:paraId="25364E7E" w14:textId="60CC5B23" w:rsidR="005A781E" w:rsidRDefault="005A781E" w:rsidP="005A781E">
      <w:pPr>
        <w:pStyle w:val="ListParagraph"/>
        <w:ind w:left="426"/>
        <w:jc w:val="both"/>
        <w:rPr>
          <w:rFonts w:ascii="Arial Narrow" w:hAnsi="Arial Narrow" w:cs="Helvetica"/>
          <w:lang w:val="en-GB"/>
        </w:rPr>
      </w:pPr>
      <w:r w:rsidRPr="00B60293">
        <w:rPr>
          <w:rFonts w:ascii="Arial Narrow" w:hAnsi="Arial Narrow" w:cs="Helvetica"/>
          <w:lang w:val="en-GB"/>
        </w:rPr>
        <w:t xml:space="preserve">As evidenced by </w:t>
      </w:r>
      <w:r w:rsidRPr="00086A30">
        <w:rPr>
          <w:rFonts w:ascii="Arial Narrow" w:hAnsi="Arial Narrow" w:cs="Helvetica"/>
          <w:lang w:val="en-GB"/>
        </w:rPr>
        <w:t>Health Market Inquiry finding</w:t>
      </w:r>
      <w:r>
        <w:rPr>
          <w:rFonts w:ascii="Arial Narrow" w:hAnsi="Arial Narrow" w:cs="Helvetica"/>
          <w:lang w:val="en-GB"/>
        </w:rPr>
        <w:t>s</w:t>
      </w:r>
      <w:r w:rsidRPr="007F2191">
        <w:rPr>
          <w:rFonts w:ascii="Arial Narrow" w:hAnsi="Arial Narrow" w:cs="Helvetica"/>
          <w:lang w:val="en-GB"/>
        </w:rPr>
        <w:t xml:space="preserve"> (2019), the current high number of benefit options and complex benefit design have an adverse effect on consumers and competition in the market</w:t>
      </w:r>
      <w:r w:rsidR="00B73E15" w:rsidRPr="007F2191">
        <w:rPr>
          <w:rFonts w:ascii="Arial Narrow" w:hAnsi="Arial Narrow" w:cs="Helvetica"/>
          <w:lang w:val="en-GB"/>
        </w:rPr>
        <w:t xml:space="preserve">. </w:t>
      </w:r>
      <w:r w:rsidRPr="007F2191">
        <w:rPr>
          <w:rFonts w:ascii="Arial Narrow" w:hAnsi="Arial Narrow" w:cs="Helvetica"/>
          <w:lang w:val="en-GB"/>
        </w:rPr>
        <w:t xml:space="preserve">Consequently, the industry must continue to review </w:t>
      </w:r>
      <w:r>
        <w:rPr>
          <w:rFonts w:ascii="Arial Narrow" w:hAnsi="Arial Narrow" w:cs="Helvetica"/>
          <w:lang w:val="en-GB"/>
        </w:rPr>
        <w:t>its</w:t>
      </w:r>
      <w:r w:rsidRPr="007F2191">
        <w:rPr>
          <w:rFonts w:ascii="Arial Narrow" w:hAnsi="Arial Narrow" w:cs="Helvetica"/>
          <w:lang w:val="en-GB"/>
        </w:rPr>
        <w:t xml:space="preserve"> benefit options and consolidate</w:t>
      </w:r>
      <w:r>
        <w:rPr>
          <w:rFonts w:ascii="Arial Narrow" w:hAnsi="Arial Narrow" w:cs="Helvetica"/>
          <w:lang w:val="en-GB"/>
        </w:rPr>
        <w:t xml:space="preserve"> or terminate</w:t>
      </w:r>
      <w:r w:rsidRPr="007F2191">
        <w:rPr>
          <w:rFonts w:ascii="Arial Narrow" w:hAnsi="Arial Narrow" w:cs="Helvetica"/>
          <w:lang w:val="en-GB"/>
        </w:rPr>
        <w:t xml:space="preserve"> those opti</w:t>
      </w:r>
      <w:r w:rsidRPr="001416D0">
        <w:rPr>
          <w:rFonts w:ascii="Arial Narrow" w:hAnsi="Arial Narrow" w:cs="Helvetica"/>
          <w:lang w:val="en-GB"/>
        </w:rPr>
        <w:t>ons that are not sustainable in terms of both members</w:t>
      </w:r>
      <w:r w:rsidRPr="00086A30">
        <w:rPr>
          <w:rFonts w:ascii="Arial Narrow" w:hAnsi="Arial Narrow" w:cs="Helvetica"/>
          <w:lang w:val="en-GB"/>
        </w:rPr>
        <w:t>hip and financial performance.</w:t>
      </w:r>
      <w:r>
        <w:rPr>
          <w:rFonts w:ascii="Arial Narrow" w:hAnsi="Arial Narrow" w:cs="Helvetica"/>
          <w:lang w:val="en-GB"/>
        </w:rPr>
        <w:t xml:space="preserve"> </w:t>
      </w:r>
      <w:r w:rsidRPr="00780DD8">
        <w:rPr>
          <w:rFonts w:ascii="Arial Narrow" w:hAnsi="Arial Narrow" w:cs="Helvetica"/>
          <w:lang w:val="en-GB"/>
        </w:rPr>
        <w:t>The CMS is aware of the severe market disruptions caused by the onset of the COVID-19 pandemic and the need for the industry to innovate and evolve to adjust to the new normal and economic realities.</w:t>
      </w:r>
    </w:p>
    <w:p w14:paraId="2F6E045A" w14:textId="77777777" w:rsidR="005A781E" w:rsidRDefault="005A781E" w:rsidP="005A781E">
      <w:pPr>
        <w:pStyle w:val="ListParagraph"/>
        <w:ind w:left="426"/>
        <w:jc w:val="both"/>
        <w:rPr>
          <w:rFonts w:ascii="Arial Narrow" w:hAnsi="Arial Narrow" w:cs="Helvetica"/>
          <w:lang w:val="en-GB"/>
        </w:rPr>
      </w:pPr>
    </w:p>
    <w:p w14:paraId="2AA9BC99" w14:textId="25A5A48E" w:rsidR="005A781E" w:rsidRDefault="005A781E" w:rsidP="005A781E">
      <w:pPr>
        <w:pStyle w:val="ListParagraph"/>
        <w:ind w:left="426"/>
        <w:jc w:val="both"/>
        <w:rPr>
          <w:rFonts w:ascii="Arial Narrow" w:hAnsi="Arial Narrow" w:cs="Helvetica"/>
          <w:lang w:val="en-GB"/>
        </w:rPr>
      </w:pPr>
      <w:r w:rsidRPr="00780DD8">
        <w:rPr>
          <w:rFonts w:ascii="Arial Narrow" w:hAnsi="Arial Narrow" w:cs="Helvetica"/>
          <w:lang w:val="en-GB"/>
        </w:rPr>
        <w:t xml:space="preserve">As such, the CMS will only consider the application for registration of new </w:t>
      </w:r>
      <w:r>
        <w:rPr>
          <w:rFonts w:ascii="Arial Narrow" w:hAnsi="Arial Narrow" w:cs="Helvetica"/>
          <w:lang w:val="en-GB"/>
        </w:rPr>
        <w:t>benefits</w:t>
      </w:r>
      <w:r w:rsidRPr="00780DD8">
        <w:rPr>
          <w:rFonts w:ascii="Arial Narrow" w:hAnsi="Arial Narrow" w:cs="Helvetica"/>
          <w:lang w:val="en-GB"/>
        </w:rPr>
        <w:t xml:space="preserve"> options under exceptional circumstances. At the core of the medical scheme’s business plan must be the need to improve </w:t>
      </w:r>
      <w:r w:rsidRPr="00780DD8">
        <w:rPr>
          <w:rFonts w:ascii="Arial Narrow" w:eastAsia="Times New Roman" w:hAnsi="Arial Narrow" w:cs="Helvetica"/>
          <w:lang w:val="en-GB"/>
        </w:rPr>
        <w:t>risk pooling, cross-subsidisation, and affordability</w:t>
      </w:r>
      <w:r w:rsidRPr="00780DD8">
        <w:rPr>
          <w:rFonts w:ascii="Arial Narrow" w:hAnsi="Arial Narrow" w:cs="Helvetica"/>
          <w:lang w:val="en-GB"/>
        </w:rPr>
        <w:t xml:space="preserve">, while simultaneously offering members quality healthcare services, including </w:t>
      </w:r>
      <w:r w:rsidR="00201239">
        <w:rPr>
          <w:rFonts w:ascii="Arial Narrow" w:hAnsi="Arial Narrow" w:cs="Helvetica"/>
          <w:lang w:val="en-GB"/>
        </w:rPr>
        <w:t xml:space="preserve">investing in </w:t>
      </w:r>
      <w:r w:rsidR="00C7167B">
        <w:rPr>
          <w:rFonts w:ascii="Arial Narrow" w:hAnsi="Arial Narrow" w:cs="Helvetica"/>
          <w:lang w:val="en-GB"/>
        </w:rPr>
        <w:t>preventative care</w:t>
      </w:r>
      <w:r w:rsidRPr="00780DD8">
        <w:rPr>
          <w:rFonts w:ascii="Arial Narrow" w:hAnsi="Arial Narrow" w:cs="Helvetica"/>
          <w:lang w:val="en-GB"/>
        </w:rPr>
        <w:t xml:space="preserve"> </w:t>
      </w:r>
      <w:r w:rsidR="00C7167B">
        <w:rPr>
          <w:rFonts w:ascii="Arial Narrow" w:hAnsi="Arial Narrow" w:cs="Helvetica"/>
          <w:lang w:val="en-GB"/>
        </w:rPr>
        <w:t xml:space="preserve">initiatives, </w:t>
      </w:r>
      <w:r w:rsidR="00486635">
        <w:rPr>
          <w:rFonts w:ascii="Arial Narrow" w:hAnsi="Arial Narrow" w:cs="Helvetica"/>
          <w:lang w:val="en-GB"/>
        </w:rPr>
        <w:t xml:space="preserve">provider </w:t>
      </w:r>
      <w:r w:rsidR="00C7167B">
        <w:rPr>
          <w:rFonts w:ascii="Arial Narrow" w:hAnsi="Arial Narrow" w:cs="Helvetica"/>
          <w:lang w:val="en-GB"/>
        </w:rPr>
        <w:t xml:space="preserve">networks, and </w:t>
      </w:r>
      <w:r w:rsidRPr="00486635">
        <w:rPr>
          <w:rFonts w:ascii="Arial Narrow" w:hAnsi="Arial Narrow" w:cs="Helvetica"/>
          <w:lang w:val="en-GB"/>
        </w:rPr>
        <w:t>virtual care benefits.</w:t>
      </w:r>
      <w:r w:rsidRPr="00780DD8">
        <w:rPr>
          <w:rFonts w:ascii="Arial Narrow" w:hAnsi="Arial Narrow" w:cs="Helvetica"/>
          <w:lang w:val="en-GB"/>
        </w:rPr>
        <w:t xml:space="preserve"> The delivery model must be premised on the principles of strategic purchasing of healthcare through value-based contracting with cost-efficient providers.</w:t>
      </w:r>
    </w:p>
    <w:p w14:paraId="2E8EA3B3" w14:textId="77777777" w:rsidR="00A46B02" w:rsidRDefault="00A46B02" w:rsidP="005A781E">
      <w:pPr>
        <w:pStyle w:val="ListParagraph"/>
        <w:ind w:left="426"/>
        <w:jc w:val="both"/>
        <w:rPr>
          <w:rFonts w:ascii="Arial Narrow" w:hAnsi="Arial Narrow" w:cs="Helvetica"/>
          <w:lang w:val="en-GB"/>
        </w:rPr>
      </w:pPr>
    </w:p>
    <w:p w14:paraId="58383514" w14:textId="3BDBC986" w:rsidR="00D017F7" w:rsidRPr="00780DD8" w:rsidRDefault="00D017F7" w:rsidP="00D017F7">
      <w:pPr>
        <w:pStyle w:val="ListParagraph"/>
        <w:numPr>
          <w:ilvl w:val="1"/>
          <w:numId w:val="7"/>
        </w:numPr>
        <w:ind w:left="426" w:hanging="426"/>
        <w:jc w:val="both"/>
        <w:rPr>
          <w:rFonts w:ascii="Arial Narrow" w:hAnsi="Arial Narrow"/>
          <w:b/>
          <w:lang w:val="en-GB"/>
        </w:rPr>
      </w:pPr>
      <w:r>
        <w:rPr>
          <w:rFonts w:ascii="Arial Narrow" w:hAnsi="Arial Narrow"/>
          <w:b/>
          <w:lang w:val="en-GB"/>
        </w:rPr>
        <w:t>Independent actuarial review of 2024 pricing models</w:t>
      </w:r>
    </w:p>
    <w:p w14:paraId="7F591F7F" w14:textId="77777777" w:rsidR="00D017F7" w:rsidRPr="00780DD8" w:rsidRDefault="00D017F7" w:rsidP="00D017F7">
      <w:pPr>
        <w:pStyle w:val="ListParagraph"/>
        <w:ind w:left="792"/>
        <w:jc w:val="both"/>
        <w:rPr>
          <w:rFonts w:ascii="Arial Narrow" w:hAnsi="Arial Narrow"/>
          <w:b/>
          <w:lang w:val="en-GB"/>
        </w:rPr>
      </w:pPr>
    </w:p>
    <w:p w14:paraId="191A462C" w14:textId="77777777" w:rsidR="00D017F7" w:rsidRDefault="00D017F7" w:rsidP="00D017F7">
      <w:pPr>
        <w:pStyle w:val="ListParagraph"/>
        <w:ind w:left="426"/>
        <w:jc w:val="both"/>
        <w:rPr>
          <w:rFonts w:ascii="Arial Narrow" w:eastAsia="Times New Roman" w:hAnsi="Arial Narrow" w:cs="Helvetica"/>
          <w:lang w:val="en-GB" w:eastAsia="en-ZA"/>
        </w:rPr>
      </w:pPr>
      <w:r w:rsidRPr="00780DD8">
        <w:rPr>
          <w:rFonts w:ascii="Arial Narrow" w:hAnsi="Arial Narrow" w:cs="Helvetica"/>
          <w:lang w:val="en-GB" w:eastAsia="en-ZA"/>
        </w:rPr>
        <w:t xml:space="preserve">A detailed motivation for the required changes to benefits and contributions must accompany </w:t>
      </w:r>
      <w:r w:rsidRPr="00780DD8">
        <w:rPr>
          <w:rFonts w:ascii="Arial Narrow" w:hAnsi="Arial Narrow" w:cs="Helvetica"/>
          <w:b/>
          <w:u w:val="single"/>
          <w:lang w:val="en-GB" w:eastAsia="en-ZA"/>
        </w:rPr>
        <w:t>all</w:t>
      </w:r>
      <w:r w:rsidRPr="00780DD8">
        <w:rPr>
          <w:rFonts w:ascii="Arial Narrow" w:hAnsi="Arial Narrow" w:cs="Helvetica"/>
          <w:b/>
          <w:lang w:val="en-GB" w:eastAsia="en-ZA"/>
        </w:rPr>
        <w:t xml:space="preserve"> </w:t>
      </w:r>
      <w:r w:rsidRPr="00780DD8">
        <w:rPr>
          <w:rFonts w:ascii="Arial Narrow" w:hAnsi="Arial Narrow" w:cs="Helvetica"/>
          <w:lang w:val="en-GB" w:eastAsia="en-ZA"/>
        </w:rPr>
        <w:t xml:space="preserve">submissions. The guidance provided above regarding the limit on the cost increase assumptions should be taken into consideration when determining the adequacy of contribution increases. </w:t>
      </w:r>
      <w:r w:rsidRPr="00780DD8">
        <w:rPr>
          <w:rFonts w:ascii="Arial Narrow" w:eastAsia="Times New Roman" w:hAnsi="Arial Narrow" w:cs="Helvetica"/>
          <w:lang w:val="en-GB" w:eastAsia="en-ZA"/>
        </w:rPr>
        <w:t xml:space="preserve">As indicated in </w:t>
      </w:r>
      <w:hyperlink r:id="rId23" w:history="1">
        <w:r w:rsidRPr="00780DD8">
          <w:rPr>
            <w:rFonts w:ascii="Arial Narrow" w:eastAsia="Times New Roman" w:hAnsi="Arial Narrow" w:cs="Helvetica"/>
            <w:color w:val="0000FF"/>
            <w:u w:val="single"/>
            <w:lang w:val="en-GB" w:eastAsia="en-ZA"/>
          </w:rPr>
          <w:t>Circular 29 of 2012</w:t>
        </w:r>
      </w:hyperlink>
      <w:r w:rsidRPr="00780DD8">
        <w:rPr>
          <w:rFonts w:ascii="Arial Narrow" w:eastAsia="Times New Roman" w:hAnsi="Arial Narrow" w:cs="Helvetica"/>
          <w:lang w:val="en-GB" w:eastAsia="en-ZA"/>
        </w:rPr>
        <w:t xml:space="preserve">, a report that is sent together with the proposed amendments must take into account the requirements of the Advisory Practice Note (APN303) published by the Actuarial Society of South Africa (ASSA) called: </w:t>
      </w:r>
      <w:hyperlink r:id="rId24" w:history="1">
        <w:r w:rsidRPr="00780DD8">
          <w:rPr>
            <w:rStyle w:val="Hyperlink"/>
            <w:rFonts w:ascii="Arial Narrow" w:eastAsia="Times New Roman" w:hAnsi="Arial Narrow" w:cs="Helvetica"/>
            <w:lang w:val="en-GB" w:eastAsia="en-ZA"/>
          </w:rPr>
          <w:t>“</w:t>
        </w:r>
        <w:r w:rsidRPr="00780DD8">
          <w:rPr>
            <w:rStyle w:val="Hyperlink"/>
            <w:rFonts w:ascii="Arial Narrow" w:hAnsi="Arial Narrow"/>
          </w:rPr>
          <w:t>Advice to South African Medical Schemes on Adequacy of Contributions.”</w:t>
        </w:r>
      </w:hyperlink>
      <w:r w:rsidRPr="000B33AB">
        <w:rPr>
          <w:rFonts w:ascii="Arial Narrow" w:eastAsia="Times New Roman" w:hAnsi="Arial Narrow" w:cs="Helvetica"/>
          <w:lang w:val="en-GB" w:eastAsia="en-ZA"/>
        </w:rPr>
        <w:t xml:space="preserve"> </w:t>
      </w:r>
    </w:p>
    <w:p w14:paraId="2002C35A" w14:textId="77777777" w:rsidR="00D017F7" w:rsidRDefault="00D017F7" w:rsidP="00D017F7">
      <w:pPr>
        <w:pStyle w:val="ListParagraph"/>
        <w:ind w:left="426"/>
        <w:jc w:val="both"/>
        <w:rPr>
          <w:rFonts w:ascii="Arial Narrow" w:eastAsia="Times New Roman" w:hAnsi="Arial Narrow" w:cs="Helvetica"/>
          <w:lang w:val="en-GB" w:eastAsia="en-ZA"/>
        </w:rPr>
      </w:pPr>
    </w:p>
    <w:p w14:paraId="250D2478" w14:textId="77777777" w:rsidR="00D017F7" w:rsidRPr="000B33AB" w:rsidRDefault="00D017F7" w:rsidP="00D017F7">
      <w:pPr>
        <w:pStyle w:val="ListParagraph"/>
        <w:ind w:left="426"/>
        <w:jc w:val="both"/>
        <w:rPr>
          <w:rFonts w:ascii="Arial Narrow" w:eastAsia="Times New Roman" w:hAnsi="Arial Narrow" w:cs="Helvetica"/>
          <w:lang w:val="en-GB" w:eastAsia="en-ZA"/>
        </w:rPr>
      </w:pPr>
      <w:r w:rsidRPr="000B33AB">
        <w:rPr>
          <w:rFonts w:ascii="Arial Narrow" w:eastAsia="Times New Roman" w:hAnsi="Arial Narrow" w:cs="Helvetica"/>
          <w:lang w:val="en-GB" w:eastAsia="en-ZA"/>
        </w:rPr>
        <w:t>The report must be prepared by a person with the appropriate actuarial and/or statistical skills, and should include the following detailed information:</w:t>
      </w:r>
    </w:p>
    <w:p w14:paraId="043CE218" w14:textId="77777777" w:rsidR="00D017F7" w:rsidRPr="00780DD8" w:rsidRDefault="00D017F7" w:rsidP="00D017F7">
      <w:pPr>
        <w:pStyle w:val="ListParagraph"/>
        <w:ind w:left="792"/>
        <w:jc w:val="both"/>
        <w:rPr>
          <w:rFonts w:ascii="Arial Narrow" w:eastAsia="Times New Roman" w:hAnsi="Arial Narrow" w:cs="Helvetica"/>
          <w:lang w:val="en-GB" w:eastAsia="en-ZA"/>
        </w:rPr>
      </w:pPr>
    </w:p>
    <w:p w14:paraId="2EBA65AC" w14:textId="77777777" w:rsidR="00D017F7" w:rsidRPr="00780DD8" w:rsidRDefault="00D017F7" w:rsidP="00D017F7">
      <w:pPr>
        <w:pStyle w:val="ListParagraph"/>
        <w:numPr>
          <w:ilvl w:val="0"/>
          <w:numId w:val="8"/>
        </w:numPr>
        <w:jc w:val="both"/>
        <w:rPr>
          <w:rFonts w:ascii="Arial Narrow" w:eastAsia="Times New Roman" w:hAnsi="Arial Narrow" w:cs="Helvetica"/>
          <w:lang w:val="en-GB" w:eastAsia="en-ZA"/>
        </w:rPr>
      </w:pPr>
      <w:r w:rsidRPr="00780DD8">
        <w:rPr>
          <w:rFonts w:ascii="Arial Narrow" w:eastAsia="Times New Roman" w:hAnsi="Arial Narrow" w:cs="Helvetica"/>
          <w:lang w:val="en-GB" w:eastAsia="en-ZA"/>
        </w:rPr>
        <w:t>benefit changes</w:t>
      </w:r>
    </w:p>
    <w:p w14:paraId="3FDB3EBE" w14:textId="77777777" w:rsidR="00D017F7" w:rsidRPr="00780DD8" w:rsidRDefault="00D017F7" w:rsidP="00D017F7">
      <w:pPr>
        <w:pStyle w:val="ListParagraph"/>
        <w:numPr>
          <w:ilvl w:val="0"/>
          <w:numId w:val="8"/>
        </w:numPr>
        <w:jc w:val="both"/>
        <w:rPr>
          <w:rFonts w:ascii="Arial Narrow" w:eastAsia="Times New Roman" w:hAnsi="Arial Narrow" w:cs="Helvetica"/>
          <w:lang w:val="en-GB" w:eastAsia="en-ZA"/>
        </w:rPr>
      </w:pPr>
      <w:r w:rsidRPr="00780DD8">
        <w:rPr>
          <w:rFonts w:ascii="Arial Narrow" w:eastAsia="Times New Roman" w:hAnsi="Arial Narrow" w:cs="Helvetica"/>
          <w:lang w:val="en-GB" w:eastAsia="en-ZA"/>
        </w:rPr>
        <w:t>contribution increases</w:t>
      </w:r>
    </w:p>
    <w:p w14:paraId="5902CEE5" w14:textId="77777777" w:rsidR="00D017F7" w:rsidRPr="00780DD8" w:rsidRDefault="00D017F7" w:rsidP="00D017F7">
      <w:pPr>
        <w:pStyle w:val="ListParagraph"/>
        <w:numPr>
          <w:ilvl w:val="0"/>
          <w:numId w:val="8"/>
        </w:numPr>
        <w:jc w:val="both"/>
        <w:rPr>
          <w:rFonts w:ascii="Arial Narrow" w:eastAsia="Times New Roman" w:hAnsi="Arial Narrow" w:cs="Helvetica"/>
          <w:lang w:val="en-GB" w:eastAsia="en-ZA"/>
        </w:rPr>
      </w:pPr>
      <w:r w:rsidRPr="00780DD8">
        <w:rPr>
          <w:rFonts w:ascii="Arial Narrow" w:eastAsia="Times New Roman" w:hAnsi="Arial Narrow" w:cs="Helvetica"/>
          <w:lang w:val="en-GB" w:eastAsia="en-ZA"/>
        </w:rPr>
        <w:t>non-healthcare expense</w:t>
      </w:r>
    </w:p>
    <w:p w14:paraId="5BC81928" w14:textId="77777777" w:rsidR="00D017F7" w:rsidRPr="00780DD8" w:rsidRDefault="00D017F7" w:rsidP="00D017F7">
      <w:pPr>
        <w:pStyle w:val="ListParagraph"/>
        <w:numPr>
          <w:ilvl w:val="0"/>
          <w:numId w:val="8"/>
        </w:numPr>
        <w:jc w:val="both"/>
        <w:rPr>
          <w:rFonts w:ascii="Arial Narrow" w:eastAsia="Times New Roman" w:hAnsi="Arial Narrow" w:cs="Helvetica"/>
          <w:lang w:val="en-GB" w:eastAsia="en-ZA"/>
        </w:rPr>
      </w:pPr>
      <w:r w:rsidRPr="00780DD8">
        <w:rPr>
          <w:rFonts w:ascii="Arial Narrow" w:eastAsia="Times New Roman" w:hAnsi="Arial Narrow" w:cs="Helvetica"/>
          <w:lang w:val="en-GB" w:eastAsia="en-ZA"/>
        </w:rPr>
        <w:t>assumptions</w:t>
      </w:r>
    </w:p>
    <w:p w14:paraId="2679F7F0" w14:textId="77777777" w:rsidR="00D017F7" w:rsidRPr="00441B7B" w:rsidRDefault="00D017F7" w:rsidP="00D017F7">
      <w:pPr>
        <w:pStyle w:val="ListParagraph"/>
        <w:numPr>
          <w:ilvl w:val="0"/>
          <w:numId w:val="8"/>
        </w:numPr>
        <w:jc w:val="both"/>
        <w:rPr>
          <w:rFonts w:ascii="Arial Narrow" w:hAnsi="Arial Narrow"/>
          <w:b/>
          <w:lang w:val="en-GB"/>
        </w:rPr>
      </w:pPr>
      <w:r w:rsidRPr="00780DD8">
        <w:rPr>
          <w:rFonts w:ascii="Arial Narrow" w:eastAsia="Times New Roman" w:hAnsi="Arial Narrow" w:cs="Helvetica"/>
          <w:lang w:val="en-GB" w:eastAsia="en-ZA"/>
        </w:rPr>
        <w:t>financial projections</w:t>
      </w:r>
    </w:p>
    <w:p w14:paraId="3498A5F6" w14:textId="77777777" w:rsidR="00D017F7" w:rsidRDefault="00D017F7" w:rsidP="00ED25AD">
      <w:pPr>
        <w:pStyle w:val="ListParagraph"/>
        <w:keepNext/>
        <w:ind w:left="792"/>
        <w:jc w:val="both"/>
        <w:rPr>
          <w:rFonts w:ascii="Arial Narrow" w:hAnsi="Arial Narrow"/>
          <w:b/>
          <w:lang w:val="en-GB"/>
        </w:rPr>
      </w:pPr>
    </w:p>
    <w:p w14:paraId="7F94C838" w14:textId="2E1D497A" w:rsidR="00D331C1" w:rsidRPr="00780DD8" w:rsidRDefault="00D331C1" w:rsidP="002937B5">
      <w:pPr>
        <w:pStyle w:val="ListParagraph"/>
        <w:keepNext/>
        <w:numPr>
          <w:ilvl w:val="1"/>
          <w:numId w:val="7"/>
        </w:numPr>
        <w:jc w:val="both"/>
        <w:rPr>
          <w:rFonts w:ascii="Arial Narrow" w:hAnsi="Arial Narrow"/>
          <w:b/>
          <w:lang w:val="en-GB"/>
        </w:rPr>
      </w:pPr>
      <w:r w:rsidRPr="00780DD8">
        <w:rPr>
          <w:rFonts w:ascii="Arial Narrow" w:hAnsi="Arial Narrow" w:cs="Helvetica"/>
          <w:b/>
          <w:lang w:val="en-GB"/>
        </w:rPr>
        <w:t xml:space="preserve">Conflict of interest </w:t>
      </w:r>
    </w:p>
    <w:p w14:paraId="0E2B6A28" w14:textId="77777777" w:rsidR="00D331C1" w:rsidRPr="00780DD8" w:rsidRDefault="00D331C1" w:rsidP="00D331C1">
      <w:pPr>
        <w:pStyle w:val="ListParagraph"/>
        <w:ind w:left="426"/>
        <w:jc w:val="both"/>
        <w:rPr>
          <w:rFonts w:ascii="Arial Narrow" w:hAnsi="Arial Narrow" w:cs="Helvetica"/>
          <w:bCs/>
          <w:lang w:val="en-GB"/>
        </w:rPr>
      </w:pPr>
    </w:p>
    <w:p w14:paraId="578087E7" w14:textId="68F7D571" w:rsidR="00D331C1" w:rsidRDefault="00D331C1" w:rsidP="00D331C1">
      <w:pPr>
        <w:pStyle w:val="ListParagraph"/>
        <w:ind w:left="426"/>
        <w:jc w:val="both"/>
        <w:rPr>
          <w:rFonts w:ascii="Arial Narrow" w:hAnsi="Arial Narrow"/>
          <w:b/>
          <w:lang w:val="en-GB"/>
        </w:rPr>
      </w:pPr>
      <w:r w:rsidRPr="00780DD8">
        <w:rPr>
          <w:rFonts w:ascii="Arial Narrow" w:hAnsi="Arial Narrow" w:cs="Helvetica"/>
          <w:bCs/>
          <w:lang w:val="en-GB"/>
        </w:rPr>
        <w:t xml:space="preserve">BoTs and Principal Officers are expected to promote the interests of members during the determination </w:t>
      </w:r>
      <w:r w:rsidR="00200CDB">
        <w:rPr>
          <w:rFonts w:ascii="Arial Narrow" w:hAnsi="Arial Narrow" w:cs="Helvetica"/>
          <w:bCs/>
          <w:lang w:val="en-GB"/>
        </w:rPr>
        <w:t>of</w:t>
      </w:r>
      <w:r w:rsidRPr="00780DD8">
        <w:rPr>
          <w:rFonts w:ascii="Arial Narrow" w:hAnsi="Arial Narrow" w:cs="Helvetica"/>
          <w:bCs/>
          <w:lang w:val="en-GB"/>
        </w:rPr>
        <w:t xml:space="preserve"> contribution increases for 202</w:t>
      </w:r>
      <w:r>
        <w:rPr>
          <w:rFonts w:ascii="Arial Narrow" w:hAnsi="Arial Narrow" w:cs="Helvetica"/>
          <w:bCs/>
          <w:lang w:val="en-GB"/>
        </w:rPr>
        <w:t>4</w:t>
      </w:r>
      <w:r w:rsidRPr="00780DD8">
        <w:rPr>
          <w:rFonts w:ascii="Arial Narrow" w:hAnsi="Arial Narrow" w:cs="Helvetica"/>
          <w:bCs/>
          <w:lang w:val="en-GB"/>
        </w:rPr>
        <w:t xml:space="preserve">. The </w:t>
      </w:r>
      <w:r w:rsidR="009265A9">
        <w:rPr>
          <w:rFonts w:ascii="Arial Narrow" w:hAnsi="Arial Narrow" w:cs="Helvetica"/>
          <w:bCs/>
          <w:lang w:val="en-GB"/>
        </w:rPr>
        <w:t>BoT</w:t>
      </w:r>
      <w:r>
        <w:rPr>
          <w:rFonts w:ascii="Arial Narrow" w:hAnsi="Arial Narrow" w:cs="Helvetica"/>
          <w:bCs/>
          <w:lang w:val="en-GB"/>
        </w:rPr>
        <w:t>s</w:t>
      </w:r>
      <w:r w:rsidRPr="00780DD8">
        <w:rPr>
          <w:rFonts w:ascii="Arial Narrow" w:hAnsi="Arial Narrow" w:cs="Helvetica"/>
          <w:bCs/>
          <w:lang w:val="en-GB"/>
        </w:rPr>
        <w:t xml:space="preserve"> should always ensure that their fiduciary duties are intact, and not convoluted by a conflict of interests. This expectation is consistent with the Medical Schemes Act and HMI findings which expects that </w:t>
      </w:r>
      <w:r w:rsidR="009265A9">
        <w:rPr>
          <w:rFonts w:ascii="Arial Narrow" w:hAnsi="Arial Narrow" w:cs="Helvetica"/>
          <w:bCs/>
          <w:lang w:val="en-GB"/>
        </w:rPr>
        <w:t>BoTs</w:t>
      </w:r>
      <w:r w:rsidRPr="00780DD8">
        <w:rPr>
          <w:rFonts w:ascii="Arial Narrow" w:hAnsi="Arial Narrow" w:cs="Helvetica"/>
          <w:bCs/>
          <w:lang w:val="en-GB"/>
        </w:rPr>
        <w:t xml:space="preserve"> shall take reasonable steps to ensure that the interest of beneficiaries are always protected. </w:t>
      </w:r>
    </w:p>
    <w:p w14:paraId="710FA0B2" w14:textId="77777777" w:rsidR="00D331C1" w:rsidRDefault="00D331C1" w:rsidP="00D331C1">
      <w:pPr>
        <w:pStyle w:val="ListParagraph"/>
        <w:ind w:left="792"/>
        <w:jc w:val="both"/>
        <w:rPr>
          <w:rFonts w:ascii="Arial Narrow" w:hAnsi="Arial Narrow"/>
          <w:b/>
          <w:lang w:val="en-GB"/>
        </w:rPr>
      </w:pPr>
    </w:p>
    <w:p w14:paraId="67986044" w14:textId="77777777" w:rsidR="003005FC" w:rsidRDefault="003005FC" w:rsidP="00D331C1">
      <w:pPr>
        <w:pStyle w:val="ListParagraph"/>
        <w:ind w:left="792"/>
        <w:jc w:val="both"/>
        <w:rPr>
          <w:rFonts w:ascii="Arial Narrow" w:hAnsi="Arial Narrow"/>
          <w:b/>
          <w:lang w:val="en-GB"/>
        </w:rPr>
      </w:pPr>
    </w:p>
    <w:p w14:paraId="566DE66A" w14:textId="77777777" w:rsidR="003005FC" w:rsidRDefault="003005FC" w:rsidP="00D331C1">
      <w:pPr>
        <w:pStyle w:val="ListParagraph"/>
        <w:ind w:left="792"/>
        <w:jc w:val="both"/>
        <w:rPr>
          <w:rFonts w:ascii="Arial Narrow" w:hAnsi="Arial Narrow"/>
          <w:b/>
          <w:lang w:val="en-GB"/>
        </w:rPr>
      </w:pPr>
    </w:p>
    <w:p w14:paraId="51422D3C" w14:textId="77777777" w:rsidR="003005FC" w:rsidRDefault="003005FC" w:rsidP="00D331C1">
      <w:pPr>
        <w:pStyle w:val="ListParagraph"/>
        <w:ind w:left="792"/>
        <w:jc w:val="both"/>
        <w:rPr>
          <w:rFonts w:ascii="Arial Narrow" w:hAnsi="Arial Narrow"/>
          <w:b/>
          <w:lang w:val="en-GB"/>
        </w:rPr>
      </w:pPr>
    </w:p>
    <w:p w14:paraId="5A846E34" w14:textId="7276BF04" w:rsidR="00D017F7" w:rsidRDefault="00D017F7" w:rsidP="00D017F7">
      <w:pPr>
        <w:pStyle w:val="ListParagraph"/>
        <w:numPr>
          <w:ilvl w:val="1"/>
          <w:numId w:val="7"/>
        </w:numPr>
        <w:jc w:val="both"/>
        <w:rPr>
          <w:rFonts w:ascii="Arial Narrow" w:hAnsi="Arial Narrow"/>
          <w:b/>
          <w:lang w:val="en-GB"/>
        </w:rPr>
      </w:pPr>
      <w:r w:rsidRPr="00D017F7">
        <w:rPr>
          <w:rFonts w:ascii="Arial Narrow" w:hAnsi="Arial Narrow"/>
          <w:b/>
          <w:lang w:val="en-GB"/>
        </w:rPr>
        <w:t xml:space="preserve">Deadline for submission </w:t>
      </w:r>
    </w:p>
    <w:p w14:paraId="67CD410D" w14:textId="77777777" w:rsidR="00CB523B" w:rsidRDefault="00CB523B" w:rsidP="00FB76B9">
      <w:pPr>
        <w:pStyle w:val="ListParagraph"/>
        <w:ind w:left="360"/>
        <w:jc w:val="both"/>
        <w:rPr>
          <w:rFonts w:ascii="Arial Narrow" w:hAnsi="Arial Narrow"/>
          <w:b/>
          <w:lang w:val="en-GB"/>
        </w:rPr>
      </w:pPr>
    </w:p>
    <w:p w14:paraId="43F10EDD" w14:textId="623CEBDD" w:rsidR="00893F42" w:rsidRDefault="00893F42" w:rsidP="00FB76B9">
      <w:pPr>
        <w:pStyle w:val="ListParagraph"/>
        <w:ind w:left="360"/>
        <w:jc w:val="both"/>
        <w:rPr>
          <w:rFonts w:ascii="Arial Narrow" w:hAnsi="Arial Narrow" w:cs="Helvetica"/>
          <w:lang w:val="en-GB" w:eastAsia="en-ZA"/>
        </w:rPr>
      </w:pPr>
      <w:r w:rsidRPr="00FB76B9">
        <w:rPr>
          <w:rFonts w:ascii="Arial Narrow" w:hAnsi="Arial Narrow" w:cs="Helvetica"/>
          <w:lang w:val="en-GB"/>
        </w:rPr>
        <w:t xml:space="preserve">The deadline for medical schemes to submit applications for new benefit options and EDOs </w:t>
      </w:r>
      <w:r w:rsidR="005F218E" w:rsidRPr="00FB76B9">
        <w:rPr>
          <w:rFonts w:ascii="Arial Narrow" w:hAnsi="Arial Narrow" w:cs="Helvetica"/>
          <w:lang w:val="en-GB"/>
        </w:rPr>
        <w:t>proposed to</w:t>
      </w:r>
      <w:r w:rsidR="005F218E">
        <w:rPr>
          <w:rFonts w:ascii="Arial Narrow" w:hAnsi="Arial Narrow" w:cs="Helvetica"/>
          <w:lang w:val="en-GB" w:eastAsia="en-ZA"/>
        </w:rPr>
        <w:t xml:space="preserve"> be implemented f</w:t>
      </w:r>
      <w:r w:rsidRPr="00086A30">
        <w:rPr>
          <w:rFonts w:ascii="Arial Narrow" w:hAnsi="Arial Narrow" w:cs="Helvetica"/>
          <w:lang w:val="en-GB" w:eastAsia="en-ZA"/>
        </w:rPr>
        <w:t>rom 1 January 202</w:t>
      </w:r>
      <w:r w:rsidR="004A6A29">
        <w:rPr>
          <w:rFonts w:ascii="Arial Narrow" w:hAnsi="Arial Narrow" w:cs="Helvetica"/>
          <w:lang w:val="en-GB" w:eastAsia="en-ZA"/>
        </w:rPr>
        <w:t>4</w:t>
      </w:r>
      <w:r w:rsidRPr="00086A30">
        <w:rPr>
          <w:rFonts w:ascii="Arial Narrow" w:hAnsi="Arial Narrow" w:cs="Helvetica"/>
          <w:lang w:val="en-GB" w:eastAsia="en-ZA"/>
        </w:rPr>
        <w:t xml:space="preserve"> is </w:t>
      </w:r>
      <w:r w:rsidRPr="00086A30">
        <w:rPr>
          <w:rFonts w:ascii="Arial Narrow" w:hAnsi="Arial Narrow" w:cs="Helvetica"/>
          <w:b/>
          <w:u w:val="single"/>
          <w:lang w:val="en-GB" w:eastAsia="en-ZA"/>
        </w:rPr>
        <w:t>1 September 202</w:t>
      </w:r>
      <w:r w:rsidR="004A6A29">
        <w:rPr>
          <w:rFonts w:ascii="Arial Narrow" w:hAnsi="Arial Narrow" w:cs="Helvetica"/>
          <w:b/>
          <w:u w:val="single"/>
          <w:lang w:val="en-GB" w:eastAsia="en-ZA"/>
        </w:rPr>
        <w:t>3</w:t>
      </w:r>
      <w:r w:rsidRPr="00086A30">
        <w:rPr>
          <w:rFonts w:ascii="Arial Narrow" w:hAnsi="Arial Narrow" w:cs="Helvetica"/>
          <w:b/>
          <w:lang w:val="en-GB" w:eastAsia="en-ZA"/>
        </w:rPr>
        <w:t xml:space="preserve"> </w:t>
      </w:r>
      <w:r>
        <w:rPr>
          <w:rFonts w:ascii="Arial Narrow" w:hAnsi="Arial Narrow" w:cs="Helvetica"/>
          <w:lang w:val="en-GB" w:eastAsia="en-ZA"/>
        </w:rPr>
        <w:t>and</w:t>
      </w:r>
      <w:r w:rsidRPr="00086A30">
        <w:rPr>
          <w:rFonts w:ascii="Arial Narrow" w:hAnsi="Arial Narrow" w:cs="Helvetica"/>
          <w:lang w:val="en-GB" w:eastAsia="en-ZA"/>
        </w:rPr>
        <w:t xml:space="preserve"> </w:t>
      </w:r>
      <w:r w:rsidRPr="00086A30">
        <w:rPr>
          <w:rFonts w:ascii="Arial Narrow" w:hAnsi="Arial Narrow" w:cs="Helvetica"/>
          <w:b/>
          <w:u w:val="single"/>
          <w:lang w:val="en-GB" w:eastAsia="en-ZA"/>
        </w:rPr>
        <w:t>1 October 202</w:t>
      </w:r>
      <w:r w:rsidR="004A6A29">
        <w:rPr>
          <w:rFonts w:ascii="Arial Narrow" w:hAnsi="Arial Narrow" w:cs="Helvetica"/>
          <w:b/>
          <w:u w:val="single"/>
          <w:lang w:val="en-GB" w:eastAsia="en-ZA"/>
        </w:rPr>
        <w:t>3</w:t>
      </w:r>
      <w:r w:rsidRPr="00086A30">
        <w:rPr>
          <w:rFonts w:ascii="Arial Narrow" w:hAnsi="Arial Narrow" w:cs="Helvetica"/>
          <w:lang w:val="en-GB" w:eastAsia="en-ZA"/>
        </w:rPr>
        <w:t xml:space="preserve"> for contribution and benefit changes.</w:t>
      </w:r>
      <w:r w:rsidRPr="00A15055">
        <w:rPr>
          <w:rFonts w:ascii="Arial Narrow" w:eastAsia="Times New Roman" w:hAnsi="Arial Narrow" w:cs="Helvetica"/>
          <w:lang w:val="en-GB" w:eastAsia="en-ZA"/>
        </w:rPr>
        <w:t xml:space="preserve"> Medical schemes that may require additional time to finalise their 202</w:t>
      </w:r>
      <w:r w:rsidR="006A474F">
        <w:rPr>
          <w:rFonts w:ascii="Arial Narrow" w:eastAsia="Times New Roman" w:hAnsi="Arial Narrow" w:cs="Helvetica"/>
          <w:lang w:val="en-GB" w:eastAsia="en-ZA"/>
        </w:rPr>
        <w:t>4</w:t>
      </w:r>
      <w:r w:rsidRPr="00A15055">
        <w:rPr>
          <w:rFonts w:ascii="Arial Narrow" w:eastAsia="Times New Roman" w:hAnsi="Arial Narrow" w:cs="Helvetica"/>
          <w:lang w:val="en-GB" w:eastAsia="en-ZA"/>
        </w:rPr>
        <w:t xml:space="preserve"> pricing decision must submit a request for an extension to the Registrar citing their unique individual circumstances. </w:t>
      </w:r>
      <w:r w:rsidRPr="00A15055">
        <w:rPr>
          <w:rFonts w:ascii="Arial Narrow" w:hAnsi="Arial Narrow" w:cs="Helvetica"/>
          <w:lang w:val="en-GB" w:eastAsia="en-ZA"/>
        </w:rPr>
        <w:t>Nonetheless, the CMS still welcomes early submissions.</w:t>
      </w:r>
    </w:p>
    <w:p w14:paraId="11D419D1" w14:textId="3EB41C44" w:rsidR="00893F42" w:rsidRPr="00086A30" w:rsidRDefault="00893F42" w:rsidP="00893F42">
      <w:pPr>
        <w:jc w:val="both"/>
        <w:rPr>
          <w:rFonts w:ascii="Arial Narrow" w:eastAsia="Times New Roman" w:hAnsi="Arial Narrow"/>
          <w:lang w:val="en-GB" w:eastAsia="en-ZA"/>
        </w:rPr>
      </w:pPr>
      <w:r w:rsidRPr="00086A30">
        <w:rPr>
          <w:rFonts w:ascii="Arial Narrow" w:eastAsia="Times New Roman" w:hAnsi="Arial Narrow"/>
          <w:lang w:val="en-GB" w:eastAsia="en-ZA"/>
        </w:rPr>
        <w:t>Queries may be directed to the Benefits Management Analyst responsible for your scheme at the CMS.</w:t>
      </w:r>
    </w:p>
    <w:p w14:paraId="10EF1F20" w14:textId="77777777" w:rsidR="00893F42" w:rsidRPr="00086A30" w:rsidRDefault="00893F42" w:rsidP="00893F42">
      <w:pPr>
        <w:jc w:val="both"/>
        <w:rPr>
          <w:rFonts w:ascii="Arial Narrow" w:eastAsia="Times New Roman" w:hAnsi="Arial Narrow"/>
          <w:lang w:val="en-GB" w:eastAsia="en-ZA"/>
        </w:rPr>
      </w:pPr>
      <w:r w:rsidRPr="00086A30">
        <w:rPr>
          <w:rFonts w:ascii="Arial Narrow" w:eastAsia="Times New Roman" w:hAnsi="Arial Narrow"/>
          <w:lang w:val="en-GB" w:eastAsia="en-ZA"/>
        </w:rPr>
        <w:t>The CMS looks forward to your cooperation.</w:t>
      </w:r>
    </w:p>
    <w:p w14:paraId="4089CAF1" w14:textId="77777777" w:rsidR="00893F42" w:rsidRPr="00086A30" w:rsidRDefault="00893F42" w:rsidP="00893F42">
      <w:pPr>
        <w:jc w:val="both"/>
        <w:rPr>
          <w:rFonts w:ascii="Arial Narrow" w:eastAsia="Times New Roman" w:hAnsi="Arial Narrow"/>
          <w:lang w:val="en-GB" w:eastAsia="en-ZA"/>
        </w:rPr>
      </w:pPr>
      <w:r w:rsidRPr="00086A30">
        <w:rPr>
          <w:rFonts w:ascii="Arial Narrow" w:eastAsia="Times New Roman" w:hAnsi="Arial Narrow"/>
          <w:lang w:val="en-GB" w:eastAsia="en-ZA"/>
        </w:rPr>
        <w:t>Yours sincerely,</w:t>
      </w:r>
    </w:p>
    <w:p w14:paraId="013B61DC" w14:textId="77777777" w:rsidR="00893F42" w:rsidRPr="00086A30" w:rsidRDefault="00893F42" w:rsidP="00893F42">
      <w:pPr>
        <w:jc w:val="both"/>
        <w:rPr>
          <w:rFonts w:ascii="Arial Narrow" w:eastAsia="Times New Roman" w:hAnsi="Arial Narrow"/>
          <w:lang w:val="en-GB" w:eastAsia="en-ZA"/>
        </w:rPr>
      </w:pPr>
    </w:p>
    <w:p w14:paraId="5E25F462" w14:textId="77777777" w:rsidR="00893F42" w:rsidRPr="00086A30" w:rsidRDefault="00893F42" w:rsidP="00893F42">
      <w:pPr>
        <w:jc w:val="both"/>
        <w:rPr>
          <w:rFonts w:ascii="Arial Narrow" w:eastAsia="Times New Roman" w:hAnsi="Arial Narrow"/>
          <w:lang w:val="en-GB" w:eastAsia="en-ZA"/>
        </w:rPr>
      </w:pPr>
    </w:p>
    <w:p w14:paraId="711D4E08" w14:textId="77777777" w:rsidR="00893F42" w:rsidRPr="00086A30" w:rsidRDefault="00893F42" w:rsidP="00893F42">
      <w:pPr>
        <w:spacing w:after="0"/>
        <w:jc w:val="both"/>
        <w:rPr>
          <w:rFonts w:ascii="Arial Narrow" w:eastAsia="Times New Roman" w:hAnsi="Arial Narrow"/>
          <w:lang w:val="en-GB" w:eastAsia="en-ZA"/>
        </w:rPr>
      </w:pPr>
      <w:r w:rsidRPr="00086A30">
        <w:rPr>
          <w:rFonts w:ascii="Arial Narrow" w:eastAsia="Times New Roman" w:hAnsi="Arial Narrow"/>
          <w:lang w:val="en-GB" w:eastAsia="en-ZA"/>
        </w:rPr>
        <w:t>___________________________</w:t>
      </w:r>
    </w:p>
    <w:p w14:paraId="0C478CEF" w14:textId="77777777" w:rsidR="00893F42" w:rsidRPr="00086A30" w:rsidRDefault="00893F42" w:rsidP="00893F42">
      <w:pPr>
        <w:spacing w:after="0"/>
        <w:contextualSpacing/>
        <w:jc w:val="both"/>
        <w:rPr>
          <w:rFonts w:ascii="Arial Narrow" w:eastAsia="Times New Roman" w:hAnsi="Arial Narrow"/>
          <w:b/>
          <w:lang w:val="en-GB"/>
        </w:rPr>
      </w:pPr>
      <w:r>
        <w:rPr>
          <w:rFonts w:ascii="Arial Narrow" w:eastAsia="Times New Roman" w:hAnsi="Arial Narrow"/>
          <w:b/>
          <w:lang w:val="en-GB"/>
        </w:rPr>
        <w:t>Mr Mfana Maswanganyi</w:t>
      </w:r>
    </w:p>
    <w:p w14:paraId="2FF66266" w14:textId="77777777" w:rsidR="00893F42" w:rsidRPr="00086A30" w:rsidRDefault="00893F42" w:rsidP="00893F42">
      <w:pPr>
        <w:spacing w:after="0"/>
        <w:contextualSpacing/>
        <w:jc w:val="both"/>
        <w:rPr>
          <w:rFonts w:ascii="Arial Narrow" w:eastAsia="Times New Roman" w:hAnsi="Arial Narrow"/>
          <w:b/>
          <w:bCs/>
          <w:color w:val="000000"/>
          <w:lang w:val="en-GB"/>
        </w:rPr>
      </w:pPr>
      <w:r>
        <w:rPr>
          <w:rFonts w:ascii="Arial Narrow" w:eastAsia="Times New Roman" w:hAnsi="Arial Narrow"/>
          <w:b/>
          <w:bCs/>
          <w:color w:val="000000"/>
          <w:lang w:val="en-GB"/>
        </w:rPr>
        <w:t>Executive: Regulation</w:t>
      </w:r>
    </w:p>
    <w:p w14:paraId="1A29B807" w14:textId="77777777" w:rsidR="00893F42" w:rsidRPr="00086A30" w:rsidRDefault="00893F42" w:rsidP="00893F42">
      <w:pPr>
        <w:spacing w:after="0"/>
        <w:contextualSpacing/>
        <w:jc w:val="both"/>
        <w:rPr>
          <w:rFonts w:ascii="Arial Narrow" w:eastAsia="Times New Roman" w:hAnsi="Arial Narrow"/>
          <w:lang w:val="en-GB"/>
        </w:rPr>
      </w:pPr>
      <w:r w:rsidRPr="00086A30">
        <w:rPr>
          <w:rFonts w:ascii="Arial Narrow" w:eastAsia="Times New Roman" w:hAnsi="Arial Narrow"/>
          <w:b/>
          <w:bCs/>
          <w:color w:val="000000"/>
          <w:lang w:val="en-GB"/>
        </w:rPr>
        <w:t xml:space="preserve">Council for Medical Schemes </w:t>
      </w:r>
    </w:p>
    <w:p w14:paraId="4D859745" w14:textId="77777777" w:rsidR="00893F42" w:rsidRPr="00086A30" w:rsidRDefault="00893F42" w:rsidP="00BE52D1">
      <w:pPr>
        <w:spacing w:after="0"/>
        <w:jc w:val="both"/>
        <w:rPr>
          <w:rFonts w:ascii="Arial Narrow" w:hAnsi="Arial Narrow"/>
          <w:b/>
          <w:bCs/>
          <w:color w:val="000000"/>
          <w:lang w:val="en-GB"/>
        </w:rPr>
      </w:pPr>
    </w:p>
    <w:p w14:paraId="26067022" w14:textId="77777777" w:rsidR="00051DB8" w:rsidRPr="008F7A94" w:rsidRDefault="00051DB8" w:rsidP="00BE52D1">
      <w:pPr>
        <w:spacing w:after="0"/>
        <w:jc w:val="both"/>
        <w:rPr>
          <w:rFonts w:ascii="Arial Narrow" w:hAnsi="Arial Narrow"/>
          <w:b/>
          <w:bCs/>
          <w:lang w:val="en-GB"/>
        </w:rPr>
      </w:pPr>
    </w:p>
    <w:sectPr w:rsidR="00051DB8" w:rsidRPr="008F7A94" w:rsidSect="002429B8">
      <w:footerReference w:type="default" r:id="rId25"/>
      <w:headerReference w:type="first" r:id="rId26"/>
      <w:footerReference w:type="first" r:id="rId27"/>
      <w:type w:val="continuous"/>
      <w:pgSz w:w="11907" w:h="16839" w:code="9"/>
      <w:pgMar w:top="1368" w:right="1440" w:bottom="1440" w:left="1440" w:header="446" w:footer="77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9CDD" w14:textId="77777777" w:rsidR="00F11B93" w:rsidRDefault="00F11B93" w:rsidP="002F4C67">
      <w:pPr>
        <w:spacing w:after="0" w:line="240" w:lineRule="auto"/>
      </w:pPr>
      <w:r>
        <w:separator/>
      </w:r>
    </w:p>
  </w:endnote>
  <w:endnote w:type="continuationSeparator" w:id="0">
    <w:p w14:paraId="3B099D1F" w14:textId="77777777" w:rsidR="00F11B93" w:rsidRDefault="00F11B93" w:rsidP="002F4C67">
      <w:pPr>
        <w:spacing w:after="0" w:line="240" w:lineRule="auto"/>
      </w:pPr>
      <w:r>
        <w:continuationSeparator/>
      </w:r>
    </w:p>
  </w:endnote>
  <w:endnote w:type="continuationNotice" w:id="1">
    <w:p w14:paraId="21140F9A" w14:textId="77777777" w:rsidR="00F11B93" w:rsidRDefault="00F11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E619" w14:textId="2CBECBB7" w:rsidR="00924BA9" w:rsidRDefault="00B62963" w:rsidP="00187F87">
    <w:pPr>
      <w:pStyle w:val="Footer"/>
      <w:jc w:val="center"/>
      <w:rPr>
        <w:rFonts w:ascii="Arial Narrow" w:hAnsi="Arial Narrow"/>
        <w:b/>
        <w:color w:val="244061"/>
        <w:sz w:val="14"/>
        <w:szCs w:val="14"/>
      </w:rPr>
    </w:pPr>
    <w:r>
      <w:rPr>
        <w:rFonts w:ascii="Arial Narrow" w:hAnsi="Arial Narrow"/>
        <w:b/>
        <w:noProof/>
        <w:color w:val="244061"/>
        <w:sz w:val="14"/>
        <w:szCs w:val="14"/>
        <w:lang w:val="en-GB" w:eastAsia="en-GB"/>
      </w:rPr>
      <w:drawing>
        <wp:anchor distT="0" distB="0" distL="114300" distR="114300" simplePos="0" relativeHeight="251658240" behindDoc="1" locked="0" layoutInCell="1" allowOverlap="1" wp14:anchorId="0EBE936A" wp14:editId="711EF94C">
          <wp:simplePos x="0" y="0"/>
          <wp:positionH relativeFrom="column">
            <wp:posOffset>-1442446</wp:posOffset>
          </wp:positionH>
          <wp:positionV relativeFrom="paragraph">
            <wp:posOffset>207010</wp:posOffset>
          </wp:positionV>
          <wp:extent cx="11552555" cy="121285"/>
          <wp:effectExtent l="19050" t="0" r="0" b="0"/>
          <wp:wrapThrough wrapText="bothSides">
            <wp:wrapPolygon edited="0">
              <wp:start x="-36" y="0"/>
              <wp:lineTo x="-36" y="16963"/>
              <wp:lineTo x="21585" y="16963"/>
              <wp:lineTo x="21585" y="0"/>
              <wp:lineTo x="-36" y="0"/>
            </wp:wrapPolygon>
          </wp:wrapThrough>
          <wp:docPr id="2" name="Picture 2" descr="CMS 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MS lines.jpg"/>
                  <pic:cNvPicPr>
                    <a:picLocks noChangeAspect="1" noChangeArrowheads="1"/>
                  </pic:cNvPicPr>
                </pic:nvPicPr>
                <pic:blipFill>
                  <a:blip r:embed="rId1"/>
                  <a:srcRect/>
                  <a:stretch>
                    <a:fillRect/>
                  </a:stretch>
                </pic:blipFill>
                <pic:spPr bwMode="auto">
                  <a:xfrm>
                    <a:off x="0" y="0"/>
                    <a:ext cx="11552555" cy="121285"/>
                  </a:xfrm>
                  <a:prstGeom prst="rect">
                    <a:avLst/>
                  </a:prstGeom>
                  <a:noFill/>
                  <a:ln w="9525">
                    <a:noFill/>
                    <a:miter lim="800000"/>
                    <a:headEnd/>
                    <a:tailEnd/>
                  </a:ln>
                </pic:spPr>
              </pic:pic>
            </a:graphicData>
          </a:graphic>
        </wp:anchor>
      </w:drawing>
    </w:r>
  </w:p>
  <w:p w14:paraId="6884F278" w14:textId="25E1A121" w:rsidR="00924BA9" w:rsidRDefault="00924BA9" w:rsidP="00187F87">
    <w:pPr>
      <w:pStyle w:val="Footer"/>
      <w:jc w:val="center"/>
      <w:rPr>
        <w:rFonts w:ascii="Arial Narrow" w:hAnsi="Arial Narrow"/>
        <w:b/>
        <w:color w:val="244061"/>
        <w:sz w:val="14"/>
        <w:szCs w:val="14"/>
      </w:rPr>
    </w:pPr>
  </w:p>
  <w:p w14:paraId="4F56D7EF" w14:textId="77777777" w:rsidR="00187F87" w:rsidRDefault="00187F87" w:rsidP="00187F87">
    <w:pPr>
      <w:pStyle w:val="Footer"/>
      <w:jc w:val="center"/>
      <w:rPr>
        <w:rFonts w:ascii="Arial Narrow" w:hAnsi="Arial Narrow"/>
        <w:color w:val="244061"/>
        <w:sz w:val="14"/>
        <w:szCs w:val="14"/>
      </w:rPr>
    </w:pPr>
  </w:p>
  <w:p w14:paraId="51A6CCB5" w14:textId="77777777" w:rsidR="00187F87" w:rsidRDefault="003D439B" w:rsidP="00187F87">
    <w:pPr>
      <w:pStyle w:val="Footer"/>
      <w:jc w:val="center"/>
      <w:rPr>
        <w:rFonts w:ascii="Arial Narrow" w:hAnsi="Arial Narrow"/>
        <w:color w:val="244061"/>
        <w:sz w:val="14"/>
        <w:szCs w:val="14"/>
      </w:rPr>
    </w:pPr>
    <w:r>
      <w:rPr>
        <w:rFonts w:ascii="Arial Narrow" w:hAnsi="Arial Narrow"/>
        <w:b/>
        <w:noProof/>
        <w:color w:val="244061"/>
        <w:sz w:val="14"/>
        <w:szCs w:val="14"/>
        <w:lang w:val="en-GB" w:eastAsia="en-GB"/>
      </w:rPr>
      <mc:AlternateContent>
        <mc:Choice Requires="wps">
          <w:drawing>
            <wp:anchor distT="0" distB="0" distL="114300" distR="114300" simplePos="0" relativeHeight="251658242" behindDoc="0" locked="0" layoutInCell="1" allowOverlap="1" wp14:anchorId="25A483AE" wp14:editId="2BE170EB">
              <wp:simplePos x="0" y="0"/>
              <wp:positionH relativeFrom="margin">
                <wp:posOffset>1311634</wp:posOffset>
              </wp:positionH>
              <wp:positionV relativeFrom="paragraph">
                <wp:posOffset>4445</wp:posOffset>
              </wp:positionV>
              <wp:extent cx="3858398" cy="65200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398" cy="65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0387" w14:textId="196475D2" w:rsidR="00A40BF5" w:rsidRPr="00A40BF5" w:rsidRDefault="00A40BF5" w:rsidP="00A40BF5">
                          <w:pPr>
                            <w:spacing w:after="0" w:line="240" w:lineRule="auto"/>
                            <w:jc w:val="center"/>
                            <w:rPr>
                              <w:rFonts w:ascii="Arial Narrow" w:hAnsi="Arial Narrow"/>
                              <w:b/>
                              <w:bCs/>
                              <w:sz w:val="16"/>
                              <w:szCs w:val="16"/>
                            </w:rPr>
                          </w:pPr>
                          <w:r w:rsidRPr="00A40BF5">
                            <w:rPr>
                              <w:rFonts w:ascii="Arial Narrow" w:hAnsi="Arial Narrow"/>
                              <w:b/>
                              <w:bCs/>
                              <w:sz w:val="16"/>
                              <w:szCs w:val="16"/>
                            </w:rPr>
                            <w:t>Chairperson: Dr</w:t>
                          </w:r>
                          <w:r w:rsidR="00536AEA">
                            <w:rPr>
                              <w:rFonts w:ascii="Arial Narrow" w:hAnsi="Arial Narrow"/>
                              <w:b/>
                              <w:bCs/>
                              <w:sz w:val="16"/>
                              <w:szCs w:val="16"/>
                            </w:rPr>
                            <w:t xml:space="preserve"> M</w:t>
                          </w:r>
                          <w:r w:rsidRPr="00A40BF5">
                            <w:rPr>
                              <w:rFonts w:ascii="Arial Narrow" w:hAnsi="Arial Narrow"/>
                              <w:b/>
                              <w:bCs/>
                              <w:sz w:val="16"/>
                              <w:szCs w:val="16"/>
                            </w:rPr>
                            <w:t xml:space="preserve">. </w:t>
                          </w:r>
                          <w:r w:rsidR="00C73A88">
                            <w:rPr>
                              <w:rFonts w:ascii="Arial Narrow" w:hAnsi="Arial Narrow"/>
                              <w:b/>
                              <w:bCs/>
                              <w:sz w:val="16"/>
                              <w:szCs w:val="16"/>
                            </w:rPr>
                            <w:t>Makiwane</w:t>
                          </w:r>
                          <w:r w:rsidR="00C73A88" w:rsidRPr="00A40BF5">
                            <w:rPr>
                              <w:rFonts w:ascii="Arial Narrow" w:hAnsi="Arial Narrow"/>
                              <w:b/>
                              <w:bCs/>
                              <w:sz w:val="16"/>
                              <w:szCs w:val="16"/>
                            </w:rPr>
                            <w:t xml:space="preserve"> </w:t>
                          </w:r>
                          <w:r w:rsidRPr="00A40BF5">
                            <w:rPr>
                              <w:rFonts w:ascii="Arial Narrow" w:hAnsi="Arial Narrow"/>
                              <w:b/>
                              <w:bCs/>
                              <w:sz w:val="16"/>
                              <w:szCs w:val="16"/>
                            </w:rPr>
                            <w:t>Chief Executive &amp; Registrar: Dr S</w:t>
                          </w:r>
                          <w:r w:rsidR="00536AEA">
                            <w:rPr>
                              <w:rFonts w:ascii="Arial Narrow" w:hAnsi="Arial Narrow"/>
                              <w:b/>
                              <w:bCs/>
                              <w:sz w:val="16"/>
                              <w:szCs w:val="16"/>
                            </w:rPr>
                            <w:t>.</w:t>
                          </w:r>
                          <w:r w:rsidRPr="00A40BF5">
                            <w:rPr>
                              <w:rFonts w:ascii="Arial Narrow" w:hAnsi="Arial Narrow"/>
                              <w:b/>
                              <w:bCs/>
                              <w:sz w:val="16"/>
                              <w:szCs w:val="16"/>
                            </w:rPr>
                            <w:t xml:space="preserve"> Kabane</w:t>
                          </w:r>
                        </w:p>
                        <w:p w14:paraId="672B2A9B" w14:textId="77777777" w:rsidR="00A40BF5" w:rsidRPr="00A40BF5" w:rsidRDefault="00A40BF5" w:rsidP="00A40BF5">
                          <w:pPr>
                            <w:spacing w:after="0" w:line="240" w:lineRule="auto"/>
                            <w:jc w:val="center"/>
                            <w:rPr>
                              <w:rFonts w:ascii="Arial Narrow" w:hAnsi="Arial Narrow"/>
                              <w:sz w:val="16"/>
                              <w:szCs w:val="16"/>
                            </w:rPr>
                          </w:pPr>
                          <w:r w:rsidRPr="00A40BF5">
                            <w:rPr>
                              <w:rFonts w:ascii="Arial Narrow" w:hAnsi="Arial Narrow"/>
                              <w:sz w:val="16"/>
                              <w:szCs w:val="16"/>
                            </w:rPr>
                            <w:t>Block A, Eco Glades 2 Office Park, 420 Witch-Hazel Avenue, Eco Park, Centurion, 0157</w:t>
                          </w:r>
                        </w:p>
                        <w:p w14:paraId="7E0E70F8" w14:textId="77777777" w:rsidR="00A40BF5" w:rsidRPr="00A40BF5" w:rsidRDefault="00A40BF5" w:rsidP="00A40BF5">
                          <w:pPr>
                            <w:spacing w:after="0" w:line="240" w:lineRule="auto"/>
                            <w:jc w:val="center"/>
                            <w:rPr>
                              <w:rFonts w:ascii="Arial Narrow" w:hAnsi="Arial Narrow" w:cs="Calibri"/>
                              <w:sz w:val="16"/>
                              <w:szCs w:val="16"/>
                            </w:rPr>
                          </w:pPr>
                          <w:r w:rsidRPr="00A40BF5">
                            <w:rPr>
                              <w:rFonts w:ascii="Arial Narrow" w:hAnsi="Arial Narrow"/>
                              <w:sz w:val="16"/>
                              <w:szCs w:val="16"/>
                            </w:rPr>
                            <w:t>Tel: 012 431 0500 Fax: 012 430 7644 Customer Care: 0861 123 267</w:t>
                          </w:r>
                        </w:p>
                        <w:p w14:paraId="0B10D32E" w14:textId="0B3D7CF0" w:rsidR="00A40BF5" w:rsidRPr="00A40BF5" w:rsidRDefault="00924E78" w:rsidP="00A40BF5">
                          <w:pPr>
                            <w:spacing w:after="0" w:line="240" w:lineRule="auto"/>
                            <w:jc w:val="center"/>
                            <w:rPr>
                              <w:rFonts w:ascii="Arial Narrow" w:hAnsi="Arial Narrow"/>
                              <w:sz w:val="16"/>
                              <w:szCs w:val="16"/>
                            </w:rPr>
                          </w:pPr>
                          <w:r w:rsidDel="00536AEA">
                            <w:fldChar w:fldCharType="begin"/>
                          </w:r>
                          <w:r w:rsidDel="00536AEA">
                            <w:fldChar w:fldCharType="separate"/>
                          </w:r>
                          <w:r w:rsidR="00A40BF5" w:rsidRPr="00A40BF5" w:rsidDel="00536AEA">
                            <w:rPr>
                              <w:rStyle w:val="Hyperlink"/>
                              <w:rFonts w:ascii="Arial Narrow" w:hAnsi="Arial Narrow"/>
                              <w:sz w:val="16"/>
                              <w:szCs w:val="16"/>
                            </w:rPr>
                            <w:t>Information@medicalschemes.</w:t>
                          </w:r>
                          <w:r w:rsidR="00536AEA" w:rsidRPr="00A40BF5">
                            <w:rPr>
                              <w:rStyle w:val="Hyperlink"/>
                              <w:rFonts w:ascii="Arial Narrow" w:hAnsi="Arial Narrow"/>
                              <w:sz w:val="16"/>
                              <w:szCs w:val="16"/>
                            </w:rPr>
                            <w:t>co</w:t>
                          </w:r>
                          <w:r w:rsidR="00536AEA">
                            <w:rPr>
                              <w:rStyle w:val="Hyperlink"/>
                              <w:rFonts w:ascii="Arial Narrow" w:hAnsi="Arial Narrow"/>
                              <w:sz w:val="16"/>
                              <w:szCs w:val="16"/>
                            </w:rPr>
                            <w:t>.za</w:t>
                          </w:r>
                          <w:r w:rsidDel="00536AEA">
                            <w:rPr>
                              <w:rStyle w:val="Hyperlink"/>
                              <w:rFonts w:ascii="Arial Narrow" w:hAnsi="Arial Narrow"/>
                              <w:sz w:val="16"/>
                              <w:szCs w:val="16"/>
                            </w:rPr>
                            <w:fldChar w:fldCharType="end"/>
                          </w:r>
                          <w:hyperlink r:id="rId2" w:history="1">
                            <w:r w:rsidR="00A40BF5" w:rsidRPr="00A40BF5" w:rsidDel="00536AEA">
                              <w:rPr>
                                <w:rStyle w:val="Hyperlink"/>
                                <w:rFonts w:ascii="Arial Narrow" w:hAnsi="Arial Narrow"/>
                                <w:sz w:val="16"/>
                                <w:szCs w:val="16"/>
                              </w:rPr>
                              <w:t>Information@medicalschemes.</w:t>
                            </w:r>
                            <w:r w:rsidR="00536AEA" w:rsidRPr="00A40BF5">
                              <w:rPr>
                                <w:rStyle w:val="Hyperlink"/>
                                <w:rFonts w:ascii="Arial Narrow" w:hAnsi="Arial Narrow"/>
                                <w:sz w:val="16"/>
                                <w:szCs w:val="16"/>
                              </w:rPr>
                              <w:t>co</w:t>
                            </w:r>
                            <w:r w:rsidR="00536AEA">
                              <w:rPr>
                                <w:rStyle w:val="Hyperlink"/>
                                <w:rFonts w:ascii="Arial Narrow" w:hAnsi="Arial Narrow"/>
                                <w:sz w:val="16"/>
                                <w:szCs w:val="16"/>
                              </w:rPr>
                              <w:t>.za</w:t>
                            </w:r>
                          </w:hyperlink>
                          <w:r w:rsidR="00C21DA0" w:rsidRPr="007F50B4">
                            <w:rPr>
                              <w:u w:val="single"/>
                            </w:rPr>
                            <w:t xml:space="preserve"> </w:t>
                          </w:r>
                          <w:hyperlink r:id="rId3" w:history="1">
                            <w:r w:rsidR="00536AEA" w:rsidRPr="00A40BF5">
                              <w:rPr>
                                <w:rStyle w:val="Hyperlink"/>
                                <w:rFonts w:ascii="Arial Narrow" w:hAnsi="Arial Narrow"/>
                                <w:sz w:val="16"/>
                                <w:szCs w:val="16"/>
                              </w:rPr>
                              <w:t>www.medicalschemes.co</w:t>
                            </w:r>
                            <w:r w:rsidR="00536AEA">
                              <w:rPr>
                                <w:rStyle w:val="Hyperlink"/>
                                <w:rFonts w:ascii="Arial Narrow" w:hAnsi="Arial Narrow"/>
                                <w:sz w:val="16"/>
                                <w:szCs w:val="16"/>
                              </w:rPr>
                              <w:t>.za</w:t>
                            </w:r>
                          </w:hyperlink>
                        </w:p>
                        <w:p w14:paraId="22B721EB" w14:textId="4CA428C8" w:rsidR="00927F89" w:rsidRPr="00A40BF5" w:rsidRDefault="00927F89" w:rsidP="00927F89">
                          <w:pPr>
                            <w:spacing w:after="0" w:line="240" w:lineRule="auto"/>
                            <w:jc w:val="center"/>
                            <w:rPr>
                              <w:rFonts w:ascii="Arial Narrow" w:hAnsi="Arial Narrow"/>
                              <w:sz w:val="16"/>
                              <w:szCs w:val="16"/>
                            </w:rPr>
                          </w:pPr>
                        </w:p>
                        <w:p w14:paraId="76DCC81D" w14:textId="77777777" w:rsidR="00EA11A5" w:rsidRPr="00A40BF5" w:rsidRDefault="00EA11A5" w:rsidP="00927F89">
                          <w:pPr>
                            <w:spacing w:after="0" w:line="240" w:lineRule="auto"/>
                            <w:jc w:val="center"/>
                            <w:rPr>
                              <w:rFonts w:ascii="Arial Narrow" w:hAnsi="Arial Narrow"/>
                              <w:sz w:val="14"/>
                              <w:szCs w:val="14"/>
                            </w:rPr>
                          </w:pPr>
                          <w:r w:rsidRPr="00A40BF5">
                            <w:rPr>
                              <w:rFonts w:ascii="Arial Narrow" w:hAnsi="Arial Narrow"/>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483AE" id="_x0000_t202" coordsize="21600,21600" o:spt="202" path="m,l,21600r21600,l21600,xe">
              <v:stroke joinstyle="miter"/>
              <v:path gradientshapeok="t" o:connecttype="rect"/>
            </v:shapetype>
            <v:shape id="Text Box 1" o:spid="_x0000_s1026" type="#_x0000_t202" style="position:absolute;left:0;text-align:left;margin-left:103.3pt;margin-top:.35pt;width:303.8pt;height:51.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" filled="f" stroked="f">
              <v:textbox>
                <w:txbxContent>
                  <w:p w14:paraId="32830387" w14:textId="196475D2" w:rsidR="00A40BF5" w:rsidRPr="00A40BF5" w:rsidRDefault="00A40BF5" w:rsidP="00A40BF5">
                    <w:pPr>
                      <w:spacing w:after="0" w:line="240" w:lineRule="auto"/>
                      <w:jc w:val="center"/>
                      <w:rPr>
                        <w:rFonts w:ascii="Arial Narrow" w:hAnsi="Arial Narrow"/>
                        <w:b/>
                        <w:bCs/>
                        <w:sz w:val="16"/>
                        <w:szCs w:val="16"/>
                      </w:rPr>
                    </w:pPr>
                    <w:r w:rsidRPr="00A40BF5">
                      <w:rPr>
                        <w:rFonts w:ascii="Arial Narrow" w:hAnsi="Arial Narrow"/>
                        <w:b/>
                        <w:bCs/>
                        <w:sz w:val="16"/>
                        <w:szCs w:val="16"/>
                      </w:rPr>
                      <w:t>Chairperson: Dr</w:t>
                    </w:r>
                    <w:r w:rsidR="00536AEA">
                      <w:rPr>
                        <w:rFonts w:ascii="Arial Narrow" w:hAnsi="Arial Narrow"/>
                        <w:b/>
                        <w:bCs/>
                        <w:sz w:val="16"/>
                        <w:szCs w:val="16"/>
                      </w:rPr>
                      <w:t xml:space="preserve"> M</w:t>
                    </w:r>
                    <w:r w:rsidRPr="00A40BF5">
                      <w:rPr>
                        <w:rFonts w:ascii="Arial Narrow" w:hAnsi="Arial Narrow"/>
                        <w:b/>
                        <w:bCs/>
                        <w:sz w:val="16"/>
                        <w:szCs w:val="16"/>
                      </w:rPr>
                      <w:t xml:space="preserve">. </w:t>
                    </w:r>
                    <w:r w:rsidR="00C73A88">
                      <w:rPr>
                        <w:rFonts w:ascii="Arial Narrow" w:hAnsi="Arial Narrow"/>
                        <w:b/>
                        <w:bCs/>
                        <w:sz w:val="16"/>
                        <w:szCs w:val="16"/>
                      </w:rPr>
                      <w:t>Makiwane</w:t>
                    </w:r>
                    <w:r w:rsidR="00C73A88" w:rsidRPr="00A40BF5">
                      <w:rPr>
                        <w:rFonts w:ascii="Arial Narrow" w:hAnsi="Arial Narrow"/>
                        <w:b/>
                        <w:bCs/>
                        <w:sz w:val="16"/>
                        <w:szCs w:val="16"/>
                      </w:rPr>
                      <w:t xml:space="preserve"> </w:t>
                    </w:r>
                    <w:r w:rsidRPr="00A40BF5">
                      <w:rPr>
                        <w:rFonts w:ascii="Arial Narrow" w:hAnsi="Arial Narrow"/>
                        <w:b/>
                        <w:bCs/>
                        <w:sz w:val="16"/>
                        <w:szCs w:val="16"/>
                      </w:rPr>
                      <w:t>Chief Executive &amp; Registrar: Dr S</w:t>
                    </w:r>
                    <w:r w:rsidR="00536AEA">
                      <w:rPr>
                        <w:rFonts w:ascii="Arial Narrow" w:hAnsi="Arial Narrow"/>
                        <w:b/>
                        <w:bCs/>
                        <w:sz w:val="16"/>
                        <w:szCs w:val="16"/>
                      </w:rPr>
                      <w:t>.</w:t>
                    </w:r>
                    <w:r w:rsidRPr="00A40BF5">
                      <w:rPr>
                        <w:rFonts w:ascii="Arial Narrow" w:hAnsi="Arial Narrow"/>
                        <w:b/>
                        <w:bCs/>
                        <w:sz w:val="16"/>
                        <w:szCs w:val="16"/>
                      </w:rPr>
                      <w:t xml:space="preserve"> Kabane</w:t>
                    </w:r>
                  </w:p>
                  <w:p w14:paraId="672B2A9B" w14:textId="77777777" w:rsidR="00A40BF5" w:rsidRPr="00A40BF5" w:rsidRDefault="00A40BF5" w:rsidP="00A40BF5">
                    <w:pPr>
                      <w:spacing w:after="0" w:line="240" w:lineRule="auto"/>
                      <w:jc w:val="center"/>
                      <w:rPr>
                        <w:rFonts w:ascii="Arial Narrow" w:hAnsi="Arial Narrow"/>
                        <w:sz w:val="16"/>
                        <w:szCs w:val="16"/>
                      </w:rPr>
                    </w:pPr>
                    <w:r w:rsidRPr="00A40BF5">
                      <w:rPr>
                        <w:rFonts w:ascii="Arial Narrow" w:hAnsi="Arial Narrow"/>
                        <w:sz w:val="16"/>
                        <w:szCs w:val="16"/>
                      </w:rPr>
                      <w:t>Block A, Eco Glades 2 Office Park, 420 Witch-Hazel Avenue, Eco Park, Centurion, 0157</w:t>
                    </w:r>
                  </w:p>
                  <w:p w14:paraId="7E0E70F8" w14:textId="77777777" w:rsidR="00A40BF5" w:rsidRPr="00A40BF5" w:rsidRDefault="00A40BF5" w:rsidP="00A40BF5">
                    <w:pPr>
                      <w:spacing w:after="0" w:line="240" w:lineRule="auto"/>
                      <w:jc w:val="center"/>
                      <w:rPr>
                        <w:rFonts w:ascii="Arial Narrow" w:hAnsi="Arial Narrow" w:cs="Calibri"/>
                        <w:sz w:val="16"/>
                        <w:szCs w:val="16"/>
                      </w:rPr>
                    </w:pPr>
                    <w:r w:rsidRPr="00A40BF5">
                      <w:rPr>
                        <w:rFonts w:ascii="Arial Narrow" w:hAnsi="Arial Narrow"/>
                        <w:sz w:val="16"/>
                        <w:szCs w:val="16"/>
                      </w:rPr>
                      <w:t>Tel: 012 431 0500 Fax: 012 430 7644 Customer Care: 0861 123 267</w:t>
                    </w:r>
                  </w:p>
                  <w:p w14:paraId="0B10D32E" w14:textId="0B3D7CF0" w:rsidR="00A40BF5" w:rsidRPr="00A40BF5" w:rsidRDefault="00924E78" w:rsidP="00A40BF5">
                    <w:pPr>
                      <w:spacing w:after="0" w:line="240" w:lineRule="auto"/>
                      <w:jc w:val="center"/>
                      <w:rPr>
                        <w:rFonts w:ascii="Arial Narrow" w:hAnsi="Arial Narrow"/>
                        <w:sz w:val="16"/>
                        <w:szCs w:val="16"/>
                      </w:rPr>
                    </w:pPr>
                    <w:r w:rsidDel="00536AEA">
                      <w:fldChar w:fldCharType="begin"/>
                    </w:r>
                    <w:r w:rsidDel="00536AEA">
                      <w:fldChar w:fldCharType="separate"/>
                    </w:r>
                    <w:r w:rsidR="00A40BF5" w:rsidRPr="00A40BF5" w:rsidDel="00536AEA">
                      <w:rPr>
                        <w:rStyle w:val="Hyperlink"/>
                        <w:rFonts w:ascii="Arial Narrow" w:hAnsi="Arial Narrow"/>
                        <w:sz w:val="16"/>
                        <w:szCs w:val="16"/>
                      </w:rPr>
                      <w:t>Information@medicalschemes.</w:t>
                    </w:r>
                    <w:r w:rsidR="00536AEA" w:rsidRPr="00A40BF5">
                      <w:rPr>
                        <w:rStyle w:val="Hyperlink"/>
                        <w:rFonts w:ascii="Arial Narrow" w:hAnsi="Arial Narrow"/>
                        <w:sz w:val="16"/>
                        <w:szCs w:val="16"/>
                      </w:rPr>
                      <w:t>co</w:t>
                    </w:r>
                    <w:r w:rsidR="00536AEA">
                      <w:rPr>
                        <w:rStyle w:val="Hyperlink"/>
                        <w:rFonts w:ascii="Arial Narrow" w:hAnsi="Arial Narrow"/>
                        <w:sz w:val="16"/>
                        <w:szCs w:val="16"/>
                      </w:rPr>
                      <w:t>.za</w:t>
                    </w:r>
                    <w:r w:rsidDel="00536AEA">
                      <w:rPr>
                        <w:rStyle w:val="Hyperlink"/>
                        <w:rFonts w:ascii="Arial Narrow" w:hAnsi="Arial Narrow"/>
                        <w:sz w:val="16"/>
                        <w:szCs w:val="16"/>
                      </w:rPr>
                      <w:fldChar w:fldCharType="end"/>
                    </w:r>
                    <w:hyperlink r:id="rId4" w:history="1">
                      <w:r w:rsidR="00A40BF5" w:rsidRPr="00A40BF5" w:rsidDel="00536AEA">
                        <w:rPr>
                          <w:rStyle w:val="Hyperlink"/>
                          <w:rFonts w:ascii="Arial Narrow" w:hAnsi="Arial Narrow"/>
                          <w:sz w:val="16"/>
                          <w:szCs w:val="16"/>
                        </w:rPr>
                        <w:t>Information@medicalschemes.</w:t>
                      </w:r>
                      <w:r w:rsidR="00536AEA" w:rsidRPr="00A40BF5">
                        <w:rPr>
                          <w:rStyle w:val="Hyperlink"/>
                          <w:rFonts w:ascii="Arial Narrow" w:hAnsi="Arial Narrow"/>
                          <w:sz w:val="16"/>
                          <w:szCs w:val="16"/>
                        </w:rPr>
                        <w:t>co</w:t>
                      </w:r>
                      <w:r w:rsidR="00536AEA">
                        <w:rPr>
                          <w:rStyle w:val="Hyperlink"/>
                          <w:rFonts w:ascii="Arial Narrow" w:hAnsi="Arial Narrow"/>
                          <w:sz w:val="16"/>
                          <w:szCs w:val="16"/>
                        </w:rPr>
                        <w:t>.za</w:t>
                      </w:r>
                    </w:hyperlink>
                    <w:r w:rsidR="00C21DA0" w:rsidRPr="007F50B4">
                      <w:rPr>
                        <w:u w:val="single"/>
                      </w:rPr>
                      <w:t xml:space="preserve"> </w:t>
                    </w:r>
                    <w:hyperlink r:id="rId5" w:history="1">
                      <w:r w:rsidR="00536AEA" w:rsidRPr="00A40BF5">
                        <w:rPr>
                          <w:rStyle w:val="Hyperlink"/>
                          <w:rFonts w:ascii="Arial Narrow" w:hAnsi="Arial Narrow"/>
                          <w:sz w:val="16"/>
                          <w:szCs w:val="16"/>
                        </w:rPr>
                        <w:t>www.medicalschemes.co</w:t>
                      </w:r>
                      <w:r w:rsidR="00536AEA">
                        <w:rPr>
                          <w:rStyle w:val="Hyperlink"/>
                          <w:rFonts w:ascii="Arial Narrow" w:hAnsi="Arial Narrow"/>
                          <w:sz w:val="16"/>
                          <w:szCs w:val="16"/>
                        </w:rPr>
                        <w:t>.za</w:t>
                      </w:r>
                    </w:hyperlink>
                  </w:p>
                  <w:p w14:paraId="22B721EB" w14:textId="4CA428C8" w:rsidR="00927F89" w:rsidRPr="00A40BF5" w:rsidRDefault="00927F89" w:rsidP="00927F89">
                    <w:pPr>
                      <w:spacing w:after="0" w:line="240" w:lineRule="auto"/>
                      <w:jc w:val="center"/>
                      <w:rPr>
                        <w:rFonts w:ascii="Arial Narrow" w:hAnsi="Arial Narrow"/>
                        <w:sz w:val="16"/>
                        <w:szCs w:val="16"/>
                      </w:rPr>
                    </w:pPr>
                  </w:p>
                  <w:p w14:paraId="76DCC81D" w14:textId="77777777" w:rsidR="00EA11A5" w:rsidRPr="00A40BF5" w:rsidRDefault="00EA11A5" w:rsidP="00927F89">
                    <w:pPr>
                      <w:spacing w:after="0" w:line="240" w:lineRule="auto"/>
                      <w:jc w:val="center"/>
                      <w:rPr>
                        <w:rFonts w:ascii="Arial Narrow" w:hAnsi="Arial Narrow"/>
                        <w:sz w:val="14"/>
                        <w:szCs w:val="14"/>
                      </w:rPr>
                    </w:pPr>
                    <w:r w:rsidRPr="00A40BF5">
                      <w:rPr>
                        <w:rFonts w:ascii="Arial Narrow" w:hAnsi="Arial Narrow"/>
                        <w:sz w:val="14"/>
                        <w:szCs w:val="14"/>
                      </w:rPr>
                      <w:t xml:space="preserve"> </w:t>
                    </w:r>
                  </w:p>
                </w:txbxContent>
              </v:textbox>
              <w10:wrap anchorx="margin"/>
            </v:shape>
          </w:pict>
        </mc:Fallback>
      </mc:AlternateContent>
    </w:r>
  </w:p>
  <w:p w14:paraId="07081047" w14:textId="77777777" w:rsidR="00187F87" w:rsidRPr="00187F87" w:rsidRDefault="00187F87" w:rsidP="00187F87">
    <w:pPr>
      <w:pStyle w:val="Footer"/>
      <w:jc w:val="right"/>
      <w:rPr>
        <w:rFonts w:ascii="Arial Narrow" w:hAnsi="Arial Narrow"/>
        <w:b/>
        <w:color w:val="244061"/>
        <w:sz w:val="16"/>
        <w:szCs w:val="14"/>
      </w:rPr>
    </w:pPr>
    <w:r w:rsidRPr="00187F87">
      <w:rPr>
        <w:rFonts w:ascii="Arial Narrow" w:hAnsi="Arial Narrow"/>
        <w:b/>
        <w:color w:val="244061"/>
        <w:sz w:val="16"/>
        <w:szCs w:val="14"/>
      </w:rPr>
      <w:t xml:space="preserve">Page </w:t>
    </w:r>
    <w:r w:rsidR="00842CB1" w:rsidRPr="00187F87">
      <w:rPr>
        <w:rFonts w:ascii="Arial Narrow" w:hAnsi="Arial Narrow"/>
        <w:b/>
        <w:color w:val="244061"/>
        <w:sz w:val="16"/>
        <w:szCs w:val="14"/>
      </w:rPr>
      <w:fldChar w:fldCharType="begin"/>
    </w:r>
    <w:r w:rsidRPr="00187F87">
      <w:rPr>
        <w:rFonts w:ascii="Arial Narrow" w:hAnsi="Arial Narrow"/>
        <w:b/>
        <w:color w:val="244061"/>
        <w:sz w:val="16"/>
        <w:szCs w:val="14"/>
      </w:rPr>
      <w:instrText xml:space="preserve"> PAGE   \* MERGEFORMAT </w:instrText>
    </w:r>
    <w:r w:rsidR="00842CB1" w:rsidRPr="00187F87">
      <w:rPr>
        <w:rFonts w:ascii="Arial Narrow" w:hAnsi="Arial Narrow"/>
        <w:b/>
        <w:color w:val="244061"/>
        <w:sz w:val="16"/>
        <w:szCs w:val="14"/>
      </w:rPr>
      <w:fldChar w:fldCharType="separate"/>
    </w:r>
    <w:r w:rsidR="00A12FF6">
      <w:rPr>
        <w:rFonts w:ascii="Arial Narrow" w:hAnsi="Arial Narrow"/>
        <w:b/>
        <w:noProof/>
        <w:color w:val="244061"/>
        <w:sz w:val="16"/>
        <w:szCs w:val="14"/>
      </w:rPr>
      <w:t>2</w:t>
    </w:r>
    <w:r w:rsidR="00842CB1" w:rsidRPr="00187F87">
      <w:rPr>
        <w:rFonts w:ascii="Arial Narrow" w:hAnsi="Arial Narrow"/>
        <w:b/>
        <w:color w:val="244061"/>
        <w:sz w:val="16"/>
        <w:szCs w:val="14"/>
      </w:rPr>
      <w:fldChar w:fldCharType="end"/>
    </w:r>
  </w:p>
  <w:p w14:paraId="5B652312" w14:textId="77777777" w:rsidR="002F4C67" w:rsidRPr="006C1A12" w:rsidRDefault="002F4C67" w:rsidP="003F46E7">
    <w:pPr>
      <w:pStyle w:val="Footer"/>
      <w:jc w:val="cen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7067" w14:textId="6996C946" w:rsidR="00A40BF5" w:rsidRDefault="00A40BF5" w:rsidP="00924BA9">
    <w:pPr>
      <w:pStyle w:val="Footer"/>
      <w:tabs>
        <w:tab w:val="clear" w:pos="9360"/>
        <w:tab w:val="left" w:pos="5040"/>
        <w:tab w:val="left" w:pos="5760"/>
        <w:tab w:val="left" w:pos="6480"/>
        <w:tab w:val="left" w:pos="7200"/>
        <w:tab w:val="left" w:pos="7920"/>
        <w:tab w:val="left" w:pos="8640"/>
      </w:tabs>
      <w:rPr>
        <w:rFonts w:ascii="Arial Narrow" w:hAnsi="Arial Narrow"/>
        <w:b/>
        <w:bCs/>
        <w:sz w:val="16"/>
        <w:szCs w:val="16"/>
      </w:rPr>
    </w:pPr>
    <w:r>
      <w:rPr>
        <w:rFonts w:ascii="Arial Narrow" w:hAnsi="Arial Narrow"/>
        <w:b/>
        <w:noProof/>
        <w:color w:val="244061"/>
        <w:sz w:val="14"/>
        <w:szCs w:val="14"/>
        <w:lang w:val="en-GB" w:eastAsia="en-GB"/>
      </w:rPr>
      <w:drawing>
        <wp:anchor distT="0" distB="0" distL="114300" distR="114300" simplePos="0" relativeHeight="251658243" behindDoc="1" locked="0" layoutInCell="1" allowOverlap="1" wp14:anchorId="5BF0B49B" wp14:editId="58B47897">
          <wp:simplePos x="0" y="0"/>
          <wp:positionH relativeFrom="page">
            <wp:align>left</wp:align>
          </wp:positionH>
          <wp:positionV relativeFrom="paragraph">
            <wp:posOffset>137602</wp:posOffset>
          </wp:positionV>
          <wp:extent cx="11552555" cy="121285"/>
          <wp:effectExtent l="0" t="0" r="0" b="0"/>
          <wp:wrapThrough wrapText="bothSides">
            <wp:wrapPolygon edited="0">
              <wp:start x="0" y="0"/>
              <wp:lineTo x="0" y="16963"/>
              <wp:lineTo x="21549" y="16963"/>
              <wp:lineTo x="21549" y="0"/>
              <wp:lineTo x="0" y="0"/>
            </wp:wrapPolygon>
          </wp:wrapThrough>
          <wp:docPr id="116927866" name="Picture 116927866" descr="CMS 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MS lines.jpg"/>
                  <pic:cNvPicPr>
                    <a:picLocks noChangeAspect="1" noChangeArrowheads="1"/>
                  </pic:cNvPicPr>
                </pic:nvPicPr>
                <pic:blipFill>
                  <a:blip r:embed="rId1"/>
                  <a:srcRect/>
                  <a:stretch>
                    <a:fillRect/>
                  </a:stretch>
                </pic:blipFill>
                <pic:spPr bwMode="auto">
                  <a:xfrm>
                    <a:off x="0" y="0"/>
                    <a:ext cx="11552555" cy="121285"/>
                  </a:xfrm>
                  <a:prstGeom prst="rect">
                    <a:avLst/>
                  </a:prstGeom>
                  <a:noFill/>
                  <a:ln w="9525">
                    <a:noFill/>
                    <a:miter lim="800000"/>
                    <a:headEnd/>
                    <a:tailEnd/>
                  </a:ln>
                </pic:spPr>
              </pic:pic>
            </a:graphicData>
          </a:graphic>
        </wp:anchor>
      </w:drawing>
    </w:r>
  </w:p>
  <w:p w14:paraId="11A7E836" w14:textId="0B6840FE" w:rsidR="00A40BF5" w:rsidRDefault="00A40BF5" w:rsidP="00924BA9">
    <w:pPr>
      <w:pStyle w:val="Footer"/>
      <w:tabs>
        <w:tab w:val="clear" w:pos="9360"/>
        <w:tab w:val="left" w:pos="5040"/>
        <w:tab w:val="left" w:pos="5760"/>
        <w:tab w:val="left" w:pos="6480"/>
        <w:tab w:val="left" w:pos="7200"/>
        <w:tab w:val="left" w:pos="7920"/>
        <w:tab w:val="left" w:pos="8640"/>
      </w:tabs>
      <w:rPr>
        <w:rFonts w:ascii="Arial Narrow" w:hAnsi="Arial Narrow"/>
        <w:b/>
        <w:bCs/>
        <w:sz w:val="16"/>
        <w:szCs w:val="16"/>
      </w:rPr>
    </w:pPr>
  </w:p>
  <w:p w14:paraId="5B992B13" w14:textId="3991F4FD" w:rsidR="00924BA9" w:rsidRDefault="00A40BF5" w:rsidP="00924BA9">
    <w:pPr>
      <w:pStyle w:val="Footer"/>
      <w:tabs>
        <w:tab w:val="clear" w:pos="9360"/>
        <w:tab w:val="left" w:pos="5040"/>
        <w:tab w:val="left" w:pos="5760"/>
        <w:tab w:val="left" w:pos="6480"/>
        <w:tab w:val="left" w:pos="7200"/>
        <w:tab w:val="left" w:pos="7920"/>
        <w:tab w:val="left" w:pos="8640"/>
      </w:tabs>
    </w:pPr>
    <w:r>
      <w:rPr>
        <w:rFonts w:ascii="Arial Narrow" w:hAnsi="Arial Narrow"/>
        <w:b/>
        <w:noProof/>
        <w:color w:val="244061"/>
        <w:sz w:val="14"/>
        <w:szCs w:val="14"/>
        <w:lang w:val="en-GB" w:eastAsia="en-GB"/>
      </w:rPr>
      <mc:AlternateContent>
        <mc:Choice Requires="wps">
          <w:drawing>
            <wp:anchor distT="0" distB="0" distL="114300" distR="114300" simplePos="0" relativeHeight="251658244" behindDoc="0" locked="0" layoutInCell="1" allowOverlap="1" wp14:anchorId="4DDA5F00" wp14:editId="209739A3">
              <wp:simplePos x="0" y="0"/>
              <wp:positionH relativeFrom="margin">
                <wp:align>center</wp:align>
              </wp:positionH>
              <wp:positionV relativeFrom="paragraph">
                <wp:posOffset>7316</wp:posOffset>
              </wp:positionV>
              <wp:extent cx="3858398" cy="652007"/>
              <wp:effectExtent l="0" t="0" r="0" b="0"/>
              <wp:wrapNone/>
              <wp:docPr id="1643624915" name="Text Box 1643624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398" cy="65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23DB" w14:textId="5A4C5A67" w:rsidR="00A40BF5" w:rsidRPr="00A40BF5" w:rsidRDefault="00A40BF5" w:rsidP="00A40BF5">
                          <w:pPr>
                            <w:spacing w:after="0" w:line="240" w:lineRule="auto"/>
                            <w:jc w:val="center"/>
                            <w:rPr>
                              <w:rFonts w:ascii="Arial Narrow" w:hAnsi="Arial Narrow"/>
                              <w:b/>
                              <w:bCs/>
                              <w:sz w:val="16"/>
                              <w:szCs w:val="16"/>
                            </w:rPr>
                          </w:pPr>
                          <w:r w:rsidRPr="00A40BF5">
                            <w:rPr>
                              <w:rFonts w:ascii="Arial Narrow" w:hAnsi="Arial Narrow"/>
                              <w:b/>
                              <w:bCs/>
                              <w:sz w:val="16"/>
                              <w:szCs w:val="16"/>
                            </w:rPr>
                            <w:t>Chairperson: Dr</w:t>
                          </w:r>
                          <w:r w:rsidR="00F367DB">
                            <w:rPr>
                              <w:rFonts w:ascii="Arial Narrow" w:hAnsi="Arial Narrow"/>
                              <w:b/>
                              <w:bCs/>
                              <w:sz w:val="16"/>
                              <w:szCs w:val="16"/>
                            </w:rPr>
                            <w:t xml:space="preserve"> M. Makiwane</w:t>
                          </w:r>
                          <w:r w:rsidRPr="00A40BF5">
                            <w:rPr>
                              <w:rFonts w:ascii="Arial Narrow" w:hAnsi="Arial Narrow"/>
                              <w:b/>
                              <w:bCs/>
                              <w:sz w:val="16"/>
                              <w:szCs w:val="16"/>
                            </w:rPr>
                            <w:t xml:space="preserve">  Chief Executive &amp; Registrar: Dr S</w:t>
                          </w:r>
                          <w:r w:rsidR="00F367DB">
                            <w:rPr>
                              <w:rFonts w:ascii="Arial Narrow" w:hAnsi="Arial Narrow"/>
                              <w:b/>
                              <w:bCs/>
                              <w:sz w:val="16"/>
                              <w:szCs w:val="16"/>
                            </w:rPr>
                            <w:t>.</w:t>
                          </w:r>
                          <w:r w:rsidRPr="00A40BF5">
                            <w:rPr>
                              <w:rFonts w:ascii="Arial Narrow" w:hAnsi="Arial Narrow"/>
                              <w:b/>
                              <w:bCs/>
                              <w:sz w:val="16"/>
                              <w:szCs w:val="16"/>
                            </w:rPr>
                            <w:t xml:space="preserve"> Kabane</w:t>
                          </w:r>
                        </w:p>
                        <w:p w14:paraId="28034AB9" w14:textId="77777777" w:rsidR="00A40BF5" w:rsidRPr="00A40BF5" w:rsidRDefault="00A40BF5" w:rsidP="00A40BF5">
                          <w:pPr>
                            <w:spacing w:after="0" w:line="240" w:lineRule="auto"/>
                            <w:jc w:val="center"/>
                            <w:rPr>
                              <w:rFonts w:ascii="Arial Narrow" w:hAnsi="Arial Narrow"/>
                              <w:sz w:val="16"/>
                              <w:szCs w:val="16"/>
                            </w:rPr>
                          </w:pPr>
                          <w:r w:rsidRPr="00A40BF5">
                            <w:rPr>
                              <w:rFonts w:ascii="Arial Narrow" w:hAnsi="Arial Narrow"/>
                              <w:sz w:val="16"/>
                              <w:szCs w:val="16"/>
                            </w:rPr>
                            <w:t>Block A, Eco Glades 2 Office Park, 420 Witch-Hazel Avenue, Eco Park, Centurion, 0157</w:t>
                          </w:r>
                        </w:p>
                        <w:p w14:paraId="21565D98" w14:textId="77777777" w:rsidR="00A40BF5" w:rsidRPr="00A40BF5" w:rsidRDefault="00A40BF5" w:rsidP="00A40BF5">
                          <w:pPr>
                            <w:spacing w:after="0" w:line="240" w:lineRule="auto"/>
                            <w:jc w:val="center"/>
                            <w:rPr>
                              <w:rFonts w:ascii="Arial Narrow" w:hAnsi="Arial Narrow" w:cs="Calibri"/>
                              <w:sz w:val="16"/>
                              <w:szCs w:val="16"/>
                            </w:rPr>
                          </w:pPr>
                          <w:r w:rsidRPr="00A40BF5">
                            <w:rPr>
                              <w:rFonts w:ascii="Arial Narrow" w:hAnsi="Arial Narrow"/>
                              <w:sz w:val="16"/>
                              <w:szCs w:val="16"/>
                            </w:rPr>
                            <w:t>Tel: 012 431 0500 Fax: 012 430 7644 Customer Care: 0861 123 267</w:t>
                          </w:r>
                        </w:p>
                        <w:p w14:paraId="09516784" w14:textId="50EEB683" w:rsidR="00A40BF5" w:rsidRPr="00A40BF5" w:rsidRDefault="00924E78" w:rsidP="00A40BF5">
                          <w:pPr>
                            <w:spacing w:after="0" w:line="240" w:lineRule="auto"/>
                            <w:jc w:val="center"/>
                            <w:rPr>
                              <w:rFonts w:ascii="Arial Narrow" w:hAnsi="Arial Narrow"/>
                              <w:sz w:val="16"/>
                              <w:szCs w:val="16"/>
                            </w:rPr>
                          </w:pPr>
                          <w:r w:rsidDel="00F367DB">
                            <w:fldChar w:fldCharType="begin"/>
                          </w:r>
                          <w:r w:rsidDel="00F367DB">
                            <w:fldChar w:fldCharType="separate"/>
                          </w:r>
                          <w:r w:rsidR="00A40BF5" w:rsidRPr="00A40BF5" w:rsidDel="00F367DB">
                            <w:rPr>
                              <w:rStyle w:val="Hyperlink"/>
                              <w:rFonts w:ascii="Arial Narrow" w:hAnsi="Arial Narrow"/>
                              <w:sz w:val="16"/>
                              <w:szCs w:val="16"/>
                            </w:rPr>
                            <w:t>Information@medicalschemes.</w:t>
                          </w:r>
                          <w:r w:rsidR="00F367DB" w:rsidRPr="00A40BF5">
                            <w:rPr>
                              <w:rStyle w:val="Hyperlink"/>
                              <w:rFonts w:ascii="Arial Narrow" w:hAnsi="Arial Narrow"/>
                              <w:sz w:val="16"/>
                              <w:szCs w:val="16"/>
                            </w:rPr>
                            <w:t>co</w:t>
                          </w:r>
                          <w:r w:rsidR="00F367DB">
                            <w:rPr>
                              <w:rStyle w:val="Hyperlink"/>
                              <w:rFonts w:ascii="Arial Narrow" w:hAnsi="Arial Narrow"/>
                              <w:sz w:val="16"/>
                              <w:szCs w:val="16"/>
                            </w:rPr>
                            <w:t>.za</w:t>
                          </w:r>
                          <w:r w:rsidDel="00F367DB">
                            <w:rPr>
                              <w:rStyle w:val="Hyperlink"/>
                              <w:rFonts w:ascii="Arial Narrow" w:hAnsi="Arial Narrow"/>
                              <w:sz w:val="16"/>
                              <w:szCs w:val="16"/>
                            </w:rPr>
                            <w:fldChar w:fldCharType="end"/>
                          </w:r>
                          <w:hyperlink r:id="rId2" w:history="1">
                            <w:r w:rsidR="00A40BF5" w:rsidRPr="00A40BF5" w:rsidDel="00F367DB">
                              <w:rPr>
                                <w:rStyle w:val="Hyperlink"/>
                                <w:rFonts w:ascii="Arial Narrow" w:hAnsi="Arial Narrow"/>
                                <w:sz w:val="16"/>
                                <w:szCs w:val="16"/>
                              </w:rPr>
                              <w:t>Information@medicalschemes.</w:t>
                            </w:r>
                            <w:r w:rsidR="00F367DB" w:rsidRPr="00A40BF5">
                              <w:rPr>
                                <w:rStyle w:val="Hyperlink"/>
                                <w:rFonts w:ascii="Arial Narrow" w:hAnsi="Arial Narrow"/>
                                <w:sz w:val="16"/>
                                <w:szCs w:val="16"/>
                              </w:rPr>
                              <w:t>co</w:t>
                            </w:r>
                            <w:r w:rsidR="00F367DB">
                              <w:rPr>
                                <w:rStyle w:val="Hyperlink"/>
                                <w:rFonts w:ascii="Arial Narrow" w:hAnsi="Arial Narrow"/>
                                <w:sz w:val="16"/>
                                <w:szCs w:val="16"/>
                              </w:rPr>
                              <w:t>.za</w:t>
                            </w:r>
                          </w:hyperlink>
                          <w:r w:rsidR="00F367DB" w:rsidRPr="007F50B4">
                            <w:rPr>
                              <w:u w:val="single"/>
                            </w:rPr>
                            <w:t xml:space="preserve">  </w:t>
                          </w:r>
                          <w:hyperlink r:id="rId3" w:history="1">
                            <w:r w:rsidR="00F367DB" w:rsidRPr="00A40BF5">
                              <w:rPr>
                                <w:rStyle w:val="Hyperlink"/>
                                <w:rFonts w:ascii="Arial Narrow" w:hAnsi="Arial Narrow"/>
                                <w:sz w:val="16"/>
                                <w:szCs w:val="16"/>
                              </w:rPr>
                              <w:t>www.medicalschemes.co</w:t>
                            </w:r>
                            <w:r w:rsidR="00F367DB">
                              <w:rPr>
                                <w:rStyle w:val="Hyperlink"/>
                                <w:rFonts w:ascii="Arial Narrow" w:hAnsi="Arial Narrow"/>
                                <w:sz w:val="16"/>
                                <w:szCs w:val="16"/>
                              </w:rPr>
                              <w:t>.za</w:t>
                            </w:r>
                          </w:hyperlink>
                        </w:p>
                        <w:p w14:paraId="12FCD785" w14:textId="77777777" w:rsidR="00A40BF5" w:rsidRPr="00A40BF5" w:rsidRDefault="00A40BF5" w:rsidP="00A40BF5">
                          <w:pPr>
                            <w:spacing w:after="0" w:line="240" w:lineRule="auto"/>
                            <w:jc w:val="center"/>
                            <w:rPr>
                              <w:rFonts w:ascii="Arial Narrow" w:hAnsi="Arial Narrow"/>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5F00" id="_x0000_t202" coordsize="21600,21600" o:spt="202" path="m,l,21600r21600,l21600,xe">
              <v:stroke joinstyle="miter"/>
              <v:path gradientshapeok="t" o:connecttype="rect"/>
            </v:shapetype>
            <v:shape id="Text Box 1643624915" o:spid="_x0000_s1027" type="#_x0000_t202" style="position:absolute;margin-left:0;margin-top:.6pt;width:303.8pt;height:51.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" filled="f" stroked="f">
              <v:textbox>
                <w:txbxContent>
                  <w:p w14:paraId="1E8323DB" w14:textId="5A4C5A67" w:rsidR="00A40BF5" w:rsidRPr="00A40BF5" w:rsidRDefault="00A40BF5" w:rsidP="00A40BF5">
                    <w:pPr>
                      <w:spacing w:after="0" w:line="240" w:lineRule="auto"/>
                      <w:jc w:val="center"/>
                      <w:rPr>
                        <w:rFonts w:ascii="Arial Narrow" w:hAnsi="Arial Narrow"/>
                        <w:b/>
                        <w:bCs/>
                        <w:sz w:val="16"/>
                        <w:szCs w:val="16"/>
                      </w:rPr>
                    </w:pPr>
                    <w:r w:rsidRPr="00A40BF5">
                      <w:rPr>
                        <w:rFonts w:ascii="Arial Narrow" w:hAnsi="Arial Narrow"/>
                        <w:b/>
                        <w:bCs/>
                        <w:sz w:val="16"/>
                        <w:szCs w:val="16"/>
                      </w:rPr>
                      <w:t>Chairperson: Dr</w:t>
                    </w:r>
                    <w:r w:rsidR="00F367DB">
                      <w:rPr>
                        <w:rFonts w:ascii="Arial Narrow" w:hAnsi="Arial Narrow"/>
                        <w:b/>
                        <w:bCs/>
                        <w:sz w:val="16"/>
                        <w:szCs w:val="16"/>
                      </w:rPr>
                      <w:t xml:space="preserve"> M. Makiwane</w:t>
                    </w:r>
                    <w:r w:rsidRPr="00A40BF5">
                      <w:rPr>
                        <w:rFonts w:ascii="Arial Narrow" w:hAnsi="Arial Narrow"/>
                        <w:b/>
                        <w:bCs/>
                        <w:sz w:val="16"/>
                        <w:szCs w:val="16"/>
                      </w:rPr>
                      <w:t xml:space="preserve">  Chief Executive &amp; Registrar: Dr S</w:t>
                    </w:r>
                    <w:r w:rsidR="00F367DB">
                      <w:rPr>
                        <w:rFonts w:ascii="Arial Narrow" w:hAnsi="Arial Narrow"/>
                        <w:b/>
                        <w:bCs/>
                        <w:sz w:val="16"/>
                        <w:szCs w:val="16"/>
                      </w:rPr>
                      <w:t>.</w:t>
                    </w:r>
                    <w:r w:rsidRPr="00A40BF5">
                      <w:rPr>
                        <w:rFonts w:ascii="Arial Narrow" w:hAnsi="Arial Narrow"/>
                        <w:b/>
                        <w:bCs/>
                        <w:sz w:val="16"/>
                        <w:szCs w:val="16"/>
                      </w:rPr>
                      <w:t xml:space="preserve"> Kabane</w:t>
                    </w:r>
                  </w:p>
                  <w:p w14:paraId="28034AB9" w14:textId="77777777" w:rsidR="00A40BF5" w:rsidRPr="00A40BF5" w:rsidRDefault="00A40BF5" w:rsidP="00A40BF5">
                    <w:pPr>
                      <w:spacing w:after="0" w:line="240" w:lineRule="auto"/>
                      <w:jc w:val="center"/>
                      <w:rPr>
                        <w:rFonts w:ascii="Arial Narrow" w:hAnsi="Arial Narrow"/>
                        <w:sz w:val="16"/>
                        <w:szCs w:val="16"/>
                      </w:rPr>
                    </w:pPr>
                    <w:r w:rsidRPr="00A40BF5">
                      <w:rPr>
                        <w:rFonts w:ascii="Arial Narrow" w:hAnsi="Arial Narrow"/>
                        <w:sz w:val="16"/>
                        <w:szCs w:val="16"/>
                      </w:rPr>
                      <w:t>Block A, Eco Glades 2 Office Park, 420 Witch-Hazel Avenue, Eco Park, Centurion, 0157</w:t>
                    </w:r>
                  </w:p>
                  <w:p w14:paraId="21565D98" w14:textId="77777777" w:rsidR="00A40BF5" w:rsidRPr="00A40BF5" w:rsidRDefault="00A40BF5" w:rsidP="00A40BF5">
                    <w:pPr>
                      <w:spacing w:after="0" w:line="240" w:lineRule="auto"/>
                      <w:jc w:val="center"/>
                      <w:rPr>
                        <w:rFonts w:ascii="Arial Narrow" w:hAnsi="Arial Narrow" w:cs="Calibri"/>
                        <w:sz w:val="16"/>
                        <w:szCs w:val="16"/>
                      </w:rPr>
                    </w:pPr>
                    <w:r w:rsidRPr="00A40BF5">
                      <w:rPr>
                        <w:rFonts w:ascii="Arial Narrow" w:hAnsi="Arial Narrow"/>
                        <w:sz w:val="16"/>
                        <w:szCs w:val="16"/>
                      </w:rPr>
                      <w:t>Tel: 012 431 0500 Fax: 012 430 7644 Customer Care: 0861 123 267</w:t>
                    </w:r>
                  </w:p>
                  <w:p w14:paraId="09516784" w14:textId="50EEB683" w:rsidR="00A40BF5" w:rsidRPr="00A40BF5" w:rsidRDefault="00924E78" w:rsidP="00A40BF5">
                    <w:pPr>
                      <w:spacing w:after="0" w:line="240" w:lineRule="auto"/>
                      <w:jc w:val="center"/>
                      <w:rPr>
                        <w:rFonts w:ascii="Arial Narrow" w:hAnsi="Arial Narrow"/>
                        <w:sz w:val="16"/>
                        <w:szCs w:val="16"/>
                      </w:rPr>
                    </w:pPr>
                    <w:r w:rsidDel="00F367DB">
                      <w:fldChar w:fldCharType="begin"/>
                    </w:r>
                    <w:r w:rsidDel="00F367DB">
                      <w:fldChar w:fldCharType="separate"/>
                    </w:r>
                    <w:r w:rsidR="00A40BF5" w:rsidRPr="00A40BF5" w:rsidDel="00F367DB">
                      <w:rPr>
                        <w:rStyle w:val="Hyperlink"/>
                        <w:rFonts w:ascii="Arial Narrow" w:hAnsi="Arial Narrow"/>
                        <w:sz w:val="16"/>
                        <w:szCs w:val="16"/>
                      </w:rPr>
                      <w:t>Information@medicalschemes.</w:t>
                    </w:r>
                    <w:r w:rsidR="00F367DB" w:rsidRPr="00A40BF5">
                      <w:rPr>
                        <w:rStyle w:val="Hyperlink"/>
                        <w:rFonts w:ascii="Arial Narrow" w:hAnsi="Arial Narrow"/>
                        <w:sz w:val="16"/>
                        <w:szCs w:val="16"/>
                      </w:rPr>
                      <w:t>co</w:t>
                    </w:r>
                    <w:r w:rsidR="00F367DB">
                      <w:rPr>
                        <w:rStyle w:val="Hyperlink"/>
                        <w:rFonts w:ascii="Arial Narrow" w:hAnsi="Arial Narrow"/>
                        <w:sz w:val="16"/>
                        <w:szCs w:val="16"/>
                      </w:rPr>
                      <w:t>.za</w:t>
                    </w:r>
                    <w:r w:rsidDel="00F367DB">
                      <w:rPr>
                        <w:rStyle w:val="Hyperlink"/>
                        <w:rFonts w:ascii="Arial Narrow" w:hAnsi="Arial Narrow"/>
                        <w:sz w:val="16"/>
                        <w:szCs w:val="16"/>
                      </w:rPr>
                      <w:fldChar w:fldCharType="end"/>
                    </w:r>
                    <w:hyperlink r:id="rId4" w:history="1">
                      <w:r w:rsidR="00A40BF5" w:rsidRPr="00A40BF5" w:rsidDel="00F367DB">
                        <w:rPr>
                          <w:rStyle w:val="Hyperlink"/>
                          <w:rFonts w:ascii="Arial Narrow" w:hAnsi="Arial Narrow"/>
                          <w:sz w:val="16"/>
                          <w:szCs w:val="16"/>
                        </w:rPr>
                        <w:t>Information@medicalschemes.</w:t>
                      </w:r>
                      <w:r w:rsidR="00F367DB" w:rsidRPr="00A40BF5">
                        <w:rPr>
                          <w:rStyle w:val="Hyperlink"/>
                          <w:rFonts w:ascii="Arial Narrow" w:hAnsi="Arial Narrow"/>
                          <w:sz w:val="16"/>
                          <w:szCs w:val="16"/>
                        </w:rPr>
                        <w:t>co</w:t>
                      </w:r>
                      <w:r w:rsidR="00F367DB">
                        <w:rPr>
                          <w:rStyle w:val="Hyperlink"/>
                          <w:rFonts w:ascii="Arial Narrow" w:hAnsi="Arial Narrow"/>
                          <w:sz w:val="16"/>
                          <w:szCs w:val="16"/>
                        </w:rPr>
                        <w:t>.za</w:t>
                      </w:r>
                    </w:hyperlink>
                    <w:r w:rsidR="00F367DB" w:rsidRPr="007F50B4">
                      <w:rPr>
                        <w:u w:val="single"/>
                      </w:rPr>
                      <w:t xml:space="preserve">  </w:t>
                    </w:r>
                    <w:hyperlink r:id="rId5" w:history="1">
                      <w:r w:rsidR="00F367DB" w:rsidRPr="00A40BF5">
                        <w:rPr>
                          <w:rStyle w:val="Hyperlink"/>
                          <w:rFonts w:ascii="Arial Narrow" w:hAnsi="Arial Narrow"/>
                          <w:sz w:val="16"/>
                          <w:szCs w:val="16"/>
                        </w:rPr>
                        <w:t>www.medicalschemes.co</w:t>
                      </w:r>
                      <w:r w:rsidR="00F367DB">
                        <w:rPr>
                          <w:rStyle w:val="Hyperlink"/>
                          <w:rFonts w:ascii="Arial Narrow" w:hAnsi="Arial Narrow"/>
                          <w:sz w:val="16"/>
                          <w:szCs w:val="16"/>
                        </w:rPr>
                        <w:t>.za</w:t>
                      </w:r>
                    </w:hyperlink>
                  </w:p>
                  <w:p w14:paraId="12FCD785" w14:textId="77777777" w:rsidR="00A40BF5" w:rsidRPr="00A40BF5" w:rsidRDefault="00A40BF5" w:rsidP="00A40BF5">
                    <w:pPr>
                      <w:spacing w:after="0" w:line="240" w:lineRule="auto"/>
                      <w:jc w:val="center"/>
                      <w:rPr>
                        <w:rFonts w:ascii="Arial Narrow" w:hAnsi="Arial Narrow"/>
                        <w:sz w:val="14"/>
                        <w:szCs w:val="14"/>
                      </w:rPr>
                    </w:pPr>
                  </w:p>
                </w:txbxContent>
              </v:textbox>
              <w10:wrap anchorx="margin"/>
            </v:shape>
          </w:pict>
        </mc:Fallback>
      </mc:AlternateContent>
    </w:r>
    <w:r w:rsidR="00924BA9">
      <w:tab/>
    </w:r>
    <w:r w:rsidR="00924BA9">
      <w:tab/>
    </w:r>
    <w:r w:rsidR="00924BA9">
      <w:tab/>
    </w:r>
    <w:r w:rsidR="00924BA9">
      <w:tab/>
    </w:r>
    <w:r w:rsidR="00924BA9">
      <w:tab/>
    </w:r>
    <w:r w:rsidR="00924BA9">
      <w:tab/>
    </w:r>
    <w:r w:rsidR="00924BA9">
      <w:tab/>
    </w:r>
    <w:r w:rsidR="00924BA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4972" w14:textId="77777777" w:rsidR="00F11B93" w:rsidRDefault="00F11B93" w:rsidP="002F4C67">
      <w:pPr>
        <w:spacing w:after="0" w:line="240" w:lineRule="auto"/>
      </w:pPr>
      <w:r>
        <w:separator/>
      </w:r>
    </w:p>
  </w:footnote>
  <w:footnote w:type="continuationSeparator" w:id="0">
    <w:p w14:paraId="4E9EF59D" w14:textId="77777777" w:rsidR="00F11B93" w:rsidRDefault="00F11B93" w:rsidP="002F4C67">
      <w:pPr>
        <w:spacing w:after="0" w:line="240" w:lineRule="auto"/>
      </w:pPr>
      <w:r>
        <w:continuationSeparator/>
      </w:r>
    </w:p>
  </w:footnote>
  <w:footnote w:type="continuationNotice" w:id="1">
    <w:p w14:paraId="3DE1A538" w14:textId="77777777" w:rsidR="00F11B93" w:rsidRDefault="00F11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292C" w14:textId="77777777" w:rsidR="005C3F99" w:rsidRDefault="00AF4069" w:rsidP="009D3ECE">
    <w:pPr>
      <w:pStyle w:val="Header"/>
    </w:pPr>
    <w:r>
      <w:rPr>
        <w:noProof/>
        <w:lang w:val="en-GB" w:eastAsia="en-GB"/>
      </w:rPr>
      <w:drawing>
        <wp:anchor distT="0" distB="0" distL="114300" distR="114300" simplePos="0" relativeHeight="251658241" behindDoc="1" locked="0" layoutInCell="1" allowOverlap="1" wp14:anchorId="79AE18AB" wp14:editId="7D319679">
          <wp:simplePos x="0" y="0"/>
          <wp:positionH relativeFrom="column">
            <wp:posOffset>2575560</wp:posOffset>
          </wp:positionH>
          <wp:positionV relativeFrom="paragraph">
            <wp:posOffset>66675</wp:posOffset>
          </wp:positionV>
          <wp:extent cx="1079500" cy="1800225"/>
          <wp:effectExtent l="19050" t="0" r="6350" b="0"/>
          <wp:wrapNone/>
          <wp:docPr id="85878853" name="Picture 85878853" descr="C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S LOGO.jpg"/>
                  <pic:cNvPicPr>
                    <a:picLocks noChangeAspect="1" noChangeArrowheads="1"/>
                  </pic:cNvPicPr>
                </pic:nvPicPr>
                <pic:blipFill>
                  <a:blip r:embed="rId1"/>
                  <a:srcRect/>
                  <a:stretch>
                    <a:fillRect/>
                  </a:stretch>
                </pic:blipFill>
                <pic:spPr bwMode="auto">
                  <a:xfrm>
                    <a:off x="0" y="0"/>
                    <a:ext cx="1079500" cy="1800225"/>
                  </a:xfrm>
                  <a:prstGeom prst="rect">
                    <a:avLst/>
                  </a:prstGeom>
                  <a:noFill/>
                  <a:ln w="9525">
                    <a:noFill/>
                    <a:miter lim="800000"/>
                    <a:headEnd/>
                    <a:tailEnd/>
                  </a:ln>
                </pic:spPr>
              </pic:pic>
            </a:graphicData>
          </a:graphic>
        </wp:anchor>
      </w:drawing>
    </w:r>
  </w:p>
  <w:p w14:paraId="07025C99" w14:textId="77777777" w:rsidR="005C3F99" w:rsidRDefault="005C3F99" w:rsidP="009D3ECE">
    <w:pPr>
      <w:pStyle w:val="Header"/>
    </w:pPr>
  </w:p>
  <w:p w14:paraId="00A7045F" w14:textId="77777777" w:rsidR="005C3F99" w:rsidRDefault="005C3F99" w:rsidP="009D3ECE">
    <w:pPr>
      <w:pStyle w:val="Header"/>
    </w:pPr>
  </w:p>
  <w:p w14:paraId="225F5920" w14:textId="77777777" w:rsidR="005C3F99" w:rsidRDefault="005C3F99" w:rsidP="009D3ECE">
    <w:pPr>
      <w:pStyle w:val="Header"/>
    </w:pPr>
  </w:p>
  <w:p w14:paraId="3EEAE556" w14:textId="77777777" w:rsidR="005C3F99" w:rsidRDefault="005C3F99" w:rsidP="009D3ECE">
    <w:pPr>
      <w:pStyle w:val="Header"/>
    </w:pPr>
  </w:p>
  <w:p w14:paraId="546CE8DF" w14:textId="77777777" w:rsidR="005C3F99" w:rsidRDefault="005C3F99" w:rsidP="009D3ECE">
    <w:pPr>
      <w:pStyle w:val="Header"/>
    </w:pPr>
  </w:p>
  <w:p w14:paraId="712EA640" w14:textId="77777777" w:rsidR="005C3F99" w:rsidRDefault="005C3F99" w:rsidP="009D3ECE">
    <w:pPr>
      <w:pStyle w:val="Header"/>
    </w:pPr>
  </w:p>
  <w:p w14:paraId="25ACCD07" w14:textId="77777777" w:rsidR="005C3F99" w:rsidRDefault="005C3F99" w:rsidP="009D3ECE">
    <w:pPr>
      <w:pStyle w:val="Header"/>
    </w:pPr>
  </w:p>
  <w:p w14:paraId="71424F0C" w14:textId="77777777" w:rsidR="005C3F99" w:rsidRDefault="005C3F99" w:rsidP="009D3ECE">
    <w:pPr>
      <w:pStyle w:val="Header"/>
    </w:pPr>
  </w:p>
  <w:p w14:paraId="17DF6078" w14:textId="77777777" w:rsidR="005C3F99" w:rsidRDefault="005C3F99" w:rsidP="009D3ECE">
    <w:pPr>
      <w:pStyle w:val="Header"/>
    </w:pPr>
  </w:p>
  <w:p w14:paraId="6F849EA7" w14:textId="77777777" w:rsidR="005C3F99" w:rsidRDefault="005C3F99" w:rsidP="009D3ECE">
    <w:pPr>
      <w:pStyle w:val="Header"/>
    </w:pPr>
  </w:p>
  <w:p w14:paraId="4DC75C50" w14:textId="77777777" w:rsidR="00A60B85" w:rsidRDefault="005C3F99" w:rsidP="005C3F99">
    <w:pPr>
      <w:pStyle w:val="Header"/>
      <w:tabs>
        <w:tab w:val="center" w:pos="3240"/>
      </w:tabs>
      <w:ind w:left="5387" w:right="-990" w:hanging="4667"/>
      <w:rPr>
        <w:rFonts w:ascii="Arial Narrow" w:hAnsi="Arial Narrow"/>
        <w:b/>
        <w:color w:val="009900"/>
        <w:sz w:val="24"/>
        <w:szCs w:val="24"/>
      </w:rPr>
    </w:pPr>
    <w:r>
      <w:rPr>
        <w:rFonts w:ascii="Arial Narrow" w:hAnsi="Arial Narrow"/>
        <w:b/>
        <w:color w:val="009900"/>
        <w:sz w:val="24"/>
        <w:szCs w:val="24"/>
      </w:rPr>
      <w:tab/>
    </w:r>
    <w:r>
      <w:rPr>
        <w:rFonts w:ascii="Arial Narrow" w:hAnsi="Arial Narrow"/>
        <w:b/>
        <w:color w:val="009900"/>
        <w:sz w:val="24"/>
        <w:szCs w:val="24"/>
      </w:rPr>
      <w:tab/>
      <w:t xml:space="preserve">        CIRCULAR</w:t>
    </w:r>
  </w:p>
  <w:p w14:paraId="742D3569" w14:textId="77777777" w:rsidR="005C3F99" w:rsidRPr="005C3F99" w:rsidRDefault="005C3F99" w:rsidP="005C3F99">
    <w:pPr>
      <w:pStyle w:val="Header"/>
      <w:tabs>
        <w:tab w:val="center" w:pos="3240"/>
      </w:tabs>
      <w:ind w:left="5387" w:right="-990" w:hanging="5387"/>
      <w:rPr>
        <w:rFonts w:ascii="Arial Narrow" w:hAnsi="Arial Narrow"/>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92F"/>
    <w:multiLevelType w:val="multilevel"/>
    <w:tmpl w:val="319463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E32EE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A584F"/>
    <w:multiLevelType w:val="hybridMultilevel"/>
    <w:tmpl w:val="FFFFFFFF"/>
    <w:lvl w:ilvl="0" w:tplc="C8DE662A">
      <w:start w:val="1"/>
      <w:numFmt w:val="bullet"/>
      <w:lvlText w:val="▫"/>
      <w:lvlJc w:val="left"/>
      <w:pPr>
        <w:ind w:left="720" w:hanging="360"/>
      </w:pPr>
      <w:rPr>
        <w:rFonts w:ascii="Courier New" w:hAnsi="Courier New" w:hint="default"/>
      </w:rPr>
    </w:lvl>
    <w:lvl w:ilvl="1" w:tplc="E98430AE">
      <w:start w:val="1"/>
      <w:numFmt w:val="bullet"/>
      <w:lvlText w:val="o"/>
      <w:lvlJc w:val="left"/>
      <w:pPr>
        <w:ind w:left="1440" w:hanging="360"/>
      </w:pPr>
      <w:rPr>
        <w:rFonts w:ascii="Courier New" w:hAnsi="Courier New" w:hint="default"/>
      </w:rPr>
    </w:lvl>
    <w:lvl w:ilvl="2" w:tplc="DB225AD8">
      <w:start w:val="1"/>
      <w:numFmt w:val="bullet"/>
      <w:lvlText w:val=""/>
      <w:lvlJc w:val="left"/>
      <w:pPr>
        <w:ind w:left="2160" w:hanging="360"/>
      </w:pPr>
      <w:rPr>
        <w:rFonts w:ascii="Wingdings" w:hAnsi="Wingdings" w:hint="default"/>
      </w:rPr>
    </w:lvl>
    <w:lvl w:ilvl="3" w:tplc="69BCBED2">
      <w:start w:val="1"/>
      <w:numFmt w:val="bullet"/>
      <w:lvlText w:val=""/>
      <w:lvlJc w:val="left"/>
      <w:pPr>
        <w:ind w:left="2880" w:hanging="360"/>
      </w:pPr>
      <w:rPr>
        <w:rFonts w:ascii="Symbol" w:hAnsi="Symbol" w:hint="default"/>
      </w:rPr>
    </w:lvl>
    <w:lvl w:ilvl="4" w:tplc="33D28E6A">
      <w:start w:val="1"/>
      <w:numFmt w:val="bullet"/>
      <w:lvlText w:val="o"/>
      <w:lvlJc w:val="left"/>
      <w:pPr>
        <w:ind w:left="3600" w:hanging="360"/>
      </w:pPr>
      <w:rPr>
        <w:rFonts w:ascii="Courier New" w:hAnsi="Courier New" w:hint="default"/>
      </w:rPr>
    </w:lvl>
    <w:lvl w:ilvl="5" w:tplc="E084B628">
      <w:start w:val="1"/>
      <w:numFmt w:val="bullet"/>
      <w:lvlText w:val=""/>
      <w:lvlJc w:val="left"/>
      <w:pPr>
        <w:ind w:left="4320" w:hanging="360"/>
      </w:pPr>
      <w:rPr>
        <w:rFonts w:ascii="Wingdings" w:hAnsi="Wingdings" w:hint="default"/>
      </w:rPr>
    </w:lvl>
    <w:lvl w:ilvl="6" w:tplc="C39E128A">
      <w:start w:val="1"/>
      <w:numFmt w:val="bullet"/>
      <w:lvlText w:val=""/>
      <w:lvlJc w:val="left"/>
      <w:pPr>
        <w:ind w:left="5040" w:hanging="360"/>
      </w:pPr>
      <w:rPr>
        <w:rFonts w:ascii="Symbol" w:hAnsi="Symbol" w:hint="default"/>
      </w:rPr>
    </w:lvl>
    <w:lvl w:ilvl="7" w:tplc="845433A8">
      <w:start w:val="1"/>
      <w:numFmt w:val="bullet"/>
      <w:lvlText w:val="o"/>
      <w:lvlJc w:val="left"/>
      <w:pPr>
        <w:ind w:left="5760" w:hanging="360"/>
      </w:pPr>
      <w:rPr>
        <w:rFonts w:ascii="Courier New" w:hAnsi="Courier New" w:hint="default"/>
      </w:rPr>
    </w:lvl>
    <w:lvl w:ilvl="8" w:tplc="1CC88648">
      <w:start w:val="1"/>
      <w:numFmt w:val="bullet"/>
      <w:lvlText w:val=""/>
      <w:lvlJc w:val="left"/>
      <w:pPr>
        <w:ind w:left="6480" w:hanging="360"/>
      </w:pPr>
      <w:rPr>
        <w:rFonts w:ascii="Wingdings" w:hAnsi="Wingdings" w:hint="default"/>
      </w:rPr>
    </w:lvl>
  </w:abstractNum>
  <w:abstractNum w:abstractNumId="3" w15:restartNumberingAfterBreak="0">
    <w:nsid w:val="20866702"/>
    <w:multiLevelType w:val="hybridMultilevel"/>
    <w:tmpl w:val="CD26C4AA"/>
    <w:lvl w:ilvl="0" w:tplc="68608B0C">
      <w:start w:val="8"/>
      <w:numFmt w:val="bullet"/>
      <w:lvlText w:val=""/>
      <w:lvlJc w:val="left"/>
      <w:pPr>
        <w:ind w:left="786" w:hanging="360"/>
      </w:pPr>
      <w:rPr>
        <w:rFonts w:ascii="Symbol" w:eastAsia="Calibri"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FED6306"/>
    <w:multiLevelType w:val="multilevel"/>
    <w:tmpl w:val="D6A066B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9DA0C9"/>
    <w:multiLevelType w:val="hybridMultilevel"/>
    <w:tmpl w:val="FFFFFFFF"/>
    <w:lvl w:ilvl="0" w:tplc="E800FFF0">
      <w:start w:val="1"/>
      <w:numFmt w:val="bullet"/>
      <w:lvlText w:val=""/>
      <w:lvlJc w:val="left"/>
      <w:pPr>
        <w:ind w:left="720" w:hanging="360"/>
      </w:pPr>
      <w:rPr>
        <w:rFonts w:ascii="Symbol" w:hAnsi="Symbol" w:hint="default"/>
      </w:rPr>
    </w:lvl>
    <w:lvl w:ilvl="1" w:tplc="6876F99A">
      <w:start w:val="1"/>
      <w:numFmt w:val="bullet"/>
      <w:lvlText w:val="o"/>
      <w:lvlJc w:val="left"/>
      <w:pPr>
        <w:ind w:left="1440" w:hanging="360"/>
      </w:pPr>
      <w:rPr>
        <w:rFonts w:ascii="Courier New" w:hAnsi="Courier New" w:hint="default"/>
      </w:rPr>
    </w:lvl>
    <w:lvl w:ilvl="2" w:tplc="54D4A20C">
      <w:start w:val="1"/>
      <w:numFmt w:val="bullet"/>
      <w:lvlText w:val=""/>
      <w:lvlJc w:val="left"/>
      <w:pPr>
        <w:ind w:left="2160" w:hanging="360"/>
      </w:pPr>
      <w:rPr>
        <w:rFonts w:ascii="Wingdings" w:hAnsi="Wingdings" w:hint="default"/>
      </w:rPr>
    </w:lvl>
    <w:lvl w:ilvl="3" w:tplc="36409E96">
      <w:start w:val="1"/>
      <w:numFmt w:val="bullet"/>
      <w:lvlText w:val=""/>
      <w:lvlJc w:val="left"/>
      <w:pPr>
        <w:ind w:left="2880" w:hanging="360"/>
      </w:pPr>
      <w:rPr>
        <w:rFonts w:ascii="Symbol" w:hAnsi="Symbol" w:hint="default"/>
      </w:rPr>
    </w:lvl>
    <w:lvl w:ilvl="4" w:tplc="7444E532">
      <w:start w:val="1"/>
      <w:numFmt w:val="bullet"/>
      <w:lvlText w:val="o"/>
      <w:lvlJc w:val="left"/>
      <w:pPr>
        <w:ind w:left="3600" w:hanging="360"/>
      </w:pPr>
      <w:rPr>
        <w:rFonts w:ascii="Courier New" w:hAnsi="Courier New" w:hint="default"/>
      </w:rPr>
    </w:lvl>
    <w:lvl w:ilvl="5" w:tplc="46BC28F6">
      <w:start w:val="1"/>
      <w:numFmt w:val="bullet"/>
      <w:lvlText w:val=""/>
      <w:lvlJc w:val="left"/>
      <w:pPr>
        <w:ind w:left="4320" w:hanging="360"/>
      </w:pPr>
      <w:rPr>
        <w:rFonts w:ascii="Wingdings" w:hAnsi="Wingdings" w:hint="default"/>
      </w:rPr>
    </w:lvl>
    <w:lvl w:ilvl="6" w:tplc="AD00758E">
      <w:start w:val="1"/>
      <w:numFmt w:val="bullet"/>
      <w:lvlText w:val=""/>
      <w:lvlJc w:val="left"/>
      <w:pPr>
        <w:ind w:left="5040" w:hanging="360"/>
      </w:pPr>
      <w:rPr>
        <w:rFonts w:ascii="Symbol" w:hAnsi="Symbol" w:hint="default"/>
      </w:rPr>
    </w:lvl>
    <w:lvl w:ilvl="7" w:tplc="3C084A82">
      <w:start w:val="1"/>
      <w:numFmt w:val="bullet"/>
      <w:lvlText w:val="o"/>
      <w:lvlJc w:val="left"/>
      <w:pPr>
        <w:ind w:left="5760" w:hanging="360"/>
      </w:pPr>
      <w:rPr>
        <w:rFonts w:ascii="Courier New" w:hAnsi="Courier New" w:hint="default"/>
      </w:rPr>
    </w:lvl>
    <w:lvl w:ilvl="8" w:tplc="DF30DB16">
      <w:start w:val="1"/>
      <w:numFmt w:val="bullet"/>
      <w:lvlText w:val=""/>
      <w:lvlJc w:val="left"/>
      <w:pPr>
        <w:ind w:left="6480" w:hanging="360"/>
      </w:pPr>
      <w:rPr>
        <w:rFonts w:ascii="Wingdings" w:hAnsi="Wingdings" w:hint="default"/>
      </w:rPr>
    </w:lvl>
  </w:abstractNum>
  <w:abstractNum w:abstractNumId="6" w15:restartNumberingAfterBreak="0">
    <w:nsid w:val="4E31738D"/>
    <w:multiLevelType w:val="hybridMultilevel"/>
    <w:tmpl w:val="62327A1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662A2717"/>
    <w:multiLevelType w:val="hybridMultilevel"/>
    <w:tmpl w:val="C2E8ED5A"/>
    <w:lvl w:ilvl="0" w:tplc="3F7623FC">
      <w:start w:val="1"/>
      <w:numFmt w:val="bullet"/>
      <w:lvlText w:val="•"/>
      <w:lvlJc w:val="left"/>
      <w:pPr>
        <w:tabs>
          <w:tab w:val="num" w:pos="720"/>
        </w:tabs>
        <w:ind w:left="720" w:hanging="360"/>
      </w:pPr>
      <w:rPr>
        <w:rFonts w:ascii="Arial" w:hAnsi="Arial" w:hint="default"/>
      </w:rPr>
    </w:lvl>
    <w:lvl w:ilvl="1" w:tplc="C842267C">
      <w:numFmt w:val="bullet"/>
      <w:lvlText w:val="•"/>
      <w:lvlJc w:val="left"/>
      <w:pPr>
        <w:tabs>
          <w:tab w:val="num" w:pos="1440"/>
        </w:tabs>
        <w:ind w:left="1440" w:hanging="360"/>
      </w:pPr>
      <w:rPr>
        <w:rFonts w:ascii="Arial" w:hAnsi="Arial" w:hint="default"/>
      </w:rPr>
    </w:lvl>
    <w:lvl w:ilvl="2" w:tplc="E77E57EC" w:tentative="1">
      <w:start w:val="1"/>
      <w:numFmt w:val="bullet"/>
      <w:lvlText w:val="•"/>
      <w:lvlJc w:val="left"/>
      <w:pPr>
        <w:tabs>
          <w:tab w:val="num" w:pos="2160"/>
        </w:tabs>
        <w:ind w:left="2160" w:hanging="360"/>
      </w:pPr>
      <w:rPr>
        <w:rFonts w:ascii="Arial" w:hAnsi="Arial" w:hint="default"/>
      </w:rPr>
    </w:lvl>
    <w:lvl w:ilvl="3" w:tplc="6BB8D2CA" w:tentative="1">
      <w:start w:val="1"/>
      <w:numFmt w:val="bullet"/>
      <w:lvlText w:val="•"/>
      <w:lvlJc w:val="left"/>
      <w:pPr>
        <w:tabs>
          <w:tab w:val="num" w:pos="2880"/>
        </w:tabs>
        <w:ind w:left="2880" w:hanging="360"/>
      </w:pPr>
      <w:rPr>
        <w:rFonts w:ascii="Arial" w:hAnsi="Arial" w:hint="default"/>
      </w:rPr>
    </w:lvl>
    <w:lvl w:ilvl="4" w:tplc="0FB6FF4E" w:tentative="1">
      <w:start w:val="1"/>
      <w:numFmt w:val="bullet"/>
      <w:lvlText w:val="•"/>
      <w:lvlJc w:val="left"/>
      <w:pPr>
        <w:tabs>
          <w:tab w:val="num" w:pos="3600"/>
        </w:tabs>
        <w:ind w:left="3600" w:hanging="360"/>
      </w:pPr>
      <w:rPr>
        <w:rFonts w:ascii="Arial" w:hAnsi="Arial" w:hint="default"/>
      </w:rPr>
    </w:lvl>
    <w:lvl w:ilvl="5" w:tplc="EEA61D24" w:tentative="1">
      <w:start w:val="1"/>
      <w:numFmt w:val="bullet"/>
      <w:lvlText w:val="•"/>
      <w:lvlJc w:val="left"/>
      <w:pPr>
        <w:tabs>
          <w:tab w:val="num" w:pos="4320"/>
        </w:tabs>
        <w:ind w:left="4320" w:hanging="360"/>
      </w:pPr>
      <w:rPr>
        <w:rFonts w:ascii="Arial" w:hAnsi="Arial" w:hint="default"/>
      </w:rPr>
    </w:lvl>
    <w:lvl w:ilvl="6" w:tplc="5148AB56" w:tentative="1">
      <w:start w:val="1"/>
      <w:numFmt w:val="bullet"/>
      <w:lvlText w:val="•"/>
      <w:lvlJc w:val="left"/>
      <w:pPr>
        <w:tabs>
          <w:tab w:val="num" w:pos="5040"/>
        </w:tabs>
        <w:ind w:left="5040" w:hanging="360"/>
      </w:pPr>
      <w:rPr>
        <w:rFonts w:ascii="Arial" w:hAnsi="Arial" w:hint="default"/>
      </w:rPr>
    </w:lvl>
    <w:lvl w:ilvl="7" w:tplc="AEE4FB98" w:tentative="1">
      <w:start w:val="1"/>
      <w:numFmt w:val="bullet"/>
      <w:lvlText w:val="•"/>
      <w:lvlJc w:val="left"/>
      <w:pPr>
        <w:tabs>
          <w:tab w:val="num" w:pos="5760"/>
        </w:tabs>
        <w:ind w:left="5760" w:hanging="360"/>
      </w:pPr>
      <w:rPr>
        <w:rFonts w:ascii="Arial" w:hAnsi="Arial" w:hint="default"/>
      </w:rPr>
    </w:lvl>
    <w:lvl w:ilvl="8" w:tplc="938835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4D4501"/>
    <w:multiLevelType w:val="hybridMultilevel"/>
    <w:tmpl w:val="F4700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60CC3"/>
    <w:multiLevelType w:val="multilevel"/>
    <w:tmpl w:val="B3D0BC6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262713">
    <w:abstractNumId w:val="9"/>
  </w:num>
  <w:num w:numId="2" w16cid:durableId="699553053">
    <w:abstractNumId w:val="8"/>
  </w:num>
  <w:num w:numId="3" w16cid:durableId="198318135">
    <w:abstractNumId w:val="1"/>
  </w:num>
  <w:num w:numId="4" w16cid:durableId="1349676299">
    <w:abstractNumId w:val="0"/>
  </w:num>
  <w:num w:numId="5" w16cid:durableId="954218837">
    <w:abstractNumId w:val="5"/>
  </w:num>
  <w:num w:numId="6" w16cid:durableId="793015127">
    <w:abstractNumId w:val="2"/>
  </w:num>
  <w:num w:numId="7" w16cid:durableId="594871952">
    <w:abstractNumId w:val="4"/>
  </w:num>
  <w:num w:numId="8" w16cid:durableId="1643657224">
    <w:abstractNumId w:val="6"/>
  </w:num>
  <w:num w:numId="9" w16cid:durableId="2139951801">
    <w:abstractNumId w:val="7"/>
  </w:num>
  <w:num w:numId="10" w16cid:durableId="1663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9B"/>
    <w:rsid w:val="00000649"/>
    <w:rsid w:val="00000759"/>
    <w:rsid w:val="00000D1D"/>
    <w:rsid w:val="0000119F"/>
    <w:rsid w:val="0000260E"/>
    <w:rsid w:val="000026F0"/>
    <w:rsid w:val="00002BBF"/>
    <w:rsid w:val="00002F73"/>
    <w:rsid w:val="00003054"/>
    <w:rsid w:val="000030D0"/>
    <w:rsid w:val="000036B1"/>
    <w:rsid w:val="00003A85"/>
    <w:rsid w:val="0000401B"/>
    <w:rsid w:val="000061D1"/>
    <w:rsid w:val="00006CA9"/>
    <w:rsid w:val="00006D91"/>
    <w:rsid w:val="0000720C"/>
    <w:rsid w:val="00010467"/>
    <w:rsid w:val="000113BB"/>
    <w:rsid w:val="00013CDA"/>
    <w:rsid w:val="0001411D"/>
    <w:rsid w:val="00014478"/>
    <w:rsid w:val="000152CE"/>
    <w:rsid w:val="00016B31"/>
    <w:rsid w:val="00016CF0"/>
    <w:rsid w:val="00017013"/>
    <w:rsid w:val="00017886"/>
    <w:rsid w:val="000208E6"/>
    <w:rsid w:val="00021299"/>
    <w:rsid w:val="00021313"/>
    <w:rsid w:val="00021318"/>
    <w:rsid w:val="00022E61"/>
    <w:rsid w:val="000233CE"/>
    <w:rsid w:val="00023BA3"/>
    <w:rsid w:val="00025236"/>
    <w:rsid w:val="0002535F"/>
    <w:rsid w:val="0002599C"/>
    <w:rsid w:val="00030448"/>
    <w:rsid w:val="00030E5B"/>
    <w:rsid w:val="0003284A"/>
    <w:rsid w:val="00033D15"/>
    <w:rsid w:val="00033F0D"/>
    <w:rsid w:val="00034013"/>
    <w:rsid w:val="00034678"/>
    <w:rsid w:val="0003479D"/>
    <w:rsid w:val="0003487C"/>
    <w:rsid w:val="00034B30"/>
    <w:rsid w:val="00034D68"/>
    <w:rsid w:val="00035854"/>
    <w:rsid w:val="00035CBF"/>
    <w:rsid w:val="00036282"/>
    <w:rsid w:val="000363D0"/>
    <w:rsid w:val="00036E74"/>
    <w:rsid w:val="00037B2E"/>
    <w:rsid w:val="00037F2E"/>
    <w:rsid w:val="000415BB"/>
    <w:rsid w:val="00041796"/>
    <w:rsid w:val="0004313E"/>
    <w:rsid w:val="0004385D"/>
    <w:rsid w:val="00044803"/>
    <w:rsid w:val="000459BD"/>
    <w:rsid w:val="0004757D"/>
    <w:rsid w:val="00051DB8"/>
    <w:rsid w:val="00053500"/>
    <w:rsid w:val="000539D9"/>
    <w:rsid w:val="00053F9D"/>
    <w:rsid w:val="00054104"/>
    <w:rsid w:val="00054D15"/>
    <w:rsid w:val="000551DA"/>
    <w:rsid w:val="000551F6"/>
    <w:rsid w:val="0005584F"/>
    <w:rsid w:val="00055C01"/>
    <w:rsid w:val="00055DA1"/>
    <w:rsid w:val="00056009"/>
    <w:rsid w:val="00056655"/>
    <w:rsid w:val="000567E8"/>
    <w:rsid w:val="00056E26"/>
    <w:rsid w:val="000572F0"/>
    <w:rsid w:val="0005797D"/>
    <w:rsid w:val="0006024E"/>
    <w:rsid w:val="00060742"/>
    <w:rsid w:val="00060A33"/>
    <w:rsid w:val="00060F06"/>
    <w:rsid w:val="0006209F"/>
    <w:rsid w:val="00063CDA"/>
    <w:rsid w:val="0006451A"/>
    <w:rsid w:val="0006494E"/>
    <w:rsid w:val="000663CD"/>
    <w:rsid w:val="00066B5A"/>
    <w:rsid w:val="0007009E"/>
    <w:rsid w:val="00071083"/>
    <w:rsid w:val="000712E9"/>
    <w:rsid w:val="00072AED"/>
    <w:rsid w:val="00073194"/>
    <w:rsid w:val="0007350B"/>
    <w:rsid w:val="00075238"/>
    <w:rsid w:val="00075B54"/>
    <w:rsid w:val="00076B46"/>
    <w:rsid w:val="00080550"/>
    <w:rsid w:val="000808AA"/>
    <w:rsid w:val="0008101E"/>
    <w:rsid w:val="00081D64"/>
    <w:rsid w:val="000825BA"/>
    <w:rsid w:val="000837F0"/>
    <w:rsid w:val="00083BA9"/>
    <w:rsid w:val="00085421"/>
    <w:rsid w:val="00085ED4"/>
    <w:rsid w:val="0008622C"/>
    <w:rsid w:val="000867A7"/>
    <w:rsid w:val="000903DF"/>
    <w:rsid w:val="00090626"/>
    <w:rsid w:val="00090687"/>
    <w:rsid w:val="00094166"/>
    <w:rsid w:val="0009514B"/>
    <w:rsid w:val="000959F6"/>
    <w:rsid w:val="00095DA3"/>
    <w:rsid w:val="00095FEE"/>
    <w:rsid w:val="0009727D"/>
    <w:rsid w:val="0009797E"/>
    <w:rsid w:val="00097BAA"/>
    <w:rsid w:val="000A29DB"/>
    <w:rsid w:val="000A2C52"/>
    <w:rsid w:val="000A3ABE"/>
    <w:rsid w:val="000A3E2B"/>
    <w:rsid w:val="000A57E9"/>
    <w:rsid w:val="000A5D9F"/>
    <w:rsid w:val="000A6865"/>
    <w:rsid w:val="000A6F70"/>
    <w:rsid w:val="000A716F"/>
    <w:rsid w:val="000B08C1"/>
    <w:rsid w:val="000B0FDB"/>
    <w:rsid w:val="000B1192"/>
    <w:rsid w:val="000B15EB"/>
    <w:rsid w:val="000B1974"/>
    <w:rsid w:val="000B2165"/>
    <w:rsid w:val="000B21A7"/>
    <w:rsid w:val="000B315E"/>
    <w:rsid w:val="000B3487"/>
    <w:rsid w:val="000B3995"/>
    <w:rsid w:val="000B448A"/>
    <w:rsid w:val="000B5408"/>
    <w:rsid w:val="000B5D83"/>
    <w:rsid w:val="000B62F1"/>
    <w:rsid w:val="000C014F"/>
    <w:rsid w:val="000C083D"/>
    <w:rsid w:val="000C0B9F"/>
    <w:rsid w:val="000C1A5A"/>
    <w:rsid w:val="000C1B42"/>
    <w:rsid w:val="000C2FBF"/>
    <w:rsid w:val="000C33BD"/>
    <w:rsid w:val="000C3E6B"/>
    <w:rsid w:val="000C538A"/>
    <w:rsid w:val="000C53D6"/>
    <w:rsid w:val="000C5E2E"/>
    <w:rsid w:val="000C66A3"/>
    <w:rsid w:val="000C683F"/>
    <w:rsid w:val="000C6EF1"/>
    <w:rsid w:val="000C734A"/>
    <w:rsid w:val="000D05B4"/>
    <w:rsid w:val="000D05F6"/>
    <w:rsid w:val="000D0A5B"/>
    <w:rsid w:val="000D0CF0"/>
    <w:rsid w:val="000D1BF0"/>
    <w:rsid w:val="000D1FE6"/>
    <w:rsid w:val="000D2425"/>
    <w:rsid w:val="000D2689"/>
    <w:rsid w:val="000D291B"/>
    <w:rsid w:val="000D2CB7"/>
    <w:rsid w:val="000D30CC"/>
    <w:rsid w:val="000D3938"/>
    <w:rsid w:val="000D499F"/>
    <w:rsid w:val="000D4A40"/>
    <w:rsid w:val="000D6F71"/>
    <w:rsid w:val="000E06A0"/>
    <w:rsid w:val="000E14A7"/>
    <w:rsid w:val="000E19DE"/>
    <w:rsid w:val="000E1C2F"/>
    <w:rsid w:val="000E31A8"/>
    <w:rsid w:val="000E359F"/>
    <w:rsid w:val="000E3CEC"/>
    <w:rsid w:val="000E4F02"/>
    <w:rsid w:val="000E50BE"/>
    <w:rsid w:val="000E6E53"/>
    <w:rsid w:val="000F0056"/>
    <w:rsid w:val="000F01E3"/>
    <w:rsid w:val="000F0757"/>
    <w:rsid w:val="000F0FD2"/>
    <w:rsid w:val="000F10E9"/>
    <w:rsid w:val="000F188C"/>
    <w:rsid w:val="000F19A1"/>
    <w:rsid w:val="000F2EC8"/>
    <w:rsid w:val="000F3768"/>
    <w:rsid w:val="000F4615"/>
    <w:rsid w:val="000F4831"/>
    <w:rsid w:val="000F54AB"/>
    <w:rsid w:val="000F56AF"/>
    <w:rsid w:val="000F5B54"/>
    <w:rsid w:val="000F6617"/>
    <w:rsid w:val="000F685A"/>
    <w:rsid w:val="000F6AE9"/>
    <w:rsid w:val="000F792E"/>
    <w:rsid w:val="000F7E87"/>
    <w:rsid w:val="00100010"/>
    <w:rsid w:val="00100034"/>
    <w:rsid w:val="00100A7B"/>
    <w:rsid w:val="00101318"/>
    <w:rsid w:val="00101CAF"/>
    <w:rsid w:val="00102DC1"/>
    <w:rsid w:val="0010416B"/>
    <w:rsid w:val="0010437F"/>
    <w:rsid w:val="00104791"/>
    <w:rsid w:val="00104B11"/>
    <w:rsid w:val="00104D7E"/>
    <w:rsid w:val="001053CE"/>
    <w:rsid w:val="0010593D"/>
    <w:rsid w:val="0010744F"/>
    <w:rsid w:val="00107E6D"/>
    <w:rsid w:val="00110AD4"/>
    <w:rsid w:val="00110B89"/>
    <w:rsid w:val="0011181F"/>
    <w:rsid w:val="001118BD"/>
    <w:rsid w:val="00112E8F"/>
    <w:rsid w:val="0011381F"/>
    <w:rsid w:val="00113F6E"/>
    <w:rsid w:val="001140D5"/>
    <w:rsid w:val="00114432"/>
    <w:rsid w:val="00115043"/>
    <w:rsid w:val="00115135"/>
    <w:rsid w:val="00116631"/>
    <w:rsid w:val="00116644"/>
    <w:rsid w:val="00117F53"/>
    <w:rsid w:val="001204F7"/>
    <w:rsid w:val="0012053C"/>
    <w:rsid w:val="00120FD7"/>
    <w:rsid w:val="00121785"/>
    <w:rsid w:val="00121826"/>
    <w:rsid w:val="00121A00"/>
    <w:rsid w:val="00124D51"/>
    <w:rsid w:val="00124FE4"/>
    <w:rsid w:val="001266B0"/>
    <w:rsid w:val="001302E7"/>
    <w:rsid w:val="00130661"/>
    <w:rsid w:val="00130E78"/>
    <w:rsid w:val="00131EA4"/>
    <w:rsid w:val="00132104"/>
    <w:rsid w:val="00132BCB"/>
    <w:rsid w:val="00133647"/>
    <w:rsid w:val="00134311"/>
    <w:rsid w:val="00134505"/>
    <w:rsid w:val="00134DCE"/>
    <w:rsid w:val="0013516E"/>
    <w:rsid w:val="00135777"/>
    <w:rsid w:val="00135D12"/>
    <w:rsid w:val="00136D17"/>
    <w:rsid w:val="00137BD4"/>
    <w:rsid w:val="00137D5E"/>
    <w:rsid w:val="001405AF"/>
    <w:rsid w:val="00140894"/>
    <w:rsid w:val="001408C1"/>
    <w:rsid w:val="00141C79"/>
    <w:rsid w:val="001422F2"/>
    <w:rsid w:val="00142B60"/>
    <w:rsid w:val="00144F2F"/>
    <w:rsid w:val="00145098"/>
    <w:rsid w:val="0014546A"/>
    <w:rsid w:val="00146588"/>
    <w:rsid w:val="00146A00"/>
    <w:rsid w:val="00147014"/>
    <w:rsid w:val="00147BCE"/>
    <w:rsid w:val="00150967"/>
    <w:rsid w:val="00150C87"/>
    <w:rsid w:val="0015116F"/>
    <w:rsid w:val="00151C7A"/>
    <w:rsid w:val="00152847"/>
    <w:rsid w:val="001534C4"/>
    <w:rsid w:val="0015371D"/>
    <w:rsid w:val="00153F6F"/>
    <w:rsid w:val="00154643"/>
    <w:rsid w:val="001560C1"/>
    <w:rsid w:val="001569A2"/>
    <w:rsid w:val="00157003"/>
    <w:rsid w:val="00157ABB"/>
    <w:rsid w:val="00160588"/>
    <w:rsid w:val="00160963"/>
    <w:rsid w:val="0016156C"/>
    <w:rsid w:val="00161803"/>
    <w:rsid w:val="00161ED6"/>
    <w:rsid w:val="0016204A"/>
    <w:rsid w:val="00162DA2"/>
    <w:rsid w:val="00162FC3"/>
    <w:rsid w:val="00163272"/>
    <w:rsid w:val="001636A5"/>
    <w:rsid w:val="00163E35"/>
    <w:rsid w:val="001658EB"/>
    <w:rsid w:val="00166399"/>
    <w:rsid w:val="00166F9D"/>
    <w:rsid w:val="001702F4"/>
    <w:rsid w:val="00170B75"/>
    <w:rsid w:val="00171593"/>
    <w:rsid w:val="00171C8D"/>
    <w:rsid w:val="00171D1F"/>
    <w:rsid w:val="00171E2E"/>
    <w:rsid w:val="00172190"/>
    <w:rsid w:val="001722AE"/>
    <w:rsid w:val="0017257C"/>
    <w:rsid w:val="001733A2"/>
    <w:rsid w:val="00173414"/>
    <w:rsid w:val="00173733"/>
    <w:rsid w:val="001747F9"/>
    <w:rsid w:val="00174969"/>
    <w:rsid w:val="00175044"/>
    <w:rsid w:val="00175072"/>
    <w:rsid w:val="0018017F"/>
    <w:rsid w:val="00180544"/>
    <w:rsid w:val="00180ABF"/>
    <w:rsid w:val="00180FD6"/>
    <w:rsid w:val="0018123E"/>
    <w:rsid w:val="00181F7D"/>
    <w:rsid w:val="00183689"/>
    <w:rsid w:val="001842ED"/>
    <w:rsid w:val="00184C0A"/>
    <w:rsid w:val="001855BF"/>
    <w:rsid w:val="0018652F"/>
    <w:rsid w:val="00186A35"/>
    <w:rsid w:val="00186E2E"/>
    <w:rsid w:val="00187375"/>
    <w:rsid w:val="001876A0"/>
    <w:rsid w:val="00187F20"/>
    <w:rsid w:val="00187F87"/>
    <w:rsid w:val="00190291"/>
    <w:rsid w:val="00191424"/>
    <w:rsid w:val="001918B7"/>
    <w:rsid w:val="00191D77"/>
    <w:rsid w:val="00191EF3"/>
    <w:rsid w:val="00192668"/>
    <w:rsid w:val="0019310B"/>
    <w:rsid w:val="00193412"/>
    <w:rsid w:val="00193486"/>
    <w:rsid w:val="00193704"/>
    <w:rsid w:val="0019414A"/>
    <w:rsid w:val="001946BB"/>
    <w:rsid w:val="0019471D"/>
    <w:rsid w:val="00194B4B"/>
    <w:rsid w:val="00195085"/>
    <w:rsid w:val="00196E05"/>
    <w:rsid w:val="00197883"/>
    <w:rsid w:val="001A1CD3"/>
    <w:rsid w:val="001A1EC3"/>
    <w:rsid w:val="001A293D"/>
    <w:rsid w:val="001A29CA"/>
    <w:rsid w:val="001A31E9"/>
    <w:rsid w:val="001A33B9"/>
    <w:rsid w:val="001A5153"/>
    <w:rsid w:val="001A5E90"/>
    <w:rsid w:val="001A64F6"/>
    <w:rsid w:val="001A668E"/>
    <w:rsid w:val="001A6F23"/>
    <w:rsid w:val="001A7FC4"/>
    <w:rsid w:val="001B48C4"/>
    <w:rsid w:val="001B505F"/>
    <w:rsid w:val="001B5E71"/>
    <w:rsid w:val="001B699D"/>
    <w:rsid w:val="001C0148"/>
    <w:rsid w:val="001C0468"/>
    <w:rsid w:val="001C1030"/>
    <w:rsid w:val="001C323F"/>
    <w:rsid w:val="001C3C83"/>
    <w:rsid w:val="001C482B"/>
    <w:rsid w:val="001C5E69"/>
    <w:rsid w:val="001C5F84"/>
    <w:rsid w:val="001C61E7"/>
    <w:rsid w:val="001C655A"/>
    <w:rsid w:val="001C6671"/>
    <w:rsid w:val="001C6A77"/>
    <w:rsid w:val="001D05C4"/>
    <w:rsid w:val="001D111D"/>
    <w:rsid w:val="001D277E"/>
    <w:rsid w:val="001D2AB2"/>
    <w:rsid w:val="001D2F2C"/>
    <w:rsid w:val="001D33B4"/>
    <w:rsid w:val="001D3DDA"/>
    <w:rsid w:val="001D3DEE"/>
    <w:rsid w:val="001D41B5"/>
    <w:rsid w:val="001D4983"/>
    <w:rsid w:val="001D4A05"/>
    <w:rsid w:val="001D502D"/>
    <w:rsid w:val="001D5811"/>
    <w:rsid w:val="001D61F6"/>
    <w:rsid w:val="001D6B8B"/>
    <w:rsid w:val="001D6CF7"/>
    <w:rsid w:val="001D6D59"/>
    <w:rsid w:val="001D6DDE"/>
    <w:rsid w:val="001D7216"/>
    <w:rsid w:val="001D7835"/>
    <w:rsid w:val="001D7AD9"/>
    <w:rsid w:val="001E0398"/>
    <w:rsid w:val="001E0750"/>
    <w:rsid w:val="001E0788"/>
    <w:rsid w:val="001E0A83"/>
    <w:rsid w:val="001E13B4"/>
    <w:rsid w:val="001E1E88"/>
    <w:rsid w:val="001E31B9"/>
    <w:rsid w:val="001E371A"/>
    <w:rsid w:val="001E3F10"/>
    <w:rsid w:val="001E547B"/>
    <w:rsid w:val="001E5C63"/>
    <w:rsid w:val="001E639A"/>
    <w:rsid w:val="001E6A1C"/>
    <w:rsid w:val="001E7E1B"/>
    <w:rsid w:val="001F030F"/>
    <w:rsid w:val="001F1360"/>
    <w:rsid w:val="001F1A34"/>
    <w:rsid w:val="001F2A1C"/>
    <w:rsid w:val="001F420D"/>
    <w:rsid w:val="001F43EF"/>
    <w:rsid w:val="001F4C46"/>
    <w:rsid w:val="001F558D"/>
    <w:rsid w:val="001F6084"/>
    <w:rsid w:val="001F62F6"/>
    <w:rsid w:val="001F67F5"/>
    <w:rsid w:val="001F6CC2"/>
    <w:rsid w:val="002009B9"/>
    <w:rsid w:val="002009C8"/>
    <w:rsid w:val="00200CDB"/>
    <w:rsid w:val="00200D5D"/>
    <w:rsid w:val="00200FFB"/>
    <w:rsid w:val="00201239"/>
    <w:rsid w:val="002021D1"/>
    <w:rsid w:val="002029E1"/>
    <w:rsid w:val="00202B82"/>
    <w:rsid w:val="00203895"/>
    <w:rsid w:val="002045B0"/>
    <w:rsid w:val="00204764"/>
    <w:rsid w:val="0020596B"/>
    <w:rsid w:val="002073BC"/>
    <w:rsid w:val="002076EA"/>
    <w:rsid w:val="0021096C"/>
    <w:rsid w:val="00211523"/>
    <w:rsid w:val="0021162E"/>
    <w:rsid w:val="00211A69"/>
    <w:rsid w:val="00211EC8"/>
    <w:rsid w:val="00212133"/>
    <w:rsid w:val="00212193"/>
    <w:rsid w:val="00212700"/>
    <w:rsid w:val="00212A18"/>
    <w:rsid w:val="00213446"/>
    <w:rsid w:val="00214C8F"/>
    <w:rsid w:val="0021696E"/>
    <w:rsid w:val="00216BDE"/>
    <w:rsid w:val="00217207"/>
    <w:rsid w:val="002173E7"/>
    <w:rsid w:val="002205A0"/>
    <w:rsid w:val="002209B8"/>
    <w:rsid w:val="002216A7"/>
    <w:rsid w:val="00225019"/>
    <w:rsid w:val="00225D68"/>
    <w:rsid w:val="00226019"/>
    <w:rsid w:val="00226C28"/>
    <w:rsid w:val="00230CD4"/>
    <w:rsid w:val="00231197"/>
    <w:rsid w:val="002316DE"/>
    <w:rsid w:val="002318A2"/>
    <w:rsid w:val="0023234C"/>
    <w:rsid w:val="00232CE6"/>
    <w:rsid w:val="00233B20"/>
    <w:rsid w:val="00234784"/>
    <w:rsid w:val="00234A41"/>
    <w:rsid w:val="00234BC2"/>
    <w:rsid w:val="00234D91"/>
    <w:rsid w:val="00235FDE"/>
    <w:rsid w:val="0023642D"/>
    <w:rsid w:val="00236821"/>
    <w:rsid w:val="0023684D"/>
    <w:rsid w:val="00236EFC"/>
    <w:rsid w:val="00237DA3"/>
    <w:rsid w:val="00237E6B"/>
    <w:rsid w:val="00240C11"/>
    <w:rsid w:val="00241D9B"/>
    <w:rsid w:val="002429B8"/>
    <w:rsid w:val="00242DCE"/>
    <w:rsid w:val="00243576"/>
    <w:rsid w:val="002439A7"/>
    <w:rsid w:val="00243DA6"/>
    <w:rsid w:val="00243E61"/>
    <w:rsid w:val="0024427A"/>
    <w:rsid w:val="00244538"/>
    <w:rsid w:val="00244FA0"/>
    <w:rsid w:val="002452AB"/>
    <w:rsid w:val="002461A2"/>
    <w:rsid w:val="002471F1"/>
    <w:rsid w:val="0024747C"/>
    <w:rsid w:val="00251300"/>
    <w:rsid w:val="00251340"/>
    <w:rsid w:val="002515EB"/>
    <w:rsid w:val="0025179D"/>
    <w:rsid w:val="00254103"/>
    <w:rsid w:val="00256619"/>
    <w:rsid w:val="00256A56"/>
    <w:rsid w:val="00256F7C"/>
    <w:rsid w:val="00257CD4"/>
    <w:rsid w:val="00260F8A"/>
    <w:rsid w:val="00261DBA"/>
    <w:rsid w:val="00262186"/>
    <w:rsid w:val="00262A55"/>
    <w:rsid w:val="0026355C"/>
    <w:rsid w:val="00263C12"/>
    <w:rsid w:val="002647AF"/>
    <w:rsid w:val="00264D0E"/>
    <w:rsid w:val="00264D75"/>
    <w:rsid w:val="00264FEE"/>
    <w:rsid w:val="00265065"/>
    <w:rsid w:val="00265598"/>
    <w:rsid w:val="00265786"/>
    <w:rsid w:val="00265AE5"/>
    <w:rsid w:val="00266808"/>
    <w:rsid w:val="002668D4"/>
    <w:rsid w:val="002669CE"/>
    <w:rsid w:val="002673CA"/>
    <w:rsid w:val="00267F95"/>
    <w:rsid w:val="002708AA"/>
    <w:rsid w:val="00270E7C"/>
    <w:rsid w:val="0027256A"/>
    <w:rsid w:val="002728A4"/>
    <w:rsid w:val="00272A3E"/>
    <w:rsid w:val="002731E1"/>
    <w:rsid w:val="00273B39"/>
    <w:rsid w:val="00273CE6"/>
    <w:rsid w:val="00273ECC"/>
    <w:rsid w:val="00274821"/>
    <w:rsid w:val="00274F10"/>
    <w:rsid w:val="00274FA1"/>
    <w:rsid w:val="002750BE"/>
    <w:rsid w:val="00275826"/>
    <w:rsid w:val="002759E0"/>
    <w:rsid w:val="00275C9C"/>
    <w:rsid w:val="002768DD"/>
    <w:rsid w:val="00277015"/>
    <w:rsid w:val="00277B9F"/>
    <w:rsid w:val="002805BF"/>
    <w:rsid w:val="0028148B"/>
    <w:rsid w:val="00281B58"/>
    <w:rsid w:val="00281F14"/>
    <w:rsid w:val="00283582"/>
    <w:rsid w:val="00284B43"/>
    <w:rsid w:val="00284CF1"/>
    <w:rsid w:val="002852EC"/>
    <w:rsid w:val="002869E4"/>
    <w:rsid w:val="00286CDE"/>
    <w:rsid w:val="00286E65"/>
    <w:rsid w:val="00287929"/>
    <w:rsid w:val="00287E6B"/>
    <w:rsid w:val="00290375"/>
    <w:rsid w:val="002904EF"/>
    <w:rsid w:val="002909DC"/>
    <w:rsid w:val="00290B1E"/>
    <w:rsid w:val="00290C5A"/>
    <w:rsid w:val="00291186"/>
    <w:rsid w:val="00292B1A"/>
    <w:rsid w:val="00292CC3"/>
    <w:rsid w:val="002937B5"/>
    <w:rsid w:val="00295773"/>
    <w:rsid w:val="00295E66"/>
    <w:rsid w:val="0029600E"/>
    <w:rsid w:val="00296387"/>
    <w:rsid w:val="002A0755"/>
    <w:rsid w:val="002A0F2F"/>
    <w:rsid w:val="002A2390"/>
    <w:rsid w:val="002A4318"/>
    <w:rsid w:val="002A43B8"/>
    <w:rsid w:val="002A5339"/>
    <w:rsid w:val="002A5640"/>
    <w:rsid w:val="002A580A"/>
    <w:rsid w:val="002A5CB0"/>
    <w:rsid w:val="002A6C09"/>
    <w:rsid w:val="002A74FB"/>
    <w:rsid w:val="002A7F30"/>
    <w:rsid w:val="002B080E"/>
    <w:rsid w:val="002B08C2"/>
    <w:rsid w:val="002B0AC7"/>
    <w:rsid w:val="002B0E6C"/>
    <w:rsid w:val="002B24D2"/>
    <w:rsid w:val="002B2A27"/>
    <w:rsid w:val="002B2DCA"/>
    <w:rsid w:val="002B368D"/>
    <w:rsid w:val="002B3A76"/>
    <w:rsid w:val="002B46A2"/>
    <w:rsid w:val="002B48A9"/>
    <w:rsid w:val="002B4A23"/>
    <w:rsid w:val="002B513E"/>
    <w:rsid w:val="002B5C5B"/>
    <w:rsid w:val="002B66B2"/>
    <w:rsid w:val="002B6E20"/>
    <w:rsid w:val="002C0AB2"/>
    <w:rsid w:val="002C32B5"/>
    <w:rsid w:val="002C3BD2"/>
    <w:rsid w:val="002C433C"/>
    <w:rsid w:val="002C6C2E"/>
    <w:rsid w:val="002C7D1A"/>
    <w:rsid w:val="002D0855"/>
    <w:rsid w:val="002D08A9"/>
    <w:rsid w:val="002D14F8"/>
    <w:rsid w:val="002D19B9"/>
    <w:rsid w:val="002D28EB"/>
    <w:rsid w:val="002D38F8"/>
    <w:rsid w:val="002D3AD4"/>
    <w:rsid w:val="002D48A1"/>
    <w:rsid w:val="002D4D0A"/>
    <w:rsid w:val="002D5A44"/>
    <w:rsid w:val="002E0C9F"/>
    <w:rsid w:val="002E1161"/>
    <w:rsid w:val="002E1A68"/>
    <w:rsid w:val="002E2EAB"/>
    <w:rsid w:val="002E3EA6"/>
    <w:rsid w:val="002E512B"/>
    <w:rsid w:val="002E559D"/>
    <w:rsid w:val="002E597A"/>
    <w:rsid w:val="002E5BF7"/>
    <w:rsid w:val="002E64FA"/>
    <w:rsid w:val="002E73DC"/>
    <w:rsid w:val="002E7404"/>
    <w:rsid w:val="002F02C5"/>
    <w:rsid w:val="002F0580"/>
    <w:rsid w:val="002F0EE2"/>
    <w:rsid w:val="002F15D9"/>
    <w:rsid w:val="002F1C8D"/>
    <w:rsid w:val="002F22C0"/>
    <w:rsid w:val="002F2E2B"/>
    <w:rsid w:val="002F35AF"/>
    <w:rsid w:val="002F4C67"/>
    <w:rsid w:val="002F522A"/>
    <w:rsid w:val="002F71CB"/>
    <w:rsid w:val="002F7DF1"/>
    <w:rsid w:val="003005FC"/>
    <w:rsid w:val="003006D6"/>
    <w:rsid w:val="0030187E"/>
    <w:rsid w:val="00301E46"/>
    <w:rsid w:val="00302D76"/>
    <w:rsid w:val="00303C95"/>
    <w:rsid w:val="00305B7D"/>
    <w:rsid w:val="00306B63"/>
    <w:rsid w:val="00307327"/>
    <w:rsid w:val="0030734C"/>
    <w:rsid w:val="003124D1"/>
    <w:rsid w:val="00312A11"/>
    <w:rsid w:val="00312E88"/>
    <w:rsid w:val="0031352F"/>
    <w:rsid w:val="003137AA"/>
    <w:rsid w:val="00313B89"/>
    <w:rsid w:val="00315C34"/>
    <w:rsid w:val="0031629B"/>
    <w:rsid w:val="00316B3B"/>
    <w:rsid w:val="00320611"/>
    <w:rsid w:val="00321682"/>
    <w:rsid w:val="0032177B"/>
    <w:rsid w:val="00321DB1"/>
    <w:rsid w:val="0032248C"/>
    <w:rsid w:val="003228C8"/>
    <w:rsid w:val="00322AB3"/>
    <w:rsid w:val="00322B88"/>
    <w:rsid w:val="00323493"/>
    <w:rsid w:val="00324C8D"/>
    <w:rsid w:val="00326D1E"/>
    <w:rsid w:val="00327180"/>
    <w:rsid w:val="003275ED"/>
    <w:rsid w:val="003318C6"/>
    <w:rsid w:val="0033448A"/>
    <w:rsid w:val="00336255"/>
    <w:rsid w:val="00336E8C"/>
    <w:rsid w:val="00336EA6"/>
    <w:rsid w:val="003371E8"/>
    <w:rsid w:val="003375FE"/>
    <w:rsid w:val="00340C12"/>
    <w:rsid w:val="003419E0"/>
    <w:rsid w:val="00341EB0"/>
    <w:rsid w:val="0034233F"/>
    <w:rsid w:val="00342C1D"/>
    <w:rsid w:val="00344715"/>
    <w:rsid w:val="00344945"/>
    <w:rsid w:val="00344D0E"/>
    <w:rsid w:val="00345C5C"/>
    <w:rsid w:val="00346A98"/>
    <w:rsid w:val="00346CF2"/>
    <w:rsid w:val="0034719C"/>
    <w:rsid w:val="00347530"/>
    <w:rsid w:val="00347808"/>
    <w:rsid w:val="00347E24"/>
    <w:rsid w:val="00350247"/>
    <w:rsid w:val="003506C9"/>
    <w:rsid w:val="0035076D"/>
    <w:rsid w:val="00350CFC"/>
    <w:rsid w:val="00351578"/>
    <w:rsid w:val="0035231D"/>
    <w:rsid w:val="00352589"/>
    <w:rsid w:val="00353864"/>
    <w:rsid w:val="0035425F"/>
    <w:rsid w:val="00356002"/>
    <w:rsid w:val="00356088"/>
    <w:rsid w:val="003571E6"/>
    <w:rsid w:val="0035789A"/>
    <w:rsid w:val="00357CF8"/>
    <w:rsid w:val="00361388"/>
    <w:rsid w:val="003617D7"/>
    <w:rsid w:val="00361C92"/>
    <w:rsid w:val="00362544"/>
    <w:rsid w:val="00362AD9"/>
    <w:rsid w:val="003639CF"/>
    <w:rsid w:val="003645FA"/>
    <w:rsid w:val="003653FE"/>
    <w:rsid w:val="0036605D"/>
    <w:rsid w:val="003661C4"/>
    <w:rsid w:val="00366C4C"/>
    <w:rsid w:val="00367767"/>
    <w:rsid w:val="00367798"/>
    <w:rsid w:val="00367A68"/>
    <w:rsid w:val="0037008F"/>
    <w:rsid w:val="00370E36"/>
    <w:rsid w:val="0037150F"/>
    <w:rsid w:val="00371F68"/>
    <w:rsid w:val="0037291E"/>
    <w:rsid w:val="0037537B"/>
    <w:rsid w:val="00375B69"/>
    <w:rsid w:val="0037610C"/>
    <w:rsid w:val="00376285"/>
    <w:rsid w:val="00376B52"/>
    <w:rsid w:val="00377753"/>
    <w:rsid w:val="00377AE2"/>
    <w:rsid w:val="00380A36"/>
    <w:rsid w:val="003827B9"/>
    <w:rsid w:val="00382B40"/>
    <w:rsid w:val="00383EA5"/>
    <w:rsid w:val="00383FE3"/>
    <w:rsid w:val="00384BA2"/>
    <w:rsid w:val="00385151"/>
    <w:rsid w:val="00386537"/>
    <w:rsid w:val="00386737"/>
    <w:rsid w:val="003870CC"/>
    <w:rsid w:val="00387BFF"/>
    <w:rsid w:val="00387C82"/>
    <w:rsid w:val="00387EDD"/>
    <w:rsid w:val="00391072"/>
    <w:rsid w:val="00392480"/>
    <w:rsid w:val="00396ADD"/>
    <w:rsid w:val="003976D1"/>
    <w:rsid w:val="003A0274"/>
    <w:rsid w:val="003A1932"/>
    <w:rsid w:val="003A2D62"/>
    <w:rsid w:val="003A369E"/>
    <w:rsid w:val="003A4134"/>
    <w:rsid w:val="003A49F8"/>
    <w:rsid w:val="003A5101"/>
    <w:rsid w:val="003A679C"/>
    <w:rsid w:val="003A6A76"/>
    <w:rsid w:val="003A7051"/>
    <w:rsid w:val="003A7076"/>
    <w:rsid w:val="003A73F6"/>
    <w:rsid w:val="003A7BC0"/>
    <w:rsid w:val="003A7BCE"/>
    <w:rsid w:val="003B09D5"/>
    <w:rsid w:val="003B0B4A"/>
    <w:rsid w:val="003B0F6C"/>
    <w:rsid w:val="003B18A7"/>
    <w:rsid w:val="003B1D7A"/>
    <w:rsid w:val="003B30B3"/>
    <w:rsid w:val="003B581E"/>
    <w:rsid w:val="003B5CEE"/>
    <w:rsid w:val="003B6357"/>
    <w:rsid w:val="003B64F3"/>
    <w:rsid w:val="003B710C"/>
    <w:rsid w:val="003B73AF"/>
    <w:rsid w:val="003B7A99"/>
    <w:rsid w:val="003C0101"/>
    <w:rsid w:val="003C0AD2"/>
    <w:rsid w:val="003C194A"/>
    <w:rsid w:val="003C1980"/>
    <w:rsid w:val="003C1D73"/>
    <w:rsid w:val="003C1F91"/>
    <w:rsid w:val="003C33E4"/>
    <w:rsid w:val="003C44FB"/>
    <w:rsid w:val="003C69FA"/>
    <w:rsid w:val="003C6EB0"/>
    <w:rsid w:val="003C7D4D"/>
    <w:rsid w:val="003C7F31"/>
    <w:rsid w:val="003D0E1C"/>
    <w:rsid w:val="003D1570"/>
    <w:rsid w:val="003D17B3"/>
    <w:rsid w:val="003D189E"/>
    <w:rsid w:val="003D2215"/>
    <w:rsid w:val="003D26AE"/>
    <w:rsid w:val="003D2908"/>
    <w:rsid w:val="003D2918"/>
    <w:rsid w:val="003D296C"/>
    <w:rsid w:val="003D34C0"/>
    <w:rsid w:val="003D3750"/>
    <w:rsid w:val="003D39D6"/>
    <w:rsid w:val="003D439B"/>
    <w:rsid w:val="003D4C10"/>
    <w:rsid w:val="003D4DED"/>
    <w:rsid w:val="003D5335"/>
    <w:rsid w:val="003D6422"/>
    <w:rsid w:val="003D6AB0"/>
    <w:rsid w:val="003D7EBF"/>
    <w:rsid w:val="003E0923"/>
    <w:rsid w:val="003E098E"/>
    <w:rsid w:val="003E1960"/>
    <w:rsid w:val="003E2FFB"/>
    <w:rsid w:val="003E5048"/>
    <w:rsid w:val="003E657E"/>
    <w:rsid w:val="003E6C5C"/>
    <w:rsid w:val="003E710B"/>
    <w:rsid w:val="003E7D00"/>
    <w:rsid w:val="003F0FAA"/>
    <w:rsid w:val="003F1B92"/>
    <w:rsid w:val="003F3052"/>
    <w:rsid w:val="003F44DB"/>
    <w:rsid w:val="003F45FB"/>
    <w:rsid w:val="003F46E7"/>
    <w:rsid w:val="003F4FA6"/>
    <w:rsid w:val="003F5A89"/>
    <w:rsid w:val="003F5FE1"/>
    <w:rsid w:val="003F6FAB"/>
    <w:rsid w:val="003F7B37"/>
    <w:rsid w:val="00400F21"/>
    <w:rsid w:val="00401D41"/>
    <w:rsid w:val="0040286E"/>
    <w:rsid w:val="004029AF"/>
    <w:rsid w:val="00402A7A"/>
    <w:rsid w:val="00403CEA"/>
    <w:rsid w:val="00405E9C"/>
    <w:rsid w:val="00405EEF"/>
    <w:rsid w:val="00406949"/>
    <w:rsid w:val="00406E83"/>
    <w:rsid w:val="00407368"/>
    <w:rsid w:val="004077C6"/>
    <w:rsid w:val="0041070A"/>
    <w:rsid w:val="004109A9"/>
    <w:rsid w:val="004114C1"/>
    <w:rsid w:val="00411AFD"/>
    <w:rsid w:val="00411D2B"/>
    <w:rsid w:val="004120D5"/>
    <w:rsid w:val="00412576"/>
    <w:rsid w:val="00412AAD"/>
    <w:rsid w:val="0041304B"/>
    <w:rsid w:val="004131B1"/>
    <w:rsid w:val="004151D3"/>
    <w:rsid w:val="004154BC"/>
    <w:rsid w:val="0041624D"/>
    <w:rsid w:val="00416C61"/>
    <w:rsid w:val="0042092B"/>
    <w:rsid w:val="00420995"/>
    <w:rsid w:val="0042161B"/>
    <w:rsid w:val="00421B41"/>
    <w:rsid w:val="00421D3D"/>
    <w:rsid w:val="0042220C"/>
    <w:rsid w:val="00423110"/>
    <w:rsid w:val="00423497"/>
    <w:rsid w:val="00423672"/>
    <w:rsid w:val="004239CF"/>
    <w:rsid w:val="004242D2"/>
    <w:rsid w:val="004246D2"/>
    <w:rsid w:val="00424F6E"/>
    <w:rsid w:val="00425769"/>
    <w:rsid w:val="004263B3"/>
    <w:rsid w:val="00426B92"/>
    <w:rsid w:val="0042716B"/>
    <w:rsid w:val="00430AC8"/>
    <w:rsid w:val="00430C72"/>
    <w:rsid w:val="00431097"/>
    <w:rsid w:val="004325F1"/>
    <w:rsid w:val="00432810"/>
    <w:rsid w:val="0043305A"/>
    <w:rsid w:val="00433F42"/>
    <w:rsid w:val="004345A8"/>
    <w:rsid w:val="004349C5"/>
    <w:rsid w:val="00434F6E"/>
    <w:rsid w:val="004354ED"/>
    <w:rsid w:val="004357FF"/>
    <w:rsid w:val="00436165"/>
    <w:rsid w:val="00436C43"/>
    <w:rsid w:val="00437019"/>
    <w:rsid w:val="00437CF4"/>
    <w:rsid w:val="00437D15"/>
    <w:rsid w:val="00441A41"/>
    <w:rsid w:val="00442993"/>
    <w:rsid w:val="004436D3"/>
    <w:rsid w:val="00444A0C"/>
    <w:rsid w:val="004452D2"/>
    <w:rsid w:val="00446938"/>
    <w:rsid w:val="00447283"/>
    <w:rsid w:val="00447648"/>
    <w:rsid w:val="004508C6"/>
    <w:rsid w:val="00451009"/>
    <w:rsid w:val="004510CD"/>
    <w:rsid w:val="004514AA"/>
    <w:rsid w:val="00451866"/>
    <w:rsid w:val="00451F9B"/>
    <w:rsid w:val="004535F4"/>
    <w:rsid w:val="00454796"/>
    <w:rsid w:val="0045487D"/>
    <w:rsid w:val="00455ABF"/>
    <w:rsid w:val="00455BCE"/>
    <w:rsid w:val="0045678D"/>
    <w:rsid w:val="00460591"/>
    <w:rsid w:val="00460A1F"/>
    <w:rsid w:val="00461838"/>
    <w:rsid w:val="0046205A"/>
    <w:rsid w:val="00462411"/>
    <w:rsid w:val="00465397"/>
    <w:rsid w:val="004655DA"/>
    <w:rsid w:val="00470E2C"/>
    <w:rsid w:val="004715A7"/>
    <w:rsid w:val="00471A19"/>
    <w:rsid w:val="004729AE"/>
    <w:rsid w:val="00472B92"/>
    <w:rsid w:val="00473751"/>
    <w:rsid w:val="00473959"/>
    <w:rsid w:val="0047478F"/>
    <w:rsid w:val="00474E4D"/>
    <w:rsid w:val="00474E75"/>
    <w:rsid w:val="0047524D"/>
    <w:rsid w:val="00475BB5"/>
    <w:rsid w:val="00476DD3"/>
    <w:rsid w:val="00477A30"/>
    <w:rsid w:val="0048119C"/>
    <w:rsid w:val="004818F5"/>
    <w:rsid w:val="0048205D"/>
    <w:rsid w:val="004823E2"/>
    <w:rsid w:val="00482757"/>
    <w:rsid w:val="00482E1D"/>
    <w:rsid w:val="00482FCE"/>
    <w:rsid w:val="00483F0E"/>
    <w:rsid w:val="00485FDB"/>
    <w:rsid w:val="00486635"/>
    <w:rsid w:val="004875D1"/>
    <w:rsid w:val="00487BBA"/>
    <w:rsid w:val="00490343"/>
    <w:rsid w:val="0049042C"/>
    <w:rsid w:val="004907F7"/>
    <w:rsid w:val="0049083D"/>
    <w:rsid w:val="004914E3"/>
    <w:rsid w:val="004915C6"/>
    <w:rsid w:val="00492399"/>
    <w:rsid w:val="004924DE"/>
    <w:rsid w:val="00492611"/>
    <w:rsid w:val="00493119"/>
    <w:rsid w:val="0049332C"/>
    <w:rsid w:val="00493A8B"/>
    <w:rsid w:val="00493D7D"/>
    <w:rsid w:val="004946AD"/>
    <w:rsid w:val="004946DC"/>
    <w:rsid w:val="004949E5"/>
    <w:rsid w:val="00495B24"/>
    <w:rsid w:val="004969D5"/>
    <w:rsid w:val="00497599"/>
    <w:rsid w:val="00497D01"/>
    <w:rsid w:val="004A05CC"/>
    <w:rsid w:val="004A05EC"/>
    <w:rsid w:val="004A0DBD"/>
    <w:rsid w:val="004A0DF0"/>
    <w:rsid w:val="004A11FF"/>
    <w:rsid w:val="004A1C2B"/>
    <w:rsid w:val="004A1CCB"/>
    <w:rsid w:val="004A312D"/>
    <w:rsid w:val="004A4D88"/>
    <w:rsid w:val="004A4EFF"/>
    <w:rsid w:val="004A5DA0"/>
    <w:rsid w:val="004A682C"/>
    <w:rsid w:val="004A6A29"/>
    <w:rsid w:val="004A6E46"/>
    <w:rsid w:val="004A7D0D"/>
    <w:rsid w:val="004B0859"/>
    <w:rsid w:val="004B0F0F"/>
    <w:rsid w:val="004B1249"/>
    <w:rsid w:val="004B13DC"/>
    <w:rsid w:val="004B1C78"/>
    <w:rsid w:val="004B1E20"/>
    <w:rsid w:val="004B24AA"/>
    <w:rsid w:val="004B2985"/>
    <w:rsid w:val="004B2D29"/>
    <w:rsid w:val="004B3BB3"/>
    <w:rsid w:val="004B5E8A"/>
    <w:rsid w:val="004B6019"/>
    <w:rsid w:val="004C1278"/>
    <w:rsid w:val="004C1C53"/>
    <w:rsid w:val="004C28A4"/>
    <w:rsid w:val="004C3324"/>
    <w:rsid w:val="004C34FE"/>
    <w:rsid w:val="004C3B34"/>
    <w:rsid w:val="004C441A"/>
    <w:rsid w:val="004C486B"/>
    <w:rsid w:val="004C4AC9"/>
    <w:rsid w:val="004C5A1D"/>
    <w:rsid w:val="004C6CBA"/>
    <w:rsid w:val="004C6EC7"/>
    <w:rsid w:val="004C6FF4"/>
    <w:rsid w:val="004C72C2"/>
    <w:rsid w:val="004C75D8"/>
    <w:rsid w:val="004C7F29"/>
    <w:rsid w:val="004C7F63"/>
    <w:rsid w:val="004D02E3"/>
    <w:rsid w:val="004D2020"/>
    <w:rsid w:val="004D3B01"/>
    <w:rsid w:val="004D3B1B"/>
    <w:rsid w:val="004D3F9C"/>
    <w:rsid w:val="004D4739"/>
    <w:rsid w:val="004D497A"/>
    <w:rsid w:val="004D4BA7"/>
    <w:rsid w:val="004D541F"/>
    <w:rsid w:val="004D6065"/>
    <w:rsid w:val="004D6701"/>
    <w:rsid w:val="004D685A"/>
    <w:rsid w:val="004D68C2"/>
    <w:rsid w:val="004D7127"/>
    <w:rsid w:val="004D7680"/>
    <w:rsid w:val="004D7BE6"/>
    <w:rsid w:val="004D7BFE"/>
    <w:rsid w:val="004E037E"/>
    <w:rsid w:val="004E0B28"/>
    <w:rsid w:val="004E0F0F"/>
    <w:rsid w:val="004E1C9F"/>
    <w:rsid w:val="004E218C"/>
    <w:rsid w:val="004E3137"/>
    <w:rsid w:val="004E47BD"/>
    <w:rsid w:val="004E48F3"/>
    <w:rsid w:val="004E53D3"/>
    <w:rsid w:val="004E552B"/>
    <w:rsid w:val="004E5A85"/>
    <w:rsid w:val="004E66A2"/>
    <w:rsid w:val="004F017E"/>
    <w:rsid w:val="004F1683"/>
    <w:rsid w:val="004F1C6A"/>
    <w:rsid w:val="004F2D9F"/>
    <w:rsid w:val="004F3048"/>
    <w:rsid w:val="004F31C5"/>
    <w:rsid w:val="004F38BD"/>
    <w:rsid w:val="004F3B4A"/>
    <w:rsid w:val="004F411E"/>
    <w:rsid w:val="004F4DDD"/>
    <w:rsid w:val="004F4E1D"/>
    <w:rsid w:val="004F5883"/>
    <w:rsid w:val="004F697A"/>
    <w:rsid w:val="004F6B53"/>
    <w:rsid w:val="004F7043"/>
    <w:rsid w:val="004F71FE"/>
    <w:rsid w:val="004F7A2B"/>
    <w:rsid w:val="00500195"/>
    <w:rsid w:val="00500DFB"/>
    <w:rsid w:val="005012E7"/>
    <w:rsid w:val="005019F5"/>
    <w:rsid w:val="00501F07"/>
    <w:rsid w:val="005020F0"/>
    <w:rsid w:val="00502AF8"/>
    <w:rsid w:val="0050366A"/>
    <w:rsid w:val="00503F01"/>
    <w:rsid w:val="00503FB8"/>
    <w:rsid w:val="005062C8"/>
    <w:rsid w:val="00507BE8"/>
    <w:rsid w:val="005106C3"/>
    <w:rsid w:val="00510E00"/>
    <w:rsid w:val="00511E5C"/>
    <w:rsid w:val="00512FBE"/>
    <w:rsid w:val="00513189"/>
    <w:rsid w:val="00514F0F"/>
    <w:rsid w:val="00516883"/>
    <w:rsid w:val="00516E2B"/>
    <w:rsid w:val="00520C85"/>
    <w:rsid w:val="00521733"/>
    <w:rsid w:val="00521CCB"/>
    <w:rsid w:val="005225C3"/>
    <w:rsid w:val="00522D0E"/>
    <w:rsid w:val="00522F72"/>
    <w:rsid w:val="00523540"/>
    <w:rsid w:val="00523CD9"/>
    <w:rsid w:val="0052438D"/>
    <w:rsid w:val="005247AC"/>
    <w:rsid w:val="00524A59"/>
    <w:rsid w:val="00524C4D"/>
    <w:rsid w:val="00525446"/>
    <w:rsid w:val="005255D0"/>
    <w:rsid w:val="00525D02"/>
    <w:rsid w:val="005265C4"/>
    <w:rsid w:val="00527E0B"/>
    <w:rsid w:val="005302A2"/>
    <w:rsid w:val="00534474"/>
    <w:rsid w:val="00536017"/>
    <w:rsid w:val="00536AEA"/>
    <w:rsid w:val="00537379"/>
    <w:rsid w:val="00537435"/>
    <w:rsid w:val="00537503"/>
    <w:rsid w:val="00537F49"/>
    <w:rsid w:val="00540046"/>
    <w:rsid w:val="00540300"/>
    <w:rsid w:val="005403E7"/>
    <w:rsid w:val="00540EA3"/>
    <w:rsid w:val="00542804"/>
    <w:rsid w:val="005428D7"/>
    <w:rsid w:val="00542E26"/>
    <w:rsid w:val="00543AEF"/>
    <w:rsid w:val="00544EDE"/>
    <w:rsid w:val="0054557E"/>
    <w:rsid w:val="00545A01"/>
    <w:rsid w:val="00546CFC"/>
    <w:rsid w:val="00550020"/>
    <w:rsid w:val="00552219"/>
    <w:rsid w:val="00552B7B"/>
    <w:rsid w:val="00555609"/>
    <w:rsid w:val="00555E2F"/>
    <w:rsid w:val="00555FC1"/>
    <w:rsid w:val="005563F4"/>
    <w:rsid w:val="005573E8"/>
    <w:rsid w:val="00557550"/>
    <w:rsid w:val="005605C4"/>
    <w:rsid w:val="00560A7C"/>
    <w:rsid w:val="00560BC7"/>
    <w:rsid w:val="005612E9"/>
    <w:rsid w:val="00561F8F"/>
    <w:rsid w:val="005620CB"/>
    <w:rsid w:val="005621A5"/>
    <w:rsid w:val="00562566"/>
    <w:rsid w:val="00563C9E"/>
    <w:rsid w:val="0056493E"/>
    <w:rsid w:val="0056673E"/>
    <w:rsid w:val="00566AA8"/>
    <w:rsid w:val="005671BC"/>
    <w:rsid w:val="0056792C"/>
    <w:rsid w:val="00567A4B"/>
    <w:rsid w:val="00567A94"/>
    <w:rsid w:val="00570874"/>
    <w:rsid w:val="00570D7B"/>
    <w:rsid w:val="0057133B"/>
    <w:rsid w:val="00572411"/>
    <w:rsid w:val="005732D5"/>
    <w:rsid w:val="005735E7"/>
    <w:rsid w:val="00573B69"/>
    <w:rsid w:val="00573E0E"/>
    <w:rsid w:val="00573EAD"/>
    <w:rsid w:val="005741EA"/>
    <w:rsid w:val="005742A4"/>
    <w:rsid w:val="00576314"/>
    <w:rsid w:val="0057684C"/>
    <w:rsid w:val="00576BA8"/>
    <w:rsid w:val="00576DC4"/>
    <w:rsid w:val="005779B2"/>
    <w:rsid w:val="00577F46"/>
    <w:rsid w:val="0058039D"/>
    <w:rsid w:val="00580B2F"/>
    <w:rsid w:val="0058132A"/>
    <w:rsid w:val="005826F6"/>
    <w:rsid w:val="00582E3A"/>
    <w:rsid w:val="00583561"/>
    <w:rsid w:val="00583651"/>
    <w:rsid w:val="0058376A"/>
    <w:rsid w:val="00584558"/>
    <w:rsid w:val="0058539F"/>
    <w:rsid w:val="00585D03"/>
    <w:rsid w:val="00585D4D"/>
    <w:rsid w:val="00586655"/>
    <w:rsid w:val="0058687B"/>
    <w:rsid w:val="00586B50"/>
    <w:rsid w:val="005877EC"/>
    <w:rsid w:val="005878EF"/>
    <w:rsid w:val="00587C5B"/>
    <w:rsid w:val="0059000C"/>
    <w:rsid w:val="00590E8F"/>
    <w:rsid w:val="00592300"/>
    <w:rsid w:val="00593DB1"/>
    <w:rsid w:val="00594D14"/>
    <w:rsid w:val="00596078"/>
    <w:rsid w:val="00596185"/>
    <w:rsid w:val="00596188"/>
    <w:rsid w:val="005964DE"/>
    <w:rsid w:val="00596EF9"/>
    <w:rsid w:val="00596F90"/>
    <w:rsid w:val="005A0167"/>
    <w:rsid w:val="005A21A4"/>
    <w:rsid w:val="005A25CC"/>
    <w:rsid w:val="005A2CAE"/>
    <w:rsid w:val="005A3D2C"/>
    <w:rsid w:val="005A4E33"/>
    <w:rsid w:val="005A6095"/>
    <w:rsid w:val="005A6ECE"/>
    <w:rsid w:val="005A74F7"/>
    <w:rsid w:val="005A757E"/>
    <w:rsid w:val="005A781E"/>
    <w:rsid w:val="005A787A"/>
    <w:rsid w:val="005A7B3F"/>
    <w:rsid w:val="005A7C28"/>
    <w:rsid w:val="005B0C9E"/>
    <w:rsid w:val="005B1440"/>
    <w:rsid w:val="005B1803"/>
    <w:rsid w:val="005B1E9B"/>
    <w:rsid w:val="005B2113"/>
    <w:rsid w:val="005B216C"/>
    <w:rsid w:val="005B22DC"/>
    <w:rsid w:val="005B2622"/>
    <w:rsid w:val="005B2820"/>
    <w:rsid w:val="005B3FE7"/>
    <w:rsid w:val="005B5188"/>
    <w:rsid w:val="005B5A8F"/>
    <w:rsid w:val="005B5CE0"/>
    <w:rsid w:val="005B70B0"/>
    <w:rsid w:val="005B72EA"/>
    <w:rsid w:val="005B7EE3"/>
    <w:rsid w:val="005C115E"/>
    <w:rsid w:val="005C1339"/>
    <w:rsid w:val="005C1678"/>
    <w:rsid w:val="005C21C4"/>
    <w:rsid w:val="005C24B3"/>
    <w:rsid w:val="005C2612"/>
    <w:rsid w:val="005C2D97"/>
    <w:rsid w:val="005C344C"/>
    <w:rsid w:val="005C3F99"/>
    <w:rsid w:val="005C44FC"/>
    <w:rsid w:val="005C4FC2"/>
    <w:rsid w:val="005C5099"/>
    <w:rsid w:val="005C5466"/>
    <w:rsid w:val="005C5598"/>
    <w:rsid w:val="005C77B6"/>
    <w:rsid w:val="005C7948"/>
    <w:rsid w:val="005C7A82"/>
    <w:rsid w:val="005C7A95"/>
    <w:rsid w:val="005C7C43"/>
    <w:rsid w:val="005D00C6"/>
    <w:rsid w:val="005D0D61"/>
    <w:rsid w:val="005D1200"/>
    <w:rsid w:val="005D2C70"/>
    <w:rsid w:val="005D3658"/>
    <w:rsid w:val="005D5A97"/>
    <w:rsid w:val="005D66FE"/>
    <w:rsid w:val="005D7FAE"/>
    <w:rsid w:val="005E04AE"/>
    <w:rsid w:val="005E0855"/>
    <w:rsid w:val="005E2000"/>
    <w:rsid w:val="005E27A0"/>
    <w:rsid w:val="005E3AF9"/>
    <w:rsid w:val="005E40F6"/>
    <w:rsid w:val="005E45F6"/>
    <w:rsid w:val="005E61CF"/>
    <w:rsid w:val="005E6F9B"/>
    <w:rsid w:val="005F1DAF"/>
    <w:rsid w:val="005F218E"/>
    <w:rsid w:val="005F2362"/>
    <w:rsid w:val="005F2CE7"/>
    <w:rsid w:val="005F309D"/>
    <w:rsid w:val="005F38B0"/>
    <w:rsid w:val="005F4C07"/>
    <w:rsid w:val="005F59AF"/>
    <w:rsid w:val="005F77EB"/>
    <w:rsid w:val="005F7A04"/>
    <w:rsid w:val="006001C5"/>
    <w:rsid w:val="0060118B"/>
    <w:rsid w:val="00601407"/>
    <w:rsid w:val="006019B8"/>
    <w:rsid w:val="006019D5"/>
    <w:rsid w:val="006019DF"/>
    <w:rsid w:val="00601B72"/>
    <w:rsid w:val="0060210B"/>
    <w:rsid w:val="006028B1"/>
    <w:rsid w:val="00603B51"/>
    <w:rsid w:val="00604593"/>
    <w:rsid w:val="0060698C"/>
    <w:rsid w:val="00606D53"/>
    <w:rsid w:val="00607D7A"/>
    <w:rsid w:val="00611B1D"/>
    <w:rsid w:val="00611B73"/>
    <w:rsid w:val="006126EE"/>
    <w:rsid w:val="006131DE"/>
    <w:rsid w:val="00613B28"/>
    <w:rsid w:val="0061420F"/>
    <w:rsid w:val="00615237"/>
    <w:rsid w:val="006155BC"/>
    <w:rsid w:val="00616A0E"/>
    <w:rsid w:val="00616C9F"/>
    <w:rsid w:val="0061768E"/>
    <w:rsid w:val="006203CA"/>
    <w:rsid w:val="006210BC"/>
    <w:rsid w:val="00621ACC"/>
    <w:rsid w:val="00621B93"/>
    <w:rsid w:val="00621DA5"/>
    <w:rsid w:val="006227BF"/>
    <w:rsid w:val="006241F1"/>
    <w:rsid w:val="0062455D"/>
    <w:rsid w:val="006259D5"/>
    <w:rsid w:val="006268C8"/>
    <w:rsid w:val="00626B6D"/>
    <w:rsid w:val="00626BDF"/>
    <w:rsid w:val="00626DA1"/>
    <w:rsid w:val="006270B7"/>
    <w:rsid w:val="006274F9"/>
    <w:rsid w:val="00631584"/>
    <w:rsid w:val="00631682"/>
    <w:rsid w:val="006326C5"/>
    <w:rsid w:val="00632DFF"/>
    <w:rsid w:val="00633430"/>
    <w:rsid w:val="006339B1"/>
    <w:rsid w:val="00635158"/>
    <w:rsid w:val="00635AB0"/>
    <w:rsid w:val="006372C2"/>
    <w:rsid w:val="00637FC9"/>
    <w:rsid w:val="00640A22"/>
    <w:rsid w:val="006414EB"/>
    <w:rsid w:val="006426EA"/>
    <w:rsid w:val="00642725"/>
    <w:rsid w:val="00642AAB"/>
    <w:rsid w:val="00642ACC"/>
    <w:rsid w:val="00642CB0"/>
    <w:rsid w:val="00643ABD"/>
    <w:rsid w:val="00644277"/>
    <w:rsid w:val="00645B3F"/>
    <w:rsid w:val="006470FA"/>
    <w:rsid w:val="006473E5"/>
    <w:rsid w:val="006507A4"/>
    <w:rsid w:val="0065159D"/>
    <w:rsid w:val="00651A65"/>
    <w:rsid w:val="00652E8E"/>
    <w:rsid w:val="00652EA3"/>
    <w:rsid w:val="0065506D"/>
    <w:rsid w:val="00661827"/>
    <w:rsid w:val="00661DA5"/>
    <w:rsid w:val="00661E07"/>
    <w:rsid w:val="00662443"/>
    <w:rsid w:val="00662AA7"/>
    <w:rsid w:val="0066322C"/>
    <w:rsid w:val="00663370"/>
    <w:rsid w:val="00664178"/>
    <w:rsid w:val="0066682D"/>
    <w:rsid w:val="00666F06"/>
    <w:rsid w:val="00667B82"/>
    <w:rsid w:val="0067096D"/>
    <w:rsid w:val="00671BD4"/>
    <w:rsid w:val="00672616"/>
    <w:rsid w:val="00672724"/>
    <w:rsid w:val="006748D7"/>
    <w:rsid w:val="00674A97"/>
    <w:rsid w:val="00674E09"/>
    <w:rsid w:val="00675AA1"/>
    <w:rsid w:val="00676834"/>
    <w:rsid w:val="00676F4B"/>
    <w:rsid w:val="00677027"/>
    <w:rsid w:val="00677D12"/>
    <w:rsid w:val="00680E5D"/>
    <w:rsid w:val="006829C2"/>
    <w:rsid w:val="00682B53"/>
    <w:rsid w:val="00683F74"/>
    <w:rsid w:val="00684D5A"/>
    <w:rsid w:val="006853A2"/>
    <w:rsid w:val="0069038F"/>
    <w:rsid w:val="00690C69"/>
    <w:rsid w:val="00691644"/>
    <w:rsid w:val="00691FB9"/>
    <w:rsid w:val="00693371"/>
    <w:rsid w:val="0069342E"/>
    <w:rsid w:val="006956C4"/>
    <w:rsid w:val="00695983"/>
    <w:rsid w:val="00695D86"/>
    <w:rsid w:val="0069670A"/>
    <w:rsid w:val="006A0DD4"/>
    <w:rsid w:val="006A1EB1"/>
    <w:rsid w:val="006A279E"/>
    <w:rsid w:val="006A2D62"/>
    <w:rsid w:val="006A345C"/>
    <w:rsid w:val="006A348A"/>
    <w:rsid w:val="006A3C0F"/>
    <w:rsid w:val="006A3E80"/>
    <w:rsid w:val="006A474F"/>
    <w:rsid w:val="006A57B2"/>
    <w:rsid w:val="006A5A23"/>
    <w:rsid w:val="006A5E5F"/>
    <w:rsid w:val="006A6327"/>
    <w:rsid w:val="006A6955"/>
    <w:rsid w:val="006A6F3B"/>
    <w:rsid w:val="006A6F85"/>
    <w:rsid w:val="006B03F5"/>
    <w:rsid w:val="006B0E95"/>
    <w:rsid w:val="006B117E"/>
    <w:rsid w:val="006B11C6"/>
    <w:rsid w:val="006B2676"/>
    <w:rsid w:val="006B3CB1"/>
    <w:rsid w:val="006B4116"/>
    <w:rsid w:val="006B438F"/>
    <w:rsid w:val="006B5552"/>
    <w:rsid w:val="006B5C38"/>
    <w:rsid w:val="006B61D1"/>
    <w:rsid w:val="006B76C3"/>
    <w:rsid w:val="006C0361"/>
    <w:rsid w:val="006C1A12"/>
    <w:rsid w:val="006C1D98"/>
    <w:rsid w:val="006C2984"/>
    <w:rsid w:val="006C29C7"/>
    <w:rsid w:val="006C364B"/>
    <w:rsid w:val="006C395E"/>
    <w:rsid w:val="006C499F"/>
    <w:rsid w:val="006C4E18"/>
    <w:rsid w:val="006C4F3A"/>
    <w:rsid w:val="006C52B9"/>
    <w:rsid w:val="006C58D1"/>
    <w:rsid w:val="006C5D35"/>
    <w:rsid w:val="006C6F37"/>
    <w:rsid w:val="006D0DC9"/>
    <w:rsid w:val="006D12C4"/>
    <w:rsid w:val="006D24D8"/>
    <w:rsid w:val="006D253A"/>
    <w:rsid w:val="006D3C97"/>
    <w:rsid w:val="006D49C4"/>
    <w:rsid w:val="006D6B4D"/>
    <w:rsid w:val="006D7852"/>
    <w:rsid w:val="006D7CD0"/>
    <w:rsid w:val="006D7ED4"/>
    <w:rsid w:val="006E009B"/>
    <w:rsid w:val="006E04CF"/>
    <w:rsid w:val="006E12EE"/>
    <w:rsid w:val="006E13B8"/>
    <w:rsid w:val="006E225D"/>
    <w:rsid w:val="006E22A6"/>
    <w:rsid w:val="006E2F3E"/>
    <w:rsid w:val="006E335A"/>
    <w:rsid w:val="006E3F23"/>
    <w:rsid w:val="006E5C56"/>
    <w:rsid w:val="006E6C36"/>
    <w:rsid w:val="006E70C4"/>
    <w:rsid w:val="006E7728"/>
    <w:rsid w:val="006E7735"/>
    <w:rsid w:val="006F1470"/>
    <w:rsid w:val="006F2C18"/>
    <w:rsid w:val="006F4A42"/>
    <w:rsid w:val="006F4A7F"/>
    <w:rsid w:val="006F5018"/>
    <w:rsid w:val="006F51B0"/>
    <w:rsid w:val="006F5FBE"/>
    <w:rsid w:val="006F6424"/>
    <w:rsid w:val="006F651D"/>
    <w:rsid w:val="006F689B"/>
    <w:rsid w:val="006F74C8"/>
    <w:rsid w:val="006F7861"/>
    <w:rsid w:val="006F7E73"/>
    <w:rsid w:val="00700CD2"/>
    <w:rsid w:val="00701792"/>
    <w:rsid w:val="007020A8"/>
    <w:rsid w:val="0070287D"/>
    <w:rsid w:val="00702DD3"/>
    <w:rsid w:val="00702F34"/>
    <w:rsid w:val="00703153"/>
    <w:rsid w:val="007037DA"/>
    <w:rsid w:val="00703CAB"/>
    <w:rsid w:val="007051FC"/>
    <w:rsid w:val="00706FD9"/>
    <w:rsid w:val="00707C60"/>
    <w:rsid w:val="0071143E"/>
    <w:rsid w:val="00712192"/>
    <w:rsid w:val="0071317E"/>
    <w:rsid w:val="00713E40"/>
    <w:rsid w:val="00715093"/>
    <w:rsid w:val="00715494"/>
    <w:rsid w:val="007158F8"/>
    <w:rsid w:val="00715B20"/>
    <w:rsid w:val="007165C6"/>
    <w:rsid w:val="00716BAE"/>
    <w:rsid w:val="00716CEF"/>
    <w:rsid w:val="00716D1C"/>
    <w:rsid w:val="00716E55"/>
    <w:rsid w:val="00717EBD"/>
    <w:rsid w:val="00720A8F"/>
    <w:rsid w:val="00720DA1"/>
    <w:rsid w:val="00721252"/>
    <w:rsid w:val="0072182D"/>
    <w:rsid w:val="00721918"/>
    <w:rsid w:val="00721C58"/>
    <w:rsid w:val="00722F6D"/>
    <w:rsid w:val="00724204"/>
    <w:rsid w:val="0072487B"/>
    <w:rsid w:val="00724B13"/>
    <w:rsid w:val="007262E9"/>
    <w:rsid w:val="00726BAF"/>
    <w:rsid w:val="00730CB3"/>
    <w:rsid w:val="00731935"/>
    <w:rsid w:val="00731DC4"/>
    <w:rsid w:val="00732254"/>
    <w:rsid w:val="00733049"/>
    <w:rsid w:val="00733EE5"/>
    <w:rsid w:val="007342B1"/>
    <w:rsid w:val="00734B84"/>
    <w:rsid w:val="00735581"/>
    <w:rsid w:val="00735C2B"/>
    <w:rsid w:val="00736C31"/>
    <w:rsid w:val="00737129"/>
    <w:rsid w:val="00737706"/>
    <w:rsid w:val="00737794"/>
    <w:rsid w:val="007406D9"/>
    <w:rsid w:val="007416BC"/>
    <w:rsid w:val="00742936"/>
    <w:rsid w:val="00743814"/>
    <w:rsid w:val="00744F00"/>
    <w:rsid w:val="00745A37"/>
    <w:rsid w:val="007467E6"/>
    <w:rsid w:val="00746CA0"/>
    <w:rsid w:val="00746D41"/>
    <w:rsid w:val="007477E2"/>
    <w:rsid w:val="00747FAB"/>
    <w:rsid w:val="007511E8"/>
    <w:rsid w:val="00751F45"/>
    <w:rsid w:val="00752541"/>
    <w:rsid w:val="007536CB"/>
    <w:rsid w:val="00754217"/>
    <w:rsid w:val="007546C2"/>
    <w:rsid w:val="00755405"/>
    <w:rsid w:val="00756DDC"/>
    <w:rsid w:val="007574F3"/>
    <w:rsid w:val="00757596"/>
    <w:rsid w:val="007576DF"/>
    <w:rsid w:val="00762033"/>
    <w:rsid w:val="00762218"/>
    <w:rsid w:val="00762280"/>
    <w:rsid w:val="007627E4"/>
    <w:rsid w:val="007640E2"/>
    <w:rsid w:val="00764217"/>
    <w:rsid w:val="00764A77"/>
    <w:rsid w:val="00764BFC"/>
    <w:rsid w:val="007656DD"/>
    <w:rsid w:val="00765802"/>
    <w:rsid w:val="00765A1B"/>
    <w:rsid w:val="0076604D"/>
    <w:rsid w:val="007670AB"/>
    <w:rsid w:val="00767857"/>
    <w:rsid w:val="00767C6F"/>
    <w:rsid w:val="00770E4D"/>
    <w:rsid w:val="00771759"/>
    <w:rsid w:val="00771A6F"/>
    <w:rsid w:val="00772CBA"/>
    <w:rsid w:val="007739A5"/>
    <w:rsid w:val="00773C30"/>
    <w:rsid w:val="00773C54"/>
    <w:rsid w:val="00774DF2"/>
    <w:rsid w:val="0077503D"/>
    <w:rsid w:val="007768A9"/>
    <w:rsid w:val="00776C3A"/>
    <w:rsid w:val="00777F42"/>
    <w:rsid w:val="007813A5"/>
    <w:rsid w:val="00782032"/>
    <w:rsid w:val="00782613"/>
    <w:rsid w:val="007829F0"/>
    <w:rsid w:val="00782BB2"/>
    <w:rsid w:val="007831DC"/>
    <w:rsid w:val="00783395"/>
    <w:rsid w:val="007836F8"/>
    <w:rsid w:val="007847BC"/>
    <w:rsid w:val="00784953"/>
    <w:rsid w:val="0078534F"/>
    <w:rsid w:val="0078576A"/>
    <w:rsid w:val="00785B4F"/>
    <w:rsid w:val="00785EA8"/>
    <w:rsid w:val="00786438"/>
    <w:rsid w:val="00787074"/>
    <w:rsid w:val="0078722D"/>
    <w:rsid w:val="00787693"/>
    <w:rsid w:val="00790CE4"/>
    <w:rsid w:val="00790E56"/>
    <w:rsid w:val="0079254E"/>
    <w:rsid w:val="00792F15"/>
    <w:rsid w:val="00793049"/>
    <w:rsid w:val="00793098"/>
    <w:rsid w:val="00794731"/>
    <w:rsid w:val="00794A77"/>
    <w:rsid w:val="0079515A"/>
    <w:rsid w:val="007952F5"/>
    <w:rsid w:val="00795F6A"/>
    <w:rsid w:val="007963F5"/>
    <w:rsid w:val="0079643D"/>
    <w:rsid w:val="00796743"/>
    <w:rsid w:val="00796AC0"/>
    <w:rsid w:val="00797739"/>
    <w:rsid w:val="007A067C"/>
    <w:rsid w:val="007A0B09"/>
    <w:rsid w:val="007A0E0F"/>
    <w:rsid w:val="007A1974"/>
    <w:rsid w:val="007A3431"/>
    <w:rsid w:val="007A3BCA"/>
    <w:rsid w:val="007A3D96"/>
    <w:rsid w:val="007A43DC"/>
    <w:rsid w:val="007A476A"/>
    <w:rsid w:val="007A4E7D"/>
    <w:rsid w:val="007A4F8B"/>
    <w:rsid w:val="007A5AB4"/>
    <w:rsid w:val="007A667D"/>
    <w:rsid w:val="007A6733"/>
    <w:rsid w:val="007A6F49"/>
    <w:rsid w:val="007B060E"/>
    <w:rsid w:val="007B21FB"/>
    <w:rsid w:val="007B2709"/>
    <w:rsid w:val="007B2DF9"/>
    <w:rsid w:val="007B3437"/>
    <w:rsid w:val="007B3652"/>
    <w:rsid w:val="007B3752"/>
    <w:rsid w:val="007B3D0B"/>
    <w:rsid w:val="007B4230"/>
    <w:rsid w:val="007B4B92"/>
    <w:rsid w:val="007B54C1"/>
    <w:rsid w:val="007C01BD"/>
    <w:rsid w:val="007C03DB"/>
    <w:rsid w:val="007C0637"/>
    <w:rsid w:val="007C0F6D"/>
    <w:rsid w:val="007C1282"/>
    <w:rsid w:val="007C13D6"/>
    <w:rsid w:val="007C165C"/>
    <w:rsid w:val="007C2112"/>
    <w:rsid w:val="007C2480"/>
    <w:rsid w:val="007C278C"/>
    <w:rsid w:val="007C3D2C"/>
    <w:rsid w:val="007C41E4"/>
    <w:rsid w:val="007C4427"/>
    <w:rsid w:val="007C5136"/>
    <w:rsid w:val="007C5F23"/>
    <w:rsid w:val="007C7522"/>
    <w:rsid w:val="007D08DE"/>
    <w:rsid w:val="007D0F68"/>
    <w:rsid w:val="007D1652"/>
    <w:rsid w:val="007D1FAA"/>
    <w:rsid w:val="007D2189"/>
    <w:rsid w:val="007D28F1"/>
    <w:rsid w:val="007D2937"/>
    <w:rsid w:val="007D2DB1"/>
    <w:rsid w:val="007D3D8F"/>
    <w:rsid w:val="007D436E"/>
    <w:rsid w:val="007D4B23"/>
    <w:rsid w:val="007D5755"/>
    <w:rsid w:val="007D5861"/>
    <w:rsid w:val="007D5DC8"/>
    <w:rsid w:val="007D7EE5"/>
    <w:rsid w:val="007E00AD"/>
    <w:rsid w:val="007E24F6"/>
    <w:rsid w:val="007E267D"/>
    <w:rsid w:val="007E29F8"/>
    <w:rsid w:val="007E2CF1"/>
    <w:rsid w:val="007E315D"/>
    <w:rsid w:val="007E3A56"/>
    <w:rsid w:val="007E3CAD"/>
    <w:rsid w:val="007E403B"/>
    <w:rsid w:val="007E4942"/>
    <w:rsid w:val="007E5527"/>
    <w:rsid w:val="007E6BAB"/>
    <w:rsid w:val="007E6CA5"/>
    <w:rsid w:val="007E71A5"/>
    <w:rsid w:val="007F00F6"/>
    <w:rsid w:val="007F1EEF"/>
    <w:rsid w:val="007F2E10"/>
    <w:rsid w:val="007F39D2"/>
    <w:rsid w:val="007F410F"/>
    <w:rsid w:val="007F50B4"/>
    <w:rsid w:val="007F7715"/>
    <w:rsid w:val="007F7944"/>
    <w:rsid w:val="0080017A"/>
    <w:rsid w:val="00800F98"/>
    <w:rsid w:val="008016B0"/>
    <w:rsid w:val="00802246"/>
    <w:rsid w:val="008028FB"/>
    <w:rsid w:val="008029FD"/>
    <w:rsid w:val="00811032"/>
    <w:rsid w:val="00812BE2"/>
    <w:rsid w:val="00812D8C"/>
    <w:rsid w:val="00814E8E"/>
    <w:rsid w:val="008152CD"/>
    <w:rsid w:val="00815C3F"/>
    <w:rsid w:val="008162E1"/>
    <w:rsid w:val="008163E9"/>
    <w:rsid w:val="008201D9"/>
    <w:rsid w:val="008205E4"/>
    <w:rsid w:val="00820884"/>
    <w:rsid w:val="008214D9"/>
    <w:rsid w:val="008216B8"/>
    <w:rsid w:val="00821770"/>
    <w:rsid w:val="00821A10"/>
    <w:rsid w:val="00821C07"/>
    <w:rsid w:val="008232B7"/>
    <w:rsid w:val="00823C98"/>
    <w:rsid w:val="00823E07"/>
    <w:rsid w:val="00824894"/>
    <w:rsid w:val="008251FC"/>
    <w:rsid w:val="00826A6A"/>
    <w:rsid w:val="00826F53"/>
    <w:rsid w:val="00830407"/>
    <w:rsid w:val="00830E48"/>
    <w:rsid w:val="00830EBE"/>
    <w:rsid w:val="00831C3D"/>
    <w:rsid w:val="00831DD9"/>
    <w:rsid w:val="00832059"/>
    <w:rsid w:val="00832872"/>
    <w:rsid w:val="00833436"/>
    <w:rsid w:val="00834515"/>
    <w:rsid w:val="0083493F"/>
    <w:rsid w:val="00834BBF"/>
    <w:rsid w:val="00834C4B"/>
    <w:rsid w:val="0083578F"/>
    <w:rsid w:val="00835B50"/>
    <w:rsid w:val="008361C8"/>
    <w:rsid w:val="00836B58"/>
    <w:rsid w:val="00836DDE"/>
    <w:rsid w:val="00837A2E"/>
    <w:rsid w:val="008400DA"/>
    <w:rsid w:val="00840E21"/>
    <w:rsid w:val="0084125A"/>
    <w:rsid w:val="00841D81"/>
    <w:rsid w:val="00842CB1"/>
    <w:rsid w:val="00843457"/>
    <w:rsid w:val="0084349E"/>
    <w:rsid w:val="00843729"/>
    <w:rsid w:val="0084396A"/>
    <w:rsid w:val="00844B8B"/>
    <w:rsid w:val="00845341"/>
    <w:rsid w:val="00847263"/>
    <w:rsid w:val="00847946"/>
    <w:rsid w:val="00847B21"/>
    <w:rsid w:val="00847CBD"/>
    <w:rsid w:val="00847F4A"/>
    <w:rsid w:val="0085001E"/>
    <w:rsid w:val="008506A7"/>
    <w:rsid w:val="00851395"/>
    <w:rsid w:val="00851431"/>
    <w:rsid w:val="0085150C"/>
    <w:rsid w:val="008520D1"/>
    <w:rsid w:val="008521F3"/>
    <w:rsid w:val="008524A0"/>
    <w:rsid w:val="00852510"/>
    <w:rsid w:val="00853134"/>
    <w:rsid w:val="00853A4D"/>
    <w:rsid w:val="00853FA6"/>
    <w:rsid w:val="008545FD"/>
    <w:rsid w:val="00854B18"/>
    <w:rsid w:val="00855021"/>
    <w:rsid w:val="008550D0"/>
    <w:rsid w:val="008552B9"/>
    <w:rsid w:val="00855867"/>
    <w:rsid w:val="00856118"/>
    <w:rsid w:val="00856382"/>
    <w:rsid w:val="0085707E"/>
    <w:rsid w:val="0086056C"/>
    <w:rsid w:val="00860CDD"/>
    <w:rsid w:val="00861633"/>
    <w:rsid w:val="00862470"/>
    <w:rsid w:val="00862A5D"/>
    <w:rsid w:val="00862E1A"/>
    <w:rsid w:val="00863068"/>
    <w:rsid w:val="008635F2"/>
    <w:rsid w:val="008635F7"/>
    <w:rsid w:val="0086551A"/>
    <w:rsid w:val="0086699A"/>
    <w:rsid w:val="00866C77"/>
    <w:rsid w:val="00866D1B"/>
    <w:rsid w:val="00867023"/>
    <w:rsid w:val="00867D7B"/>
    <w:rsid w:val="008703C7"/>
    <w:rsid w:val="0087165E"/>
    <w:rsid w:val="00871AAF"/>
    <w:rsid w:val="00871D1B"/>
    <w:rsid w:val="00873306"/>
    <w:rsid w:val="0087447F"/>
    <w:rsid w:val="00874E5E"/>
    <w:rsid w:val="0087574F"/>
    <w:rsid w:val="008762B4"/>
    <w:rsid w:val="0087634E"/>
    <w:rsid w:val="0087649B"/>
    <w:rsid w:val="00880341"/>
    <w:rsid w:val="008805E2"/>
    <w:rsid w:val="008819C0"/>
    <w:rsid w:val="00882024"/>
    <w:rsid w:val="00882B7C"/>
    <w:rsid w:val="00883B00"/>
    <w:rsid w:val="008849D9"/>
    <w:rsid w:val="00885061"/>
    <w:rsid w:val="008853DD"/>
    <w:rsid w:val="008857EF"/>
    <w:rsid w:val="00885AF2"/>
    <w:rsid w:val="00886DB0"/>
    <w:rsid w:val="00890127"/>
    <w:rsid w:val="00890413"/>
    <w:rsid w:val="0089103D"/>
    <w:rsid w:val="00891F67"/>
    <w:rsid w:val="00891F8E"/>
    <w:rsid w:val="00892D4E"/>
    <w:rsid w:val="00892D9B"/>
    <w:rsid w:val="00893A5D"/>
    <w:rsid w:val="00893F42"/>
    <w:rsid w:val="00894556"/>
    <w:rsid w:val="00894E64"/>
    <w:rsid w:val="0089541B"/>
    <w:rsid w:val="008958D1"/>
    <w:rsid w:val="00896BCB"/>
    <w:rsid w:val="0089789E"/>
    <w:rsid w:val="008978E4"/>
    <w:rsid w:val="0089796B"/>
    <w:rsid w:val="008A0041"/>
    <w:rsid w:val="008A009F"/>
    <w:rsid w:val="008A068A"/>
    <w:rsid w:val="008A0B4C"/>
    <w:rsid w:val="008A1847"/>
    <w:rsid w:val="008A1EDD"/>
    <w:rsid w:val="008A21F8"/>
    <w:rsid w:val="008A2740"/>
    <w:rsid w:val="008A2C92"/>
    <w:rsid w:val="008A3E31"/>
    <w:rsid w:val="008A50EF"/>
    <w:rsid w:val="008A5862"/>
    <w:rsid w:val="008A59CF"/>
    <w:rsid w:val="008A5EBA"/>
    <w:rsid w:val="008A6176"/>
    <w:rsid w:val="008A655E"/>
    <w:rsid w:val="008A6954"/>
    <w:rsid w:val="008A6A9B"/>
    <w:rsid w:val="008A7581"/>
    <w:rsid w:val="008B0184"/>
    <w:rsid w:val="008B04A2"/>
    <w:rsid w:val="008B1816"/>
    <w:rsid w:val="008B1836"/>
    <w:rsid w:val="008B1A91"/>
    <w:rsid w:val="008B1B9B"/>
    <w:rsid w:val="008B1DE3"/>
    <w:rsid w:val="008B22C2"/>
    <w:rsid w:val="008B2F8C"/>
    <w:rsid w:val="008B334B"/>
    <w:rsid w:val="008B3C06"/>
    <w:rsid w:val="008B3EF7"/>
    <w:rsid w:val="008B5B33"/>
    <w:rsid w:val="008B63AF"/>
    <w:rsid w:val="008B6AF9"/>
    <w:rsid w:val="008B6AFE"/>
    <w:rsid w:val="008B6DA6"/>
    <w:rsid w:val="008B7352"/>
    <w:rsid w:val="008C0172"/>
    <w:rsid w:val="008C02D5"/>
    <w:rsid w:val="008C05EA"/>
    <w:rsid w:val="008C26F2"/>
    <w:rsid w:val="008C2762"/>
    <w:rsid w:val="008C4AA1"/>
    <w:rsid w:val="008C5CF6"/>
    <w:rsid w:val="008C64CA"/>
    <w:rsid w:val="008C65BD"/>
    <w:rsid w:val="008D02EF"/>
    <w:rsid w:val="008D1CFB"/>
    <w:rsid w:val="008D2417"/>
    <w:rsid w:val="008D255A"/>
    <w:rsid w:val="008D2CF6"/>
    <w:rsid w:val="008D4177"/>
    <w:rsid w:val="008D44A8"/>
    <w:rsid w:val="008D77D0"/>
    <w:rsid w:val="008E014D"/>
    <w:rsid w:val="008E05C6"/>
    <w:rsid w:val="008E0D27"/>
    <w:rsid w:val="008E156C"/>
    <w:rsid w:val="008E19F5"/>
    <w:rsid w:val="008E1EE6"/>
    <w:rsid w:val="008E2A85"/>
    <w:rsid w:val="008E37FD"/>
    <w:rsid w:val="008E4BB7"/>
    <w:rsid w:val="008E51A6"/>
    <w:rsid w:val="008E5AB3"/>
    <w:rsid w:val="008E6277"/>
    <w:rsid w:val="008E6E79"/>
    <w:rsid w:val="008E735B"/>
    <w:rsid w:val="008E7F89"/>
    <w:rsid w:val="008F06BB"/>
    <w:rsid w:val="008F127D"/>
    <w:rsid w:val="008F1955"/>
    <w:rsid w:val="008F2C8C"/>
    <w:rsid w:val="008F3D6C"/>
    <w:rsid w:val="008F4A42"/>
    <w:rsid w:val="008F4DB5"/>
    <w:rsid w:val="008F501A"/>
    <w:rsid w:val="008F5090"/>
    <w:rsid w:val="008F50B8"/>
    <w:rsid w:val="008F57B8"/>
    <w:rsid w:val="008F667E"/>
    <w:rsid w:val="008F6CF8"/>
    <w:rsid w:val="008F7A94"/>
    <w:rsid w:val="009000CE"/>
    <w:rsid w:val="00900E5C"/>
    <w:rsid w:val="009028BF"/>
    <w:rsid w:val="00902A0D"/>
    <w:rsid w:val="00903066"/>
    <w:rsid w:val="0090678A"/>
    <w:rsid w:val="00907AA7"/>
    <w:rsid w:val="00907CA2"/>
    <w:rsid w:val="00907E8E"/>
    <w:rsid w:val="00910A41"/>
    <w:rsid w:val="00910A70"/>
    <w:rsid w:val="00910CB0"/>
    <w:rsid w:val="00915B62"/>
    <w:rsid w:val="00916E58"/>
    <w:rsid w:val="00917FD8"/>
    <w:rsid w:val="00920C16"/>
    <w:rsid w:val="00921BBF"/>
    <w:rsid w:val="00922AAE"/>
    <w:rsid w:val="00924BA9"/>
    <w:rsid w:val="00924E78"/>
    <w:rsid w:val="00925C3B"/>
    <w:rsid w:val="0092605A"/>
    <w:rsid w:val="00926591"/>
    <w:rsid w:val="009265A9"/>
    <w:rsid w:val="00926F29"/>
    <w:rsid w:val="0092704E"/>
    <w:rsid w:val="00927F89"/>
    <w:rsid w:val="00930911"/>
    <w:rsid w:val="00931988"/>
    <w:rsid w:val="00931DC6"/>
    <w:rsid w:val="00931F3E"/>
    <w:rsid w:val="00932494"/>
    <w:rsid w:val="0093270F"/>
    <w:rsid w:val="00934393"/>
    <w:rsid w:val="00934B08"/>
    <w:rsid w:val="00934C4E"/>
    <w:rsid w:val="00934FF9"/>
    <w:rsid w:val="00936263"/>
    <w:rsid w:val="00936872"/>
    <w:rsid w:val="00936F21"/>
    <w:rsid w:val="00937667"/>
    <w:rsid w:val="00937D4C"/>
    <w:rsid w:val="0094198A"/>
    <w:rsid w:val="00946147"/>
    <w:rsid w:val="009464F9"/>
    <w:rsid w:val="0094705E"/>
    <w:rsid w:val="00947D9D"/>
    <w:rsid w:val="0095178C"/>
    <w:rsid w:val="00952502"/>
    <w:rsid w:val="00954579"/>
    <w:rsid w:val="00954710"/>
    <w:rsid w:val="00955599"/>
    <w:rsid w:val="009556C9"/>
    <w:rsid w:val="0095643F"/>
    <w:rsid w:val="00956DAC"/>
    <w:rsid w:val="00962DC4"/>
    <w:rsid w:val="009644F3"/>
    <w:rsid w:val="00965795"/>
    <w:rsid w:val="00966284"/>
    <w:rsid w:val="009667D7"/>
    <w:rsid w:val="009679D9"/>
    <w:rsid w:val="00970B3F"/>
    <w:rsid w:val="00971466"/>
    <w:rsid w:val="009732E0"/>
    <w:rsid w:val="00973AF4"/>
    <w:rsid w:val="00975368"/>
    <w:rsid w:val="009761BB"/>
    <w:rsid w:val="0097641B"/>
    <w:rsid w:val="009764C6"/>
    <w:rsid w:val="00976E6D"/>
    <w:rsid w:val="009775C8"/>
    <w:rsid w:val="009777B8"/>
    <w:rsid w:val="00982AE2"/>
    <w:rsid w:val="00982E8B"/>
    <w:rsid w:val="00983822"/>
    <w:rsid w:val="00984EC1"/>
    <w:rsid w:val="009854DA"/>
    <w:rsid w:val="00985F0C"/>
    <w:rsid w:val="00986697"/>
    <w:rsid w:val="00987919"/>
    <w:rsid w:val="00990538"/>
    <w:rsid w:val="00990638"/>
    <w:rsid w:val="00990E87"/>
    <w:rsid w:val="009917A7"/>
    <w:rsid w:val="009917F4"/>
    <w:rsid w:val="00991CCD"/>
    <w:rsid w:val="00993A8C"/>
    <w:rsid w:val="00994047"/>
    <w:rsid w:val="00994C32"/>
    <w:rsid w:val="00994F01"/>
    <w:rsid w:val="0099514D"/>
    <w:rsid w:val="00996663"/>
    <w:rsid w:val="00996824"/>
    <w:rsid w:val="00996DD4"/>
    <w:rsid w:val="009A09F0"/>
    <w:rsid w:val="009A1222"/>
    <w:rsid w:val="009A1339"/>
    <w:rsid w:val="009A13BE"/>
    <w:rsid w:val="009A1E6F"/>
    <w:rsid w:val="009A220D"/>
    <w:rsid w:val="009A23D0"/>
    <w:rsid w:val="009A295F"/>
    <w:rsid w:val="009A3323"/>
    <w:rsid w:val="009A467B"/>
    <w:rsid w:val="009A5734"/>
    <w:rsid w:val="009A5C55"/>
    <w:rsid w:val="009A633D"/>
    <w:rsid w:val="009A6791"/>
    <w:rsid w:val="009A6DA3"/>
    <w:rsid w:val="009A70AF"/>
    <w:rsid w:val="009B126B"/>
    <w:rsid w:val="009B1F61"/>
    <w:rsid w:val="009B2DB5"/>
    <w:rsid w:val="009B4065"/>
    <w:rsid w:val="009B43ED"/>
    <w:rsid w:val="009B440E"/>
    <w:rsid w:val="009B4EBA"/>
    <w:rsid w:val="009B6667"/>
    <w:rsid w:val="009B6BB0"/>
    <w:rsid w:val="009B7707"/>
    <w:rsid w:val="009B78FE"/>
    <w:rsid w:val="009B7B18"/>
    <w:rsid w:val="009B7F10"/>
    <w:rsid w:val="009B7F6D"/>
    <w:rsid w:val="009C0FF8"/>
    <w:rsid w:val="009C11D4"/>
    <w:rsid w:val="009C1BFF"/>
    <w:rsid w:val="009C28B3"/>
    <w:rsid w:val="009C33CF"/>
    <w:rsid w:val="009C3F5A"/>
    <w:rsid w:val="009C49AE"/>
    <w:rsid w:val="009C5071"/>
    <w:rsid w:val="009C58D7"/>
    <w:rsid w:val="009C5B1D"/>
    <w:rsid w:val="009C6BF1"/>
    <w:rsid w:val="009C7243"/>
    <w:rsid w:val="009D189C"/>
    <w:rsid w:val="009D2016"/>
    <w:rsid w:val="009D3239"/>
    <w:rsid w:val="009D3268"/>
    <w:rsid w:val="009D3480"/>
    <w:rsid w:val="009D34F3"/>
    <w:rsid w:val="009D3ECE"/>
    <w:rsid w:val="009D41B1"/>
    <w:rsid w:val="009D4DDB"/>
    <w:rsid w:val="009D529D"/>
    <w:rsid w:val="009D6222"/>
    <w:rsid w:val="009D6CB1"/>
    <w:rsid w:val="009D6EEA"/>
    <w:rsid w:val="009D71F7"/>
    <w:rsid w:val="009D72CA"/>
    <w:rsid w:val="009D7F6B"/>
    <w:rsid w:val="009E0E10"/>
    <w:rsid w:val="009E0F15"/>
    <w:rsid w:val="009E0F2F"/>
    <w:rsid w:val="009E1F34"/>
    <w:rsid w:val="009E213A"/>
    <w:rsid w:val="009E2537"/>
    <w:rsid w:val="009E26AD"/>
    <w:rsid w:val="009E38F4"/>
    <w:rsid w:val="009E3DC3"/>
    <w:rsid w:val="009E3E6A"/>
    <w:rsid w:val="009E3EA5"/>
    <w:rsid w:val="009E4362"/>
    <w:rsid w:val="009E4534"/>
    <w:rsid w:val="009E4DA4"/>
    <w:rsid w:val="009E6AF0"/>
    <w:rsid w:val="009E7313"/>
    <w:rsid w:val="009E75BF"/>
    <w:rsid w:val="009F200C"/>
    <w:rsid w:val="009F3D04"/>
    <w:rsid w:val="009F454A"/>
    <w:rsid w:val="009F4E1C"/>
    <w:rsid w:val="009F4E71"/>
    <w:rsid w:val="009F568A"/>
    <w:rsid w:val="009F59EB"/>
    <w:rsid w:val="009F652E"/>
    <w:rsid w:val="009F6ED0"/>
    <w:rsid w:val="009F6FE8"/>
    <w:rsid w:val="009F7FB2"/>
    <w:rsid w:val="00A00209"/>
    <w:rsid w:val="00A01256"/>
    <w:rsid w:val="00A013AC"/>
    <w:rsid w:val="00A01FAB"/>
    <w:rsid w:val="00A02F4F"/>
    <w:rsid w:val="00A0366F"/>
    <w:rsid w:val="00A04519"/>
    <w:rsid w:val="00A06BC2"/>
    <w:rsid w:val="00A07058"/>
    <w:rsid w:val="00A07560"/>
    <w:rsid w:val="00A1163B"/>
    <w:rsid w:val="00A11C12"/>
    <w:rsid w:val="00A12474"/>
    <w:rsid w:val="00A1272C"/>
    <w:rsid w:val="00A12FF6"/>
    <w:rsid w:val="00A1320F"/>
    <w:rsid w:val="00A13461"/>
    <w:rsid w:val="00A13C27"/>
    <w:rsid w:val="00A140E0"/>
    <w:rsid w:val="00A14793"/>
    <w:rsid w:val="00A157D3"/>
    <w:rsid w:val="00A163EE"/>
    <w:rsid w:val="00A17110"/>
    <w:rsid w:val="00A1795E"/>
    <w:rsid w:val="00A20902"/>
    <w:rsid w:val="00A20A9B"/>
    <w:rsid w:val="00A20CC3"/>
    <w:rsid w:val="00A215D4"/>
    <w:rsid w:val="00A219A0"/>
    <w:rsid w:val="00A22A80"/>
    <w:rsid w:val="00A22DC4"/>
    <w:rsid w:val="00A24053"/>
    <w:rsid w:val="00A25C7E"/>
    <w:rsid w:val="00A25EDF"/>
    <w:rsid w:val="00A266D8"/>
    <w:rsid w:val="00A27253"/>
    <w:rsid w:val="00A27400"/>
    <w:rsid w:val="00A27C02"/>
    <w:rsid w:val="00A3066F"/>
    <w:rsid w:val="00A309DD"/>
    <w:rsid w:val="00A313C5"/>
    <w:rsid w:val="00A315A4"/>
    <w:rsid w:val="00A32E8B"/>
    <w:rsid w:val="00A33E50"/>
    <w:rsid w:val="00A34287"/>
    <w:rsid w:val="00A35568"/>
    <w:rsid w:val="00A355B6"/>
    <w:rsid w:val="00A35670"/>
    <w:rsid w:val="00A3666F"/>
    <w:rsid w:val="00A36B2F"/>
    <w:rsid w:val="00A37DA7"/>
    <w:rsid w:val="00A40BF5"/>
    <w:rsid w:val="00A42929"/>
    <w:rsid w:val="00A43148"/>
    <w:rsid w:val="00A439C5"/>
    <w:rsid w:val="00A43D35"/>
    <w:rsid w:val="00A43FE2"/>
    <w:rsid w:val="00A44D3F"/>
    <w:rsid w:val="00A4501F"/>
    <w:rsid w:val="00A4571E"/>
    <w:rsid w:val="00A45B19"/>
    <w:rsid w:val="00A4626A"/>
    <w:rsid w:val="00A46B02"/>
    <w:rsid w:val="00A47671"/>
    <w:rsid w:val="00A47A50"/>
    <w:rsid w:val="00A50055"/>
    <w:rsid w:val="00A50EFE"/>
    <w:rsid w:val="00A51655"/>
    <w:rsid w:val="00A53245"/>
    <w:rsid w:val="00A53CFF"/>
    <w:rsid w:val="00A56236"/>
    <w:rsid w:val="00A56D36"/>
    <w:rsid w:val="00A57275"/>
    <w:rsid w:val="00A573DE"/>
    <w:rsid w:val="00A57B0B"/>
    <w:rsid w:val="00A57CFA"/>
    <w:rsid w:val="00A6015F"/>
    <w:rsid w:val="00A60B85"/>
    <w:rsid w:val="00A6126F"/>
    <w:rsid w:val="00A61408"/>
    <w:rsid w:val="00A61595"/>
    <w:rsid w:val="00A625D7"/>
    <w:rsid w:val="00A6273A"/>
    <w:rsid w:val="00A6329B"/>
    <w:rsid w:val="00A637AB"/>
    <w:rsid w:val="00A63B14"/>
    <w:rsid w:val="00A64E50"/>
    <w:rsid w:val="00A656B2"/>
    <w:rsid w:val="00A659B7"/>
    <w:rsid w:val="00A65C92"/>
    <w:rsid w:val="00A66F29"/>
    <w:rsid w:val="00A672AE"/>
    <w:rsid w:val="00A67B6D"/>
    <w:rsid w:val="00A709FA"/>
    <w:rsid w:val="00A70EE3"/>
    <w:rsid w:val="00A7164E"/>
    <w:rsid w:val="00A71A8F"/>
    <w:rsid w:val="00A728CB"/>
    <w:rsid w:val="00A736F5"/>
    <w:rsid w:val="00A74163"/>
    <w:rsid w:val="00A7432E"/>
    <w:rsid w:val="00A747C9"/>
    <w:rsid w:val="00A75427"/>
    <w:rsid w:val="00A7549E"/>
    <w:rsid w:val="00A75C15"/>
    <w:rsid w:val="00A75F37"/>
    <w:rsid w:val="00A76466"/>
    <w:rsid w:val="00A76904"/>
    <w:rsid w:val="00A771B4"/>
    <w:rsid w:val="00A77A5F"/>
    <w:rsid w:val="00A80DAA"/>
    <w:rsid w:val="00A810AE"/>
    <w:rsid w:val="00A82192"/>
    <w:rsid w:val="00A827C8"/>
    <w:rsid w:val="00A82DD0"/>
    <w:rsid w:val="00A836E3"/>
    <w:rsid w:val="00A83DC1"/>
    <w:rsid w:val="00A85615"/>
    <w:rsid w:val="00A85B9B"/>
    <w:rsid w:val="00A85CAE"/>
    <w:rsid w:val="00A85FD8"/>
    <w:rsid w:val="00A8617F"/>
    <w:rsid w:val="00A86472"/>
    <w:rsid w:val="00A86FEB"/>
    <w:rsid w:val="00A900DF"/>
    <w:rsid w:val="00A90BC3"/>
    <w:rsid w:val="00A9160D"/>
    <w:rsid w:val="00A91E4A"/>
    <w:rsid w:val="00A920EA"/>
    <w:rsid w:val="00A922B1"/>
    <w:rsid w:val="00A931AA"/>
    <w:rsid w:val="00A9352E"/>
    <w:rsid w:val="00A94375"/>
    <w:rsid w:val="00A9512F"/>
    <w:rsid w:val="00A95DD9"/>
    <w:rsid w:val="00A9645D"/>
    <w:rsid w:val="00A967D3"/>
    <w:rsid w:val="00A96E14"/>
    <w:rsid w:val="00A96F7C"/>
    <w:rsid w:val="00AA08E9"/>
    <w:rsid w:val="00AA18D0"/>
    <w:rsid w:val="00AA244D"/>
    <w:rsid w:val="00AA3216"/>
    <w:rsid w:val="00AA358F"/>
    <w:rsid w:val="00AA4897"/>
    <w:rsid w:val="00AA4BEE"/>
    <w:rsid w:val="00AA5AD5"/>
    <w:rsid w:val="00AA6930"/>
    <w:rsid w:val="00AA694D"/>
    <w:rsid w:val="00AA6EA3"/>
    <w:rsid w:val="00AB047F"/>
    <w:rsid w:val="00AB085B"/>
    <w:rsid w:val="00AB0E08"/>
    <w:rsid w:val="00AB12B8"/>
    <w:rsid w:val="00AB19C2"/>
    <w:rsid w:val="00AB1B6D"/>
    <w:rsid w:val="00AB283C"/>
    <w:rsid w:val="00AB29C3"/>
    <w:rsid w:val="00AB38F9"/>
    <w:rsid w:val="00AB486E"/>
    <w:rsid w:val="00AB49BA"/>
    <w:rsid w:val="00AB4C01"/>
    <w:rsid w:val="00AB558A"/>
    <w:rsid w:val="00AB5F67"/>
    <w:rsid w:val="00AB6A93"/>
    <w:rsid w:val="00AB728D"/>
    <w:rsid w:val="00AC0945"/>
    <w:rsid w:val="00AC1ECB"/>
    <w:rsid w:val="00AC1EFE"/>
    <w:rsid w:val="00AC2595"/>
    <w:rsid w:val="00AC27D6"/>
    <w:rsid w:val="00AC2F50"/>
    <w:rsid w:val="00AC3D19"/>
    <w:rsid w:val="00AC3E7C"/>
    <w:rsid w:val="00AC4413"/>
    <w:rsid w:val="00AC5218"/>
    <w:rsid w:val="00AC7650"/>
    <w:rsid w:val="00AD01F5"/>
    <w:rsid w:val="00AD09C3"/>
    <w:rsid w:val="00AD0B4D"/>
    <w:rsid w:val="00AD1607"/>
    <w:rsid w:val="00AD3308"/>
    <w:rsid w:val="00AD56D8"/>
    <w:rsid w:val="00AD5A5F"/>
    <w:rsid w:val="00AD7880"/>
    <w:rsid w:val="00AE104E"/>
    <w:rsid w:val="00AE1F55"/>
    <w:rsid w:val="00AE25FA"/>
    <w:rsid w:val="00AE3878"/>
    <w:rsid w:val="00AE4815"/>
    <w:rsid w:val="00AE4B8A"/>
    <w:rsid w:val="00AE6FE6"/>
    <w:rsid w:val="00AE7E59"/>
    <w:rsid w:val="00AF0A0E"/>
    <w:rsid w:val="00AF118D"/>
    <w:rsid w:val="00AF1AFA"/>
    <w:rsid w:val="00AF1EF2"/>
    <w:rsid w:val="00AF31B0"/>
    <w:rsid w:val="00AF3A43"/>
    <w:rsid w:val="00AF4069"/>
    <w:rsid w:val="00AF43BF"/>
    <w:rsid w:val="00AF4616"/>
    <w:rsid w:val="00AF498B"/>
    <w:rsid w:val="00AF68EC"/>
    <w:rsid w:val="00AF6A9D"/>
    <w:rsid w:val="00AF76E9"/>
    <w:rsid w:val="00AF7851"/>
    <w:rsid w:val="00AF7D52"/>
    <w:rsid w:val="00B011B5"/>
    <w:rsid w:val="00B01621"/>
    <w:rsid w:val="00B02993"/>
    <w:rsid w:val="00B02F25"/>
    <w:rsid w:val="00B0334A"/>
    <w:rsid w:val="00B03868"/>
    <w:rsid w:val="00B03FB8"/>
    <w:rsid w:val="00B043BE"/>
    <w:rsid w:val="00B047A1"/>
    <w:rsid w:val="00B04929"/>
    <w:rsid w:val="00B062FE"/>
    <w:rsid w:val="00B06DD2"/>
    <w:rsid w:val="00B06E8D"/>
    <w:rsid w:val="00B103B9"/>
    <w:rsid w:val="00B108DC"/>
    <w:rsid w:val="00B11396"/>
    <w:rsid w:val="00B118C0"/>
    <w:rsid w:val="00B11D7C"/>
    <w:rsid w:val="00B11FAC"/>
    <w:rsid w:val="00B126FC"/>
    <w:rsid w:val="00B140E6"/>
    <w:rsid w:val="00B14A88"/>
    <w:rsid w:val="00B14C04"/>
    <w:rsid w:val="00B15AD6"/>
    <w:rsid w:val="00B15B6B"/>
    <w:rsid w:val="00B16922"/>
    <w:rsid w:val="00B16D5D"/>
    <w:rsid w:val="00B16E98"/>
    <w:rsid w:val="00B20011"/>
    <w:rsid w:val="00B20381"/>
    <w:rsid w:val="00B21339"/>
    <w:rsid w:val="00B2171F"/>
    <w:rsid w:val="00B21915"/>
    <w:rsid w:val="00B21962"/>
    <w:rsid w:val="00B26992"/>
    <w:rsid w:val="00B26ACA"/>
    <w:rsid w:val="00B27CDC"/>
    <w:rsid w:val="00B31589"/>
    <w:rsid w:val="00B3165B"/>
    <w:rsid w:val="00B31D00"/>
    <w:rsid w:val="00B31F33"/>
    <w:rsid w:val="00B32E11"/>
    <w:rsid w:val="00B33242"/>
    <w:rsid w:val="00B340B8"/>
    <w:rsid w:val="00B343E2"/>
    <w:rsid w:val="00B3463F"/>
    <w:rsid w:val="00B34BF8"/>
    <w:rsid w:val="00B35285"/>
    <w:rsid w:val="00B368A6"/>
    <w:rsid w:val="00B36AC0"/>
    <w:rsid w:val="00B36AF7"/>
    <w:rsid w:val="00B372CC"/>
    <w:rsid w:val="00B40C5D"/>
    <w:rsid w:val="00B40F13"/>
    <w:rsid w:val="00B428F6"/>
    <w:rsid w:val="00B429BD"/>
    <w:rsid w:val="00B42C7D"/>
    <w:rsid w:val="00B45936"/>
    <w:rsid w:val="00B46484"/>
    <w:rsid w:val="00B465BE"/>
    <w:rsid w:val="00B468BF"/>
    <w:rsid w:val="00B46D15"/>
    <w:rsid w:val="00B50D94"/>
    <w:rsid w:val="00B51E9C"/>
    <w:rsid w:val="00B523A9"/>
    <w:rsid w:val="00B52826"/>
    <w:rsid w:val="00B52970"/>
    <w:rsid w:val="00B52B22"/>
    <w:rsid w:val="00B52F2C"/>
    <w:rsid w:val="00B53125"/>
    <w:rsid w:val="00B5374C"/>
    <w:rsid w:val="00B55611"/>
    <w:rsid w:val="00B56E18"/>
    <w:rsid w:val="00B570D5"/>
    <w:rsid w:val="00B576CD"/>
    <w:rsid w:val="00B57DE4"/>
    <w:rsid w:val="00B60866"/>
    <w:rsid w:val="00B615CA"/>
    <w:rsid w:val="00B627F3"/>
    <w:rsid w:val="00B62963"/>
    <w:rsid w:val="00B63322"/>
    <w:rsid w:val="00B63DC2"/>
    <w:rsid w:val="00B64D83"/>
    <w:rsid w:val="00B65109"/>
    <w:rsid w:val="00B65707"/>
    <w:rsid w:val="00B65A9E"/>
    <w:rsid w:val="00B660E6"/>
    <w:rsid w:val="00B666D5"/>
    <w:rsid w:val="00B67641"/>
    <w:rsid w:val="00B71BC2"/>
    <w:rsid w:val="00B72415"/>
    <w:rsid w:val="00B7248D"/>
    <w:rsid w:val="00B72840"/>
    <w:rsid w:val="00B73E15"/>
    <w:rsid w:val="00B7448A"/>
    <w:rsid w:val="00B744BF"/>
    <w:rsid w:val="00B758FE"/>
    <w:rsid w:val="00B76B89"/>
    <w:rsid w:val="00B7739B"/>
    <w:rsid w:val="00B77F5E"/>
    <w:rsid w:val="00B80EA3"/>
    <w:rsid w:val="00B8188B"/>
    <w:rsid w:val="00B81A1C"/>
    <w:rsid w:val="00B81DDB"/>
    <w:rsid w:val="00B820F3"/>
    <w:rsid w:val="00B8228F"/>
    <w:rsid w:val="00B82D5E"/>
    <w:rsid w:val="00B84237"/>
    <w:rsid w:val="00B84892"/>
    <w:rsid w:val="00B84E1D"/>
    <w:rsid w:val="00B85C3E"/>
    <w:rsid w:val="00B86F57"/>
    <w:rsid w:val="00B879F3"/>
    <w:rsid w:val="00B87A38"/>
    <w:rsid w:val="00B87B12"/>
    <w:rsid w:val="00B90B8F"/>
    <w:rsid w:val="00B90CE6"/>
    <w:rsid w:val="00B913A4"/>
    <w:rsid w:val="00B915F4"/>
    <w:rsid w:val="00B92A02"/>
    <w:rsid w:val="00B936CF"/>
    <w:rsid w:val="00B940A1"/>
    <w:rsid w:val="00B94DB4"/>
    <w:rsid w:val="00B9596A"/>
    <w:rsid w:val="00B95B16"/>
    <w:rsid w:val="00B975AC"/>
    <w:rsid w:val="00BA036F"/>
    <w:rsid w:val="00BA0B0B"/>
    <w:rsid w:val="00BA24EE"/>
    <w:rsid w:val="00BA2908"/>
    <w:rsid w:val="00BA2B7D"/>
    <w:rsid w:val="00BA2EFF"/>
    <w:rsid w:val="00BA30F6"/>
    <w:rsid w:val="00BA3643"/>
    <w:rsid w:val="00BA4575"/>
    <w:rsid w:val="00BA710E"/>
    <w:rsid w:val="00BA76B0"/>
    <w:rsid w:val="00BA7839"/>
    <w:rsid w:val="00BB0C3B"/>
    <w:rsid w:val="00BB12E8"/>
    <w:rsid w:val="00BB3B40"/>
    <w:rsid w:val="00BB3D53"/>
    <w:rsid w:val="00BB3E56"/>
    <w:rsid w:val="00BB5CB3"/>
    <w:rsid w:val="00BB62C8"/>
    <w:rsid w:val="00BB62D9"/>
    <w:rsid w:val="00BB6D73"/>
    <w:rsid w:val="00BB7360"/>
    <w:rsid w:val="00BC19D7"/>
    <w:rsid w:val="00BC1A6A"/>
    <w:rsid w:val="00BC34B7"/>
    <w:rsid w:val="00BC4322"/>
    <w:rsid w:val="00BC4482"/>
    <w:rsid w:val="00BC4F33"/>
    <w:rsid w:val="00BC5615"/>
    <w:rsid w:val="00BC59EC"/>
    <w:rsid w:val="00BC6CF8"/>
    <w:rsid w:val="00BC74A1"/>
    <w:rsid w:val="00BC7547"/>
    <w:rsid w:val="00BC779E"/>
    <w:rsid w:val="00BD0435"/>
    <w:rsid w:val="00BD09F2"/>
    <w:rsid w:val="00BD0A1B"/>
    <w:rsid w:val="00BD1A12"/>
    <w:rsid w:val="00BD1F25"/>
    <w:rsid w:val="00BD2833"/>
    <w:rsid w:val="00BD28A5"/>
    <w:rsid w:val="00BD2FCC"/>
    <w:rsid w:val="00BD3B0D"/>
    <w:rsid w:val="00BD4356"/>
    <w:rsid w:val="00BD4769"/>
    <w:rsid w:val="00BD5A63"/>
    <w:rsid w:val="00BD6044"/>
    <w:rsid w:val="00BD6435"/>
    <w:rsid w:val="00BD6448"/>
    <w:rsid w:val="00BD6A72"/>
    <w:rsid w:val="00BD6AEF"/>
    <w:rsid w:val="00BD6E2F"/>
    <w:rsid w:val="00BE007F"/>
    <w:rsid w:val="00BE0672"/>
    <w:rsid w:val="00BE10CC"/>
    <w:rsid w:val="00BE1979"/>
    <w:rsid w:val="00BE1A7C"/>
    <w:rsid w:val="00BE1D10"/>
    <w:rsid w:val="00BE267F"/>
    <w:rsid w:val="00BE2CCC"/>
    <w:rsid w:val="00BE43A3"/>
    <w:rsid w:val="00BE489D"/>
    <w:rsid w:val="00BE48ED"/>
    <w:rsid w:val="00BE52D1"/>
    <w:rsid w:val="00BE54AE"/>
    <w:rsid w:val="00BE5C28"/>
    <w:rsid w:val="00BE60D9"/>
    <w:rsid w:val="00BE6628"/>
    <w:rsid w:val="00BE6A17"/>
    <w:rsid w:val="00BE6AB1"/>
    <w:rsid w:val="00BE72F8"/>
    <w:rsid w:val="00BE747D"/>
    <w:rsid w:val="00BE767D"/>
    <w:rsid w:val="00BE7E84"/>
    <w:rsid w:val="00BF07D4"/>
    <w:rsid w:val="00BF1884"/>
    <w:rsid w:val="00BF18C0"/>
    <w:rsid w:val="00BF2548"/>
    <w:rsid w:val="00BF49A7"/>
    <w:rsid w:val="00BF4ACC"/>
    <w:rsid w:val="00BF562D"/>
    <w:rsid w:val="00BF638D"/>
    <w:rsid w:val="00BF7820"/>
    <w:rsid w:val="00BF7E5B"/>
    <w:rsid w:val="00C001BA"/>
    <w:rsid w:val="00C01F84"/>
    <w:rsid w:val="00C02836"/>
    <w:rsid w:val="00C02C56"/>
    <w:rsid w:val="00C03FC9"/>
    <w:rsid w:val="00C043D4"/>
    <w:rsid w:val="00C04740"/>
    <w:rsid w:val="00C05C45"/>
    <w:rsid w:val="00C063A4"/>
    <w:rsid w:val="00C06E62"/>
    <w:rsid w:val="00C070E0"/>
    <w:rsid w:val="00C07ED2"/>
    <w:rsid w:val="00C101DA"/>
    <w:rsid w:val="00C104B0"/>
    <w:rsid w:val="00C10A30"/>
    <w:rsid w:val="00C11613"/>
    <w:rsid w:val="00C116B9"/>
    <w:rsid w:val="00C12022"/>
    <w:rsid w:val="00C125D9"/>
    <w:rsid w:val="00C125E0"/>
    <w:rsid w:val="00C1294E"/>
    <w:rsid w:val="00C13C61"/>
    <w:rsid w:val="00C1457C"/>
    <w:rsid w:val="00C14C22"/>
    <w:rsid w:val="00C15280"/>
    <w:rsid w:val="00C159CF"/>
    <w:rsid w:val="00C15CDF"/>
    <w:rsid w:val="00C16CED"/>
    <w:rsid w:val="00C16D4D"/>
    <w:rsid w:val="00C1717C"/>
    <w:rsid w:val="00C20060"/>
    <w:rsid w:val="00C20BAA"/>
    <w:rsid w:val="00C216A2"/>
    <w:rsid w:val="00C21932"/>
    <w:rsid w:val="00C21DA0"/>
    <w:rsid w:val="00C220CD"/>
    <w:rsid w:val="00C22614"/>
    <w:rsid w:val="00C231FB"/>
    <w:rsid w:val="00C23BB2"/>
    <w:rsid w:val="00C24C5B"/>
    <w:rsid w:val="00C26432"/>
    <w:rsid w:val="00C273A9"/>
    <w:rsid w:val="00C27774"/>
    <w:rsid w:val="00C303CC"/>
    <w:rsid w:val="00C31123"/>
    <w:rsid w:val="00C328FB"/>
    <w:rsid w:val="00C32ED5"/>
    <w:rsid w:val="00C3387B"/>
    <w:rsid w:val="00C34403"/>
    <w:rsid w:val="00C3567C"/>
    <w:rsid w:val="00C357AF"/>
    <w:rsid w:val="00C35F25"/>
    <w:rsid w:val="00C36EF5"/>
    <w:rsid w:val="00C40269"/>
    <w:rsid w:val="00C415D5"/>
    <w:rsid w:val="00C4336B"/>
    <w:rsid w:val="00C43F61"/>
    <w:rsid w:val="00C44DA4"/>
    <w:rsid w:val="00C472DB"/>
    <w:rsid w:val="00C47FD9"/>
    <w:rsid w:val="00C51C38"/>
    <w:rsid w:val="00C524B3"/>
    <w:rsid w:val="00C52FC1"/>
    <w:rsid w:val="00C534F4"/>
    <w:rsid w:val="00C548F5"/>
    <w:rsid w:val="00C55662"/>
    <w:rsid w:val="00C560CF"/>
    <w:rsid w:val="00C57946"/>
    <w:rsid w:val="00C57EC2"/>
    <w:rsid w:val="00C60FA3"/>
    <w:rsid w:val="00C61014"/>
    <w:rsid w:val="00C61118"/>
    <w:rsid w:val="00C613E1"/>
    <w:rsid w:val="00C6189E"/>
    <w:rsid w:val="00C61D12"/>
    <w:rsid w:val="00C625C3"/>
    <w:rsid w:val="00C6289D"/>
    <w:rsid w:val="00C63477"/>
    <w:rsid w:val="00C635FA"/>
    <w:rsid w:val="00C6405B"/>
    <w:rsid w:val="00C6517B"/>
    <w:rsid w:val="00C65D08"/>
    <w:rsid w:val="00C67CC2"/>
    <w:rsid w:val="00C70178"/>
    <w:rsid w:val="00C7167B"/>
    <w:rsid w:val="00C71D27"/>
    <w:rsid w:val="00C721A2"/>
    <w:rsid w:val="00C72E86"/>
    <w:rsid w:val="00C72EE7"/>
    <w:rsid w:val="00C73047"/>
    <w:rsid w:val="00C7347E"/>
    <w:rsid w:val="00C736C3"/>
    <w:rsid w:val="00C73A88"/>
    <w:rsid w:val="00C73CE9"/>
    <w:rsid w:val="00C750DF"/>
    <w:rsid w:val="00C75692"/>
    <w:rsid w:val="00C759B8"/>
    <w:rsid w:val="00C76BDB"/>
    <w:rsid w:val="00C76D76"/>
    <w:rsid w:val="00C77AE0"/>
    <w:rsid w:val="00C77BE7"/>
    <w:rsid w:val="00C77C11"/>
    <w:rsid w:val="00C81BDB"/>
    <w:rsid w:val="00C822D7"/>
    <w:rsid w:val="00C822EA"/>
    <w:rsid w:val="00C82510"/>
    <w:rsid w:val="00C82B67"/>
    <w:rsid w:val="00C8307C"/>
    <w:rsid w:val="00C83468"/>
    <w:rsid w:val="00C856CD"/>
    <w:rsid w:val="00C85847"/>
    <w:rsid w:val="00C858E7"/>
    <w:rsid w:val="00C867C3"/>
    <w:rsid w:val="00C905C6"/>
    <w:rsid w:val="00C906DB"/>
    <w:rsid w:val="00C90DD3"/>
    <w:rsid w:val="00C91015"/>
    <w:rsid w:val="00C911EC"/>
    <w:rsid w:val="00C9159C"/>
    <w:rsid w:val="00C94E78"/>
    <w:rsid w:val="00C959EA"/>
    <w:rsid w:val="00C969CB"/>
    <w:rsid w:val="00C97C42"/>
    <w:rsid w:val="00CA040D"/>
    <w:rsid w:val="00CA116F"/>
    <w:rsid w:val="00CA1649"/>
    <w:rsid w:val="00CA18A2"/>
    <w:rsid w:val="00CA258C"/>
    <w:rsid w:val="00CA346F"/>
    <w:rsid w:val="00CA51AD"/>
    <w:rsid w:val="00CA68EB"/>
    <w:rsid w:val="00CA7045"/>
    <w:rsid w:val="00CA73D9"/>
    <w:rsid w:val="00CA7505"/>
    <w:rsid w:val="00CA7BC9"/>
    <w:rsid w:val="00CB09C3"/>
    <w:rsid w:val="00CB0EBD"/>
    <w:rsid w:val="00CB185A"/>
    <w:rsid w:val="00CB19BB"/>
    <w:rsid w:val="00CB22D1"/>
    <w:rsid w:val="00CB3150"/>
    <w:rsid w:val="00CB33D6"/>
    <w:rsid w:val="00CB40BE"/>
    <w:rsid w:val="00CB4295"/>
    <w:rsid w:val="00CB4A50"/>
    <w:rsid w:val="00CB523B"/>
    <w:rsid w:val="00CB554B"/>
    <w:rsid w:val="00CB6D44"/>
    <w:rsid w:val="00CB73AD"/>
    <w:rsid w:val="00CB7F56"/>
    <w:rsid w:val="00CB7FBE"/>
    <w:rsid w:val="00CC06A0"/>
    <w:rsid w:val="00CC081E"/>
    <w:rsid w:val="00CC0D0A"/>
    <w:rsid w:val="00CC151E"/>
    <w:rsid w:val="00CC15E4"/>
    <w:rsid w:val="00CC1AC7"/>
    <w:rsid w:val="00CC23C7"/>
    <w:rsid w:val="00CC3632"/>
    <w:rsid w:val="00CC3D07"/>
    <w:rsid w:val="00CC4727"/>
    <w:rsid w:val="00CC49F5"/>
    <w:rsid w:val="00CC5629"/>
    <w:rsid w:val="00CC6565"/>
    <w:rsid w:val="00CC666C"/>
    <w:rsid w:val="00CC7614"/>
    <w:rsid w:val="00CD0047"/>
    <w:rsid w:val="00CD007B"/>
    <w:rsid w:val="00CD00F5"/>
    <w:rsid w:val="00CD0880"/>
    <w:rsid w:val="00CD0A48"/>
    <w:rsid w:val="00CD0CB2"/>
    <w:rsid w:val="00CD0D5F"/>
    <w:rsid w:val="00CD1774"/>
    <w:rsid w:val="00CD182A"/>
    <w:rsid w:val="00CD2105"/>
    <w:rsid w:val="00CD4006"/>
    <w:rsid w:val="00CD4B01"/>
    <w:rsid w:val="00CD5BDA"/>
    <w:rsid w:val="00CD633C"/>
    <w:rsid w:val="00CD65F5"/>
    <w:rsid w:val="00CD662F"/>
    <w:rsid w:val="00CD756A"/>
    <w:rsid w:val="00CD7FE6"/>
    <w:rsid w:val="00CE0434"/>
    <w:rsid w:val="00CE0A72"/>
    <w:rsid w:val="00CE27A6"/>
    <w:rsid w:val="00CE2EB6"/>
    <w:rsid w:val="00CE3C5E"/>
    <w:rsid w:val="00CE3E40"/>
    <w:rsid w:val="00CE444F"/>
    <w:rsid w:val="00CE4B17"/>
    <w:rsid w:val="00CE72A0"/>
    <w:rsid w:val="00CE772A"/>
    <w:rsid w:val="00CF1435"/>
    <w:rsid w:val="00CF1482"/>
    <w:rsid w:val="00CF1712"/>
    <w:rsid w:val="00CF1C1F"/>
    <w:rsid w:val="00CF21CE"/>
    <w:rsid w:val="00CF27B7"/>
    <w:rsid w:val="00CF2E35"/>
    <w:rsid w:val="00CF2E60"/>
    <w:rsid w:val="00CF4896"/>
    <w:rsid w:val="00CF5315"/>
    <w:rsid w:val="00CF5622"/>
    <w:rsid w:val="00CF64A3"/>
    <w:rsid w:val="00CF64C0"/>
    <w:rsid w:val="00CF6C4F"/>
    <w:rsid w:val="00CF7EE2"/>
    <w:rsid w:val="00D00175"/>
    <w:rsid w:val="00D009D5"/>
    <w:rsid w:val="00D01152"/>
    <w:rsid w:val="00D017F7"/>
    <w:rsid w:val="00D035A5"/>
    <w:rsid w:val="00D03FA6"/>
    <w:rsid w:val="00D043A1"/>
    <w:rsid w:val="00D04A68"/>
    <w:rsid w:val="00D0565C"/>
    <w:rsid w:val="00D0775E"/>
    <w:rsid w:val="00D10E86"/>
    <w:rsid w:val="00D1133F"/>
    <w:rsid w:val="00D1146F"/>
    <w:rsid w:val="00D1211D"/>
    <w:rsid w:val="00D12F2F"/>
    <w:rsid w:val="00D132F7"/>
    <w:rsid w:val="00D142B2"/>
    <w:rsid w:val="00D14F52"/>
    <w:rsid w:val="00D158F0"/>
    <w:rsid w:val="00D15BE6"/>
    <w:rsid w:val="00D16D2D"/>
    <w:rsid w:val="00D174C5"/>
    <w:rsid w:val="00D2035E"/>
    <w:rsid w:val="00D20CFC"/>
    <w:rsid w:val="00D21B10"/>
    <w:rsid w:val="00D22340"/>
    <w:rsid w:val="00D22370"/>
    <w:rsid w:val="00D22E47"/>
    <w:rsid w:val="00D235B1"/>
    <w:rsid w:val="00D24048"/>
    <w:rsid w:val="00D244A8"/>
    <w:rsid w:val="00D2499F"/>
    <w:rsid w:val="00D24F7A"/>
    <w:rsid w:val="00D250AD"/>
    <w:rsid w:val="00D255B6"/>
    <w:rsid w:val="00D2736F"/>
    <w:rsid w:val="00D30B81"/>
    <w:rsid w:val="00D3278A"/>
    <w:rsid w:val="00D331C1"/>
    <w:rsid w:val="00D331EC"/>
    <w:rsid w:val="00D336CA"/>
    <w:rsid w:val="00D33748"/>
    <w:rsid w:val="00D33FD4"/>
    <w:rsid w:val="00D3400C"/>
    <w:rsid w:val="00D347B4"/>
    <w:rsid w:val="00D356AA"/>
    <w:rsid w:val="00D359AC"/>
    <w:rsid w:val="00D35D18"/>
    <w:rsid w:val="00D35F53"/>
    <w:rsid w:val="00D360EF"/>
    <w:rsid w:val="00D361F9"/>
    <w:rsid w:val="00D3627E"/>
    <w:rsid w:val="00D3690E"/>
    <w:rsid w:val="00D373CC"/>
    <w:rsid w:val="00D37831"/>
    <w:rsid w:val="00D4179A"/>
    <w:rsid w:val="00D42391"/>
    <w:rsid w:val="00D43DB8"/>
    <w:rsid w:val="00D44060"/>
    <w:rsid w:val="00D44989"/>
    <w:rsid w:val="00D4611F"/>
    <w:rsid w:val="00D47215"/>
    <w:rsid w:val="00D47A00"/>
    <w:rsid w:val="00D47D14"/>
    <w:rsid w:val="00D47FE1"/>
    <w:rsid w:val="00D5030B"/>
    <w:rsid w:val="00D5108C"/>
    <w:rsid w:val="00D52406"/>
    <w:rsid w:val="00D52A0E"/>
    <w:rsid w:val="00D52CFF"/>
    <w:rsid w:val="00D52DE8"/>
    <w:rsid w:val="00D53F0C"/>
    <w:rsid w:val="00D5442F"/>
    <w:rsid w:val="00D5485F"/>
    <w:rsid w:val="00D56D9A"/>
    <w:rsid w:val="00D5708A"/>
    <w:rsid w:val="00D5737E"/>
    <w:rsid w:val="00D579BE"/>
    <w:rsid w:val="00D604E5"/>
    <w:rsid w:val="00D6082D"/>
    <w:rsid w:val="00D608AA"/>
    <w:rsid w:val="00D60B9C"/>
    <w:rsid w:val="00D616D7"/>
    <w:rsid w:val="00D61AD8"/>
    <w:rsid w:val="00D625F1"/>
    <w:rsid w:val="00D63B0F"/>
    <w:rsid w:val="00D641F4"/>
    <w:rsid w:val="00D6450F"/>
    <w:rsid w:val="00D653F2"/>
    <w:rsid w:val="00D70621"/>
    <w:rsid w:val="00D710A5"/>
    <w:rsid w:val="00D71B2D"/>
    <w:rsid w:val="00D722EE"/>
    <w:rsid w:val="00D72E43"/>
    <w:rsid w:val="00D734C0"/>
    <w:rsid w:val="00D739FE"/>
    <w:rsid w:val="00D73D2A"/>
    <w:rsid w:val="00D73EC2"/>
    <w:rsid w:val="00D74885"/>
    <w:rsid w:val="00D74933"/>
    <w:rsid w:val="00D749CA"/>
    <w:rsid w:val="00D749F5"/>
    <w:rsid w:val="00D7569E"/>
    <w:rsid w:val="00D76C79"/>
    <w:rsid w:val="00D7705B"/>
    <w:rsid w:val="00D77614"/>
    <w:rsid w:val="00D7761E"/>
    <w:rsid w:val="00D77DB5"/>
    <w:rsid w:val="00D8017E"/>
    <w:rsid w:val="00D80482"/>
    <w:rsid w:val="00D8290C"/>
    <w:rsid w:val="00D836B7"/>
    <w:rsid w:val="00D83F4B"/>
    <w:rsid w:val="00D84EE9"/>
    <w:rsid w:val="00D858AF"/>
    <w:rsid w:val="00D85DE7"/>
    <w:rsid w:val="00D87673"/>
    <w:rsid w:val="00D901B9"/>
    <w:rsid w:val="00D9080E"/>
    <w:rsid w:val="00D90FCC"/>
    <w:rsid w:val="00D9148A"/>
    <w:rsid w:val="00D92067"/>
    <w:rsid w:val="00D92CCB"/>
    <w:rsid w:val="00D9479F"/>
    <w:rsid w:val="00D948D6"/>
    <w:rsid w:val="00D95242"/>
    <w:rsid w:val="00D9611F"/>
    <w:rsid w:val="00D96176"/>
    <w:rsid w:val="00D96574"/>
    <w:rsid w:val="00D9670B"/>
    <w:rsid w:val="00D96D6C"/>
    <w:rsid w:val="00D970B0"/>
    <w:rsid w:val="00DA0AD2"/>
    <w:rsid w:val="00DA0BAF"/>
    <w:rsid w:val="00DA0C8C"/>
    <w:rsid w:val="00DA158E"/>
    <w:rsid w:val="00DA1DF1"/>
    <w:rsid w:val="00DA1F5A"/>
    <w:rsid w:val="00DA24CE"/>
    <w:rsid w:val="00DA32AD"/>
    <w:rsid w:val="00DA3716"/>
    <w:rsid w:val="00DA4330"/>
    <w:rsid w:val="00DA49B5"/>
    <w:rsid w:val="00DA5912"/>
    <w:rsid w:val="00DA6CF9"/>
    <w:rsid w:val="00DA6F11"/>
    <w:rsid w:val="00DA735F"/>
    <w:rsid w:val="00DA757C"/>
    <w:rsid w:val="00DA78B2"/>
    <w:rsid w:val="00DB028C"/>
    <w:rsid w:val="00DB087D"/>
    <w:rsid w:val="00DB19BF"/>
    <w:rsid w:val="00DB1D7D"/>
    <w:rsid w:val="00DB1E9A"/>
    <w:rsid w:val="00DB2949"/>
    <w:rsid w:val="00DB2ECB"/>
    <w:rsid w:val="00DB3195"/>
    <w:rsid w:val="00DB371B"/>
    <w:rsid w:val="00DB3F9A"/>
    <w:rsid w:val="00DB4327"/>
    <w:rsid w:val="00DB4362"/>
    <w:rsid w:val="00DB4B3E"/>
    <w:rsid w:val="00DB4E78"/>
    <w:rsid w:val="00DB5698"/>
    <w:rsid w:val="00DB65D0"/>
    <w:rsid w:val="00DB7212"/>
    <w:rsid w:val="00DB747F"/>
    <w:rsid w:val="00DC048E"/>
    <w:rsid w:val="00DC0F2D"/>
    <w:rsid w:val="00DC18AE"/>
    <w:rsid w:val="00DC204D"/>
    <w:rsid w:val="00DC243F"/>
    <w:rsid w:val="00DC2783"/>
    <w:rsid w:val="00DC312F"/>
    <w:rsid w:val="00DC3A96"/>
    <w:rsid w:val="00DC4031"/>
    <w:rsid w:val="00DC46FB"/>
    <w:rsid w:val="00DC54A7"/>
    <w:rsid w:val="00DC623B"/>
    <w:rsid w:val="00DC62DC"/>
    <w:rsid w:val="00DC664D"/>
    <w:rsid w:val="00DC677B"/>
    <w:rsid w:val="00DC72BF"/>
    <w:rsid w:val="00DC7713"/>
    <w:rsid w:val="00DD0DC3"/>
    <w:rsid w:val="00DD0F22"/>
    <w:rsid w:val="00DD1065"/>
    <w:rsid w:val="00DD2F4D"/>
    <w:rsid w:val="00DD33AD"/>
    <w:rsid w:val="00DD43DE"/>
    <w:rsid w:val="00DD5C04"/>
    <w:rsid w:val="00DD5C62"/>
    <w:rsid w:val="00DD6CAF"/>
    <w:rsid w:val="00DD7349"/>
    <w:rsid w:val="00DD73E3"/>
    <w:rsid w:val="00DD7B2E"/>
    <w:rsid w:val="00DE0A4D"/>
    <w:rsid w:val="00DE112E"/>
    <w:rsid w:val="00DE160C"/>
    <w:rsid w:val="00DE20FE"/>
    <w:rsid w:val="00DE3312"/>
    <w:rsid w:val="00DE3B78"/>
    <w:rsid w:val="00DE3B8E"/>
    <w:rsid w:val="00DE3D22"/>
    <w:rsid w:val="00DE3DA6"/>
    <w:rsid w:val="00DE4C2E"/>
    <w:rsid w:val="00DE521D"/>
    <w:rsid w:val="00DE5609"/>
    <w:rsid w:val="00DE577C"/>
    <w:rsid w:val="00DE6735"/>
    <w:rsid w:val="00DE714B"/>
    <w:rsid w:val="00DE7301"/>
    <w:rsid w:val="00DE7FC8"/>
    <w:rsid w:val="00DF0361"/>
    <w:rsid w:val="00DF059E"/>
    <w:rsid w:val="00DF08D1"/>
    <w:rsid w:val="00DF118B"/>
    <w:rsid w:val="00DF167A"/>
    <w:rsid w:val="00DF203B"/>
    <w:rsid w:val="00DF277B"/>
    <w:rsid w:val="00DF29D4"/>
    <w:rsid w:val="00DF2B6F"/>
    <w:rsid w:val="00DF2BD5"/>
    <w:rsid w:val="00DF2FC4"/>
    <w:rsid w:val="00DF4A8A"/>
    <w:rsid w:val="00DF4C9D"/>
    <w:rsid w:val="00DF521D"/>
    <w:rsid w:val="00DF5298"/>
    <w:rsid w:val="00DF56EB"/>
    <w:rsid w:val="00DF6A73"/>
    <w:rsid w:val="00DF6CA0"/>
    <w:rsid w:val="00DF6DA8"/>
    <w:rsid w:val="00DF6DF7"/>
    <w:rsid w:val="00E000F9"/>
    <w:rsid w:val="00E005AA"/>
    <w:rsid w:val="00E01402"/>
    <w:rsid w:val="00E01742"/>
    <w:rsid w:val="00E01DBA"/>
    <w:rsid w:val="00E02D51"/>
    <w:rsid w:val="00E03C1C"/>
    <w:rsid w:val="00E04C0C"/>
    <w:rsid w:val="00E04FCB"/>
    <w:rsid w:val="00E05D4A"/>
    <w:rsid w:val="00E110E2"/>
    <w:rsid w:val="00E1116F"/>
    <w:rsid w:val="00E14D48"/>
    <w:rsid w:val="00E1523A"/>
    <w:rsid w:val="00E1633B"/>
    <w:rsid w:val="00E163F9"/>
    <w:rsid w:val="00E166A4"/>
    <w:rsid w:val="00E16F3F"/>
    <w:rsid w:val="00E172DC"/>
    <w:rsid w:val="00E17590"/>
    <w:rsid w:val="00E17719"/>
    <w:rsid w:val="00E2039C"/>
    <w:rsid w:val="00E20D5C"/>
    <w:rsid w:val="00E21E8D"/>
    <w:rsid w:val="00E22165"/>
    <w:rsid w:val="00E23C5B"/>
    <w:rsid w:val="00E23D8F"/>
    <w:rsid w:val="00E24E72"/>
    <w:rsid w:val="00E258E6"/>
    <w:rsid w:val="00E25927"/>
    <w:rsid w:val="00E26020"/>
    <w:rsid w:val="00E26E00"/>
    <w:rsid w:val="00E27A9C"/>
    <w:rsid w:val="00E27B01"/>
    <w:rsid w:val="00E27E6E"/>
    <w:rsid w:val="00E316EC"/>
    <w:rsid w:val="00E31706"/>
    <w:rsid w:val="00E32E36"/>
    <w:rsid w:val="00E33088"/>
    <w:rsid w:val="00E33EF4"/>
    <w:rsid w:val="00E3402F"/>
    <w:rsid w:val="00E3441D"/>
    <w:rsid w:val="00E34940"/>
    <w:rsid w:val="00E349AE"/>
    <w:rsid w:val="00E355A9"/>
    <w:rsid w:val="00E35F28"/>
    <w:rsid w:val="00E361DD"/>
    <w:rsid w:val="00E3749B"/>
    <w:rsid w:val="00E37A6C"/>
    <w:rsid w:val="00E4056B"/>
    <w:rsid w:val="00E41125"/>
    <w:rsid w:val="00E412BA"/>
    <w:rsid w:val="00E41FFC"/>
    <w:rsid w:val="00E42BC1"/>
    <w:rsid w:val="00E44CB2"/>
    <w:rsid w:val="00E44DB7"/>
    <w:rsid w:val="00E45C8A"/>
    <w:rsid w:val="00E45D32"/>
    <w:rsid w:val="00E46ECC"/>
    <w:rsid w:val="00E476F2"/>
    <w:rsid w:val="00E47C0B"/>
    <w:rsid w:val="00E50E5D"/>
    <w:rsid w:val="00E5473F"/>
    <w:rsid w:val="00E54902"/>
    <w:rsid w:val="00E54E0E"/>
    <w:rsid w:val="00E56255"/>
    <w:rsid w:val="00E567AB"/>
    <w:rsid w:val="00E56A6E"/>
    <w:rsid w:val="00E607E2"/>
    <w:rsid w:val="00E60DAF"/>
    <w:rsid w:val="00E62A7A"/>
    <w:rsid w:val="00E62CD8"/>
    <w:rsid w:val="00E62EBF"/>
    <w:rsid w:val="00E6472A"/>
    <w:rsid w:val="00E666C5"/>
    <w:rsid w:val="00E66B7B"/>
    <w:rsid w:val="00E67200"/>
    <w:rsid w:val="00E679A8"/>
    <w:rsid w:val="00E7087C"/>
    <w:rsid w:val="00E713EB"/>
    <w:rsid w:val="00E748A7"/>
    <w:rsid w:val="00E74993"/>
    <w:rsid w:val="00E7509D"/>
    <w:rsid w:val="00E756D0"/>
    <w:rsid w:val="00E75BF8"/>
    <w:rsid w:val="00E77353"/>
    <w:rsid w:val="00E80A9E"/>
    <w:rsid w:val="00E81B51"/>
    <w:rsid w:val="00E81E0C"/>
    <w:rsid w:val="00E83048"/>
    <w:rsid w:val="00E83255"/>
    <w:rsid w:val="00E84799"/>
    <w:rsid w:val="00E851FA"/>
    <w:rsid w:val="00E85C5A"/>
    <w:rsid w:val="00E85FC6"/>
    <w:rsid w:val="00E86BF7"/>
    <w:rsid w:val="00E92827"/>
    <w:rsid w:val="00E944CE"/>
    <w:rsid w:val="00E952C9"/>
    <w:rsid w:val="00E956CD"/>
    <w:rsid w:val="00E97906"/>
    <w:rsid w:val="00E97AF7"/>
    <w:rsid w:val="00E97F40"/>
    <w:rsid w:val="00EA0021"/>
    <w:rsid w:val="00EA0A0F"/>
    <w:rsid w:val="00EA11A5"/>
    <w:rsid w:val="00EA1C7E"/>
    <w:rsid w:val="00EA26C9"/>
    <w:rsid w:val="00EA2D3B"/>
    <w:rsid w:val="00EA319D"/>
    <w:rsid w:val="00EA34DC"/>
    <w:rsid w:val="00EA40AC"/>
    <w:rsid w:val="00EA46C4"/>
    <w:rsid w:val="00EA52A2"/>
    <w:rsid w:val="00EA544F"/>
    <w:rsid w:val="00EA60DE"/>
    <w:rsid w:val="00EB052F"/>
    <w:rsid w:val="00EB1D43"/>
    <w:rsid w:val="00EB255E"/>
    <w:rsid w:val="00EB2D30"/>
    <w:rsid w:val="00EB3435"/>
    <w:rsid w:val="00EB36A8"/>
    <w:rsid w:val="00EB3BF9"/>
    <w:rsid w:val="00EB3D97"/>
    <w:rsid w:val="00EB55AE"/>
    <w:rsid w:val="00EB59A3"/>
    <w:rsid w:val="00EB5D04"/>
    <w:rsid w:val="00EB66B2"/>
    <w:rsid w:val="00EB7174"/>
    <w:rsid w:val="00EC0B86"/>
    <w:rsid w:val="00EC0CDF"/>
    <w:rsid w:val="00EC0D16"/>
    <w:rsid w:val="00EC2183"/>
    <w:rsid w:val="00EC2DF7"/>
    <w:rsid w:val="00EC3C80"/>
    <w:rsid w:val="00EC474B"/>
    <w:rsid w:val="00EC4E06"/>
    <w:rsid w:val="00EC59A4"/>
    <w:rsid w:val="00EC6B0A"/>
    <w:rsid w:val="00EC6B11"/>
    <w:rsid w:val="00ED0899"/>
    <w:rsid w:val="00ED0D29"/>
    <w:rsid w:val="00ED0E5E"/>
    <w:rsid w:val="00ED11BA"/>
    <w:rsid w:val="00ED25AD"/>
    <w:rsid w:val="00ED27EE"/>
    <w:rsid w:val="00ED35FB"/>
    <w:rsid w:val="00ED373A"/>
    <w:rsid w:val="00ED3C12"/>
    <w:rsid w:val="00ED3E10"/>
    <w:rsid w:val="00ED4D85"/>
    <w:rsid w:val="00ED4D93"/>
    <w:rsid w:val="00ED4E28"/>
    <w:rsid w:val="00ED5394"/>
    <w:rsid w:val="00ED69DC"/>
    <w:rsid w:val="00ED6B28"/>
    <w:rsid w:val="00EE09E1"/>
    <w:rsid w:val="00EE1170"/>
    <w:rsid w:val="00EE1244"/>
    <w:rsid w:val="00EE1629"/>
    <w:rsid w:val="00EE1C85"/>
    <w:rsid w:val="00EE22D9"/>
    <w:rsid w:val="00EE3F50"/>
    <w:rsid w:val="00EE6051"/>
    <w:rsid w:val="00EE64C1"/>
    <w:rsid w:val="00EE6C6E"/>
    <w:rsid w:val="00EE6C9B"/>
    <w:rsid w:val="00EE6D67"/>
    <w:rsid w:val="00EE70BE"/>
    <w:rsid w:val="00EE75F6"/>
    <w:rsid w:val="00EE7711"/>
    <w:rsid w:val="00EE795E"/>
    <w:rsid w:val="00EF2327"/>
    <w:rsid w:val="00EF2B4B"/>
    <w:rsid w:val="00EF3687"/>
    <w:rsid w:val="00EF4456"/>
    <w:rsid w:val="00EF4B93"/>
    <w:rsid w:val="00EF5D16"/>
    <w:rsid w:val="00EF6D4A"/>
    <w:rsid w:val="00EF6EF8"/>
    <w:rsid w:val="00EF703B"/>
    <w:rsid w:val="00EF7229"/>
    <w:rsid w:val="00EF73F3"/>
    <w:rsid w:val="00EF7ADB"/>
    <w:rsid w:val="00F00978"/>
    <w:rsid w:val="00F00E4B"/>
    <w:rsid w:val="00F0108E"/>
    <w:rsid w:val="00F010EE"/>
    <w:rsid w:val="00F0206B"/>
    <w:rsid w:val="00F020E8"/>
    <w:rsid w:val="00F0279A"/>
    <w:rsid w:val="00F03E2F"/>
    <w:rsid w:val="00F0436B"/>
    <w:rsid w:val="00F0619D"/>
    <w:rsid w:val="00F06DB2"/>
    <w:rsid w:val="00F06F2F"/>
    <w:rsid w:val="00F104D2"/>
    <w:rsid w:val="00F108D0"/>
    <w:rsid w:val="00F10ED9"/>
    <w:rsid w:val="00F118E8"/>
    <w:rsid w:val="00F11B93"/>
    <w:rsid w:val="00F123A9"/>
    <w:rsid w:val="00F12B31"/>
    <w:rsid w:val="00F12C88"/>
    <w:rsid w:val="00F12F0F"/>
    <w:rsid w:val="00F12FC8"/>
    <w:rsid w:val="00F14D88"/>
    <w:rsid w:val="00F15407"/>
    <w:rsid w:val="00F15F7A"/>
    <w:rsid w:val="00F163D3"/>
    <w:rsid w:val="00F168C2"/>
    <w:rsid w:val="00F16AE8"/>
    <w:rsid w:val="00F16D1A"/>
    <w:rsid w:val="00F17F6D"/>
    <w:rsid w:val="00F20732"/>
    <w:rsid w:val="00F2189B"/>
    <w:rsid w:val="00F2220A"/>
    <w:rsid w:val="00F235D1"/>
    <w:rsid w:val="00F23CCD"/>
    <w:rsid w:val="00F24937"/>
    <w:rsid w:val="00F249B9"/>
    <w:rsid w:val="00F25308"/>
    <w:rsid w:val="00F25BAB"/>
    <w:rsid w:val="00F26487"/>
    <w:rsid w:val="00F265A5"/>
    <w:rsid w:val="00F3072D"/>
    <w:rsid w:val="00F30744"/>
    <w:rsid w:val="00F313AB"/>
    <w:rsid w:val="00F334F5"/>
    <w:rsid w:val="00F35C26"/>
    <w:rsid w:val="00F367DB"/>
    <w:rsid w:val="00F36EC8"/>
    <w:rsid w:val="00F400D1"/>
    <w:rsid w:val="00F40C02"/>
    <w:rsid w:val="00F41925"/>
    <w:rsid w:val="00F41971"/>
    <w:rsid w:val="00F41B7F"/>
    <w:rsid w:val="00F41BD5"/>
    <w:rsid w:val="00F42653"/>
    <w:rsid w:val="00F44E90"/>
    <w:rsid w:val="00F451F9"/>
    <w:rsid w:val="00F45333"/>
    <w:rsid w:val="00F466BF"/>
    <w:rsid w:val="00F46A09"/>
    <w:rsid w:val="00F46AA6"/>
    <w:rsid w:val="00F473D4"/>
    <w:rsid w:val="00F5002E"/>
    <w:rsid w:val="00F5060C"/>
    <w:rsid w:val="00F52145"/>
    <w:rsid w:val="00F52B0B"/>
    <w:rsid w:val="00F53012"/>
    <w:rsid w:val="00F5305D"/>
    <w:rsid w:val="00F531B1"/>
    <w:rsid w:val="00F5393C"/>
    <w:rsid w:val="00F53AA1"/>
    <w:rsid w:val="00F53E5D"/>
    <w:rsid w:val="00F5409D"/>
    <w:rsid w:val="00F554A9"/>
    <w:rsid w:val="00F555D2"/>
    <w:rsid w:val="00F55E40"/>
    <w:rsid w:val="00F569BC"/>
    <w:rsid w:val="00F56D72"/>
    <w:rsid w:val="00F56DD1"/>
    <w:rsid w:val="00F602A5"/>
    <w:rsid w:val="00F61A37"/>
    <w:rsid w:val="00F63303"/>
    <w:rsid w:val="00F63510"/>
    <w:rsid w:val="00F63685"/>
    <w:rsid w:val="00F63944"/>
    <w:rsid w:val="00F63F14"/>
    <w:rsid w:val="00F64120"/>
    <w:rsid w:val="00F64A85"/>
    <w:rsid w:val="00F64B7C"/>
    <w:rsid w:val="00F65D2C"/>
    <w:rsid w:val="00F66143"/>
    <w:rsid w:val="00F66611"/>
    <w:rsid w:val="00F66699"/>
    <w:rsid w:val="00F669FD"/>
    <w:rsid w:val="00F67B1B"/>
    <w:rsid w:val="00F70FE3"/>
    <w:rsid w:val="00F71D8D"/>
    <w:rsid w:val="00F72472"/>
    <w:rsid w:val="00F739A5"/>
    <w:rsid w:val="00F73EAA"/>
    <w:rsid w:val="00F76391"/>
    <w:rsid w:val="00F769BC"/>
    <w:rsid w:val="00F769F1"/>
    <w:rsid w:val="00F77484"/>
    <w:rsid w:val="00F77662"/>
    <w:rsid w:val="00F81071"/>
    <w:rsid w:val="00F81350"/>
    <w:rsid w:val="00F8157D"/>
    <w:rsid w:val="00F81C2F"/>
    <w:rsid w:val="00F823FC"/>
    <w:rsid w:val="00F83018"/>
    <w:rsid w:val="00F83CC4"/>
    <w:rsid w:val="00F842CA"/>
    <w:rsid w:val="00F84EC6"/>
    <w:rsid w:val="00F85DDA"/>
    <w:rsid w:val="00F86040"/>
    <w:rsid w:val="00F90251"/>
    <w:rsid w:val="00F9026A"/>
    <w:rsid w:val="00F90369"/>
    <w:rsid w:val="00F90F4A"/>
    <w:rsid w:val="00F91FCF"/>
    <w:rsid w:val="00F92C4E"/>
    <w:rsid w:val="00F93105"/>
    <w:rsid w:val="00F93374"/>
    <w:rsid w:val="00F936EA"/>
    <w:rsid w:val="00F93943"/>
    <w:rsid w:val="00F93E49"/>
    <w:rsid w:val="00F93FDB"/>
    <w:rsid w:val="00F94B1C"/>
    <w:rsid w:val="00F976B1"/>
    <w:rsid w:val="00FA00B4"/>
    <w:rsid w:val="00FA034D"/>
    <w:rsid w:val="00FA1B53"/>
    <w:rsid w:val="00FA215F"/>
    <w:rsid w:val="00FA2618"/>
    <w:rsid w:val="00FA2CDC"/>
    <w:rsid w:val="00FA2DB2"/>
    <w:rsid w:val="00FA3806"/>
    <w:rsid w:val="00FA43A1"/>
    <w:rsid w:val="00FA4684"/>
    <w:rsid w:val="00FA51C6"/>
    <w:rsid w:val="00FA7823"/>
    <w:rsid w:val="00FB02F9"/>
    <w:rsid w:val="00FB1349"/>
    <w:rsid w:val="00FB14B7"/>
    <w:rsid w:val="00FB2014"/>
    <w:rsid w:val="00FB215E"/>
    <w:rsid w:val="00FB34D6"/>
    <w:rsid w:val="00FB39B8"/>
    <w:rsid w:val="00FB5601"/>
    <w:rsid w:val="00FB5642"/>
    <w:rsid w:val="00FB6712"/>
    <w:rsid w:val="00FB76B9"/>
    <w:rsid w:val="00FB7A21"/>
    <w:rsid w:val="00FB7C4E"/>
    <w:rsid w:val="00FC006C"/>
    <w:rsid w:val="00FC10D8"/>
    <w:rsid w:val="00FC1BE1"/>
    <w:rsid w:val="00FC2674"/>
    <w:rsid w:val="00FC4015"/>
    <w:rsid w:val="00FC4073"/>
    <w:rsid w:val="00FC45FF"/>
    <w:rsid w:val="00FC543D"/>
    <w:rsid w:val="00FC5A61"/>
    <w:rsid w:val="00FC5CFC"/>
    <w:rsid w:val="00FC66BF"/>
    <w:rsid w:val="00FC77B7"/>
    <w:rsid w:val="00FC7AB1"/>
    <w:rsid w:val="00FD02BE"/>
    <w:rsid w:val="00FD0357"/>
    <w:rsid w:val="00FD0BC5"/>
    <w:rsid w:val="00FD2C77"/>
    <w:rsid w:val="00FD32F7"/>
    <w:rsid w:val="00FD36CE"/>
    <w:rsid w:val="00FD49CF"/>
    <w:rsid w:val="00FD4B24"/>
    <w:rsid w:val="00FD599C"/>
    <w:rsid w:val="00FD6880"/>
    <w:rsid w:val="00FD7DEE"/>
    <w:rsid w:val="00FE0F21"/>
    <w:rsid w:val="00FE2135"/>
    <w:rsid w:val="00FE2CD4"/>
    <w:rsid w:val="00FE351D"/>
    <w:rsid w:val="00FE35AF"/>
    <w:rsid w:val="00FE3C96"/>
    <w:rsid w:val="00FE44F1"/>
    <w:rsid w:val="00FE477B"/>
    <w:rsid w:val="00FE51E0"/>
    <w:rsid w:val="00FE53AF"/>
    <w:rsid w:val="00FE5F15"/>
    <w:rsid w:val="00FE6084"/>
    <w:rsid w:val="00FE6313"/>
    <w:rsid w:val="00FE79BA"/>
    <w:rsid w:val="00FE7B8D"/>
    <w:rsid w:val="00FF0BAF"/>
    <w:rsid w:val="00FF1B6D"/>
    <w:rsid w:val="00FF1CEC"/>
    <w:rsid w:val="00FF2D42"/>
    <w:rsid w:val="00FF2E0F"/>
    <w:rsid w:val="00FF3344"/>
    <w:rsid w:val="00FF45D0"/>
    <w:rsid w:val="00FF51AB"/>
    <w:rsid w:val="00FF687C"/>
    <w:rsid w:val="00FF68F9"/>
    <w:rsid w:val="00FF69EC"/>
    <w:rsid w:val="00FF6E5C"/>
    <w:rsid w:val="00FF6FE9"/>
    <w:rsid w:val="00FF7C50"/>
    <w:rsid w:val="00FF7DC8"/>
    <w:rsid w:val="01064403"/>
    <w:rsid w:val="015222C8"/>
    <w:rsid w:val="01B58AD9"/>
    <w:rsid w:val="0245D1AB"/>
    <w:rsid w:val="03122CAD"/>
    <w:rsid w:val="03B097CF"/>
    <w:rsid w:val="04AED481"/>
    <w:rsid w:val="04FEAA14"/>
    <w:rsid w:val="056AAC7C"/>
    <w:rsid w:val="05770F71"/>
    <w:rsid w:val="057B82AC"/>
    <w:rsid w:val="06B2127C"/>
    <w:rsid w:val="070CA3FB"/>
    <w:rsid w:val="0783F541"/>
    <w:rsid w:val="07B6E710"/>
    <w:rsid w:val="07F1FFB0"/>
    <w:rsid w:val="0809FBAF"/>
    <w:rsid w:val="091153BF"/>
    <w:rsid w:val="0934E878"/>
    <w:rsid w:val="0A12BE4C"/>
    <w:rsid w:val="0A23C4AC"/>
    <w:rsid w:val="0A3CED09"/>
    <w:rsid w:val="0A59D348"/>
    <w:rsid w:val="0B129EF6"/>
    <w:rsid w:val="0C414118"/>
    <w:rsid w:val="0C4F7A32"/>
    <w:rsid w:val="0C76A8E8"/>
    <w:rsid w:val="0D628B4C"/>
    <w:rsid w:val="0D77744F"/>
    <w:rsid w:val="0D803B9D"/>
    <w:rsid w:val="0D879C43"/>
    <w:rsid w:val="0DE96FC2"/>
    <w:rsid w:val="0FD1C86E"/>
    <w:rsid w:val="0FF83A2B"/>
    <w:rsid w:val="1005E92D"/>
    <w:rsid w:val="10D0FBF6"/>
    <w:rsid w:val="119BCFD9"/>
    <w:rsid w:val="11A4A56E"/>
    <w:rsid w:val="128C600B"/>
    <w:rsid w:val="12DED185"/>
    <w:rsid w:val="13573FE6"/>
    <w:rsid w:val="1374806F"/>
    <w:rsid w:val="138797BC"/>
    <w:rsid w:val="138BAC55"/>
    <w:rsid w:val="14D426D4"/>
    <w:rsid w:val="150B60F8"/>
    <w:rsid w:val="1582080E"/>
    <w:rsid w:val="15A5AE6C"/>
    <w:rsid w:val="17972E3E"/>
    <w:rsid w:val="17C6AF73"/>
    <w:rsid w:val="17F36B1B"/>
    <w:rsid w:val="18D80587"/>
    <w:rsid w:val="1906CE62"/>
    <w:rsid w:val="191FE3DA"/>
    <w:rsid w:val="1ACA64BA"/>
    <w:rsid w:val="1B1CE070"/>
    <w:rsid w:val="1BA4FF50"/>
    <w:rsid w:val="1BC91F2A"/>
    <w:rsid w:val="1BD5B8D7"/>
    <w:rsid w:val="1C08E018"/>
    <w:rsid w:val="1C600092"/>
    <w:rsid w:val="1CBC6440"/>
    <w:rsid w:val="1D324351"/>
    <w:rsid w:val="1E1FFBCC"/>
    <w:rsid w:val="1E9BFCA0"/>
    <w:rsid w:val="1F635F55"/>
    <w:rsid w:val="202A20A0"/>
    <w:rsid w:val="202DFFA2"/>
    <w:rsid w:val="20C58F54"/>
    <w:rsid w:val="21D39D62"/>
    <w:rsid w:val="227897DB"/>
    <w:rsid w:val="23174660"/>
    <w:rsid w:val="2430194F"/>
    <w:rsid w:val="244293EB"/>
    <w:rsid w:val="244E6D80"/>
    <w:rsid w:val="2527666D"/>
    <w:rsid w:val="252DC0C4"/>
    <w:rsid w:val="26B3FA9C"/>
    <w:rsid w:val="27A81D79"/>
    <w:rsid w:val="297E614A"/>
    <w:rsid w:val="29E1B1D8"/>
    <w:rsid w:val="29F83574"/>
    <w:rsid w:val="2A9CBB11"/>
    <w:rsid w:val="2AF49910"/>
    <w:rsid w:val="2B61574B"/>
    <w:rsid w:val="2B940F4D"/>
    <w:rsid w:val="2BFCD06C"/>
    <w:rsid w:val="2C4C2025"/>
    <w:rsid w:val="2D0D1BFD"/>
    <w:rsid w:val="2DEF1488"/>
    <w:rsid w:val="2E44219E"/>
    <w:rsid w:val="2F6324B6"/>
    <w:rsid w:val="2FB6EE04"/>
    <w:rsid w:val="303C211D"/>
    <w:rsid w:val="30C1A962"/>
    <w:rsid w:val="30D9B24A"/>
    <w:rsid w:val="30EEAED3"/>
    <w:rsid w:val="31545C94"/>
    <w:rsid w:val="31A43566"/>
    <w:rsid w:val="320A6A96"/>
    <w:rsid w:val="3221B660"/>
    <w:rsid w:val="32A1787B"/>
    <w:rsid w:val="32AC97C7"/>
    <w:rsid w:val="32DE5AA6"/>
    <w:rsid w:val="32DF6BDB"/>
    <w:rsid w:val="334F9CFF"/>
    <w:rsid w:val="33788FD2"/>
    <w:rsid w:val="34EE9C19"/>
    <w:rsid w:val="358D3C7A"/>
    <w:rsid w:val="374D865A"/>
    <w:rsid w:val="379B341D"/>
    <w:rsid w:val="382535F8"/>
    <w:rsid w:val="383E072A"/>
    <w:rsid w:val="38BDB4FD"/>
    <w:rsid w:val="38C9007B"/>
    <w:rsid w:val="38E4B01F"/>
    <w:rsid w:val="3918E4EE"/>
    <w:rsid w:val="39AD80E3"/>
    <w:rsid w:val="39BB06A5"/>
    <w:rsid w:val="39E796EA"/>
    <w:rsid w:val="3A061B21"/>
    <w:rsid w:val="3A9EE6F1"/>
    <w:rsid w:val="3B1253CF"/>
    <w:rsid w:val="3B40CAA0"/>
    <w:rsid w:val="3C4376BC"/>
    <w:rsid w:val="3C50C01C"/>
    <w:rsid w:val="3C6DF9B8"/>
    <w:rsid w:val="3CCB602A"/>
    <w:rsid w:val="3D2BEC23"/>
    <w:rsid w:val="3E070E69"/>
    <w:rsid w:val="3EDF9F52"/>
    <w:rsid w:val="3F1F7F52"/>
    <w:rsid w:val="3F4C4AFE"/>
    <w:rsid w:val="403AC5B3"/>
    <w:rsid w:val="409A6304"/>
    <w:rsid w:val="40F4D148"/>
    <w:rsid w:val="40F72CFD"/>
    <w:rsid w:val="417E567E"/>
    <w:rsid w:val="41B7F9AA"/>
    <w:rsid w:val="41DB61F6"/>
    <w:rsid w:val="447D42FA"/>
    <w:rsid w:val="45661A5A"/>
    <w:rsid w:val="4575FE1B"/>
    <w:rsid w:val="45DC09F2"/>
    <w:rsid w:val="46724270"/>
    <w:rsid w:val="46B998E5"/>
    <w:rsid w:val="46D2CBDA"/>
    <w:rsid w:val="47B9F7A4"/>
    <w:rsid w:val="48021F31"/>
    <w:rsid w:val="483BFDB3"/>
    <w:rsid w:val="49E625EE"/>
    <w:rsid w:val="4A13EDB9"/>
    <w:rsid w:val="4A568CD7"/>
    <w:rsid w:val="4A7F5EFB"/>
    <w:rsid w:val="4ACD855B"/>
    <w:rsid w:val="4B509817"/>
    <w:rsid w:val="4B6A586B"/>
    <w:rsid w:val="4BC0EF79"/>
    <w:rsid w:val="4C2C5EFC"/>
    <w:rsid w:val="4DAEB9AB"/>
    <w:rsid w:val="4EEAEAB1"/>
    <w:rsid w:val="4F384299"/>
    <w:rsid w:val="4FF5127F"/>
    <w:rsid w:val="500031CB"/>
    <w:rsid w:val="5060CA9D"/>
    <w:rsid w:val="50E68123"/>
    <w:rsid w:val="517BE963"/>
    <w:rsid w:val="5224B682"/>
    <w:rsid w:val="53C6DFD7"/>
    <w:rsid w:val="5404A204"/>
    <w:rsid w:val="540D18E4"/>
    <w:rsid w:val="54E95D3C"/>
    <w:rsid w:val="56760BB3"/>
    <w:rsid w:val="5865CB94"/>
    <w:rsid w:val="58D369E7"/>
    <w:rsid w:val="58F64FCF"/>
    <w:rsid w:val="58FBEE5B"/>
    <w:rsid w:val="591C5CE5"/>
    <w:rsid w:val="59413073"/>
    <w:rsid w:val="594A8957"/>
    <w:rsid w:val="59CCA870"/>
    <w:rsid w:val="5A47AEDF"/>
    <w:rsid w:val="5A647726"/>
    <w:rsid w:val="5AE0329A"/>
    <w:rsid w:val="5B52270B"/>
    <w:rsid w:val="5C92042A"/>
    <w:rsid w:val="5D8617B4"/>
    <w:rsid w:val="5E00A438"/>
    <w:rsid w:val="5E416C47"/>
    <w:rsid w:val="5E60BDAB"/>
    <w:rsid w:val="5F8499ED"/>
    <w:rsid w:val="5FBF4EEE"/>
    <w:rsid w:val="60CBE02F"/>
    <w:rsid w:val="6196634B"/>
    <w:rsid w:val="61C300D5"/>
    <w:rsid w:val="621960BD"/>
    <w:rsid w:val="63171311"/>
    <w:rsid w:val="63F7D4C5"/>
    <w:rsid w:val="644092F0"/>
    <w:rsid w:val="6555FE4D"/>
    <w:rsid w:val="65C13842"/>
    <w:rsid w:val="65FA7B46"/>
    <w:rsid w:val="664F91E9"/>
    <w:rsid w:val="67956F0A"/>
    <w:rsid w:val="67DA643D"/>
    <w:rsid w:val="681E0E76"/>
    <w:rsid w:val="69598C2B"/>
    <w:rsid w:val="69BB0234"/>
    <w:rsid w:val="6A0191FF"/>
    <w:rsid w:val="6A32F58A"/>
    <w:rsid w:val="6B60C050"/>
    <w:rsid w:val="6C242E63"/>
    <w:rsid w:val="6C282CC3"/>
    <w:rsid w:val="6CD48DFE"/>
    <w:rsid w:val="6D92C3D9"/>
    <w:rsid w:val="6DF0EDBD"/>
    <w:rsid w:val="6F9F3C6C"/>
    <w:rsid w:val="7032ED50"/>
    <w:rsid w:val="713C8265"/>
    <w:rsid w:val="71A69D60"/>
    <w:rsid w:val="71C44DB1"/>
    <w:rsid w:val="71F31C33"/>
    <w:rsid w:val="72A22BF9"/>
    <w:rsid w:val="73D84439"/>
    <w:rsid w:val="7436955B"/>
    <w:rsid w:val="7496459D"/>
    <w:rsid w:val="760FF388"/>
    <w:rsid w:val="76371963"/>
    <w:rsid w:val="769207F0"/>
    <w:rsid w:val="76D3E6C2"/>
    <w:rsid w:val="7718F5DE"/>
    <w:rsid w:val="7880EB7F"/>
    <w:rsid w:val="789EBC93"/>
    <w:rsid w:val="78B550BA"/>
    <w:rsid w:val="793FF63B"/>
    <w:rsid w:val="79562940"/>
    <w:rsid w:val="79E02D49"/>
    <w:rsid w:val="7B5C9069"/>
    <w:rsid w:val="7BDE2C1A"/>
    <w:rsid w:val="7C7E5D66"/>
    <w:rsid w:val="7E200472"/>
    <w:rsid w:val="7EB8AAAA"/>
    <w:rsid w:val="7FA0B6D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35429"/>
  <w15:docId w15:val="{A0370F98-5490-4AB0-ABC4-DFE866CB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7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C67"/>
  </w:style>
  <w:style w:type="paragraph" w:styleId="Footer">
    <w:name w:val="footer"/>
    <w:basedOn w:val="Normal"/>
    <w:link w:val="FooterChar"/>
    <w:uiPriority w:val="99"/>
    <w:unhideWhenUsed/>
    <w:rsid w:val="002F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C67"/>
  </w:style>
  <w:style w:type="paragraph" w:styleId="BalloonText">
    <w:name w:val="Balloon Text"/>
    <w:basedOn w:val="Normal"/>
    <w:link w:val="BalloonTextChar"/>
    <w:uiPriority w:val="99"/>
    <w:semiHidden/>
    <w:unhideWhenUsed/>
    <w:rsid w:val="002F4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67"/>
    <w:rPr>
      <w:rFonts w:ascii="Tahoma" w:hAnsi="Tahoma" w:cs="Tahoma"/>
      <w:sz w:val="16"/>
      <w:szCs w:val="16"/>
    </w:rPr>
  </w:style>
  <w:style w:type="character" w:styleId="PlaceholderText">
    <w:name w:val="Placeholder Text"/>
    <w:basedOn w:val="DefaultParagraphFont"/>
    <w:uiPriority w:val="99"/>
    <w:semiHidden/>
    <w:rsid w:val="00A07058"/>
    <w:rPr>
      <w:color w:val="808080"/>
    </w:rPr>
  </w:style>
  <w:style w:type="character" w:styleId="Hyperlink">
    <w:name w:val="Hyperlink"/>
    <w:basedOn w:val="DefaultParagraphFont"/>
    <w:uiPriority w:val="99"/>
    <w:unhideWhenUsed/>
    <w:rsid w:val="00187F87"/>
    <w:rPr>
      <w:color w:val="0000FF"/>
      <w:u w:val="single"/>
    </w:rPr>
  </w:style>
  <w:style w:type="table" w:styleId="TableGrid">
    <w:name w:val="Table Grid"/>
    <w:basedOn w:val="TableNormal"/>
    <w:uiPriority w:val="59"/>
    <w:rsid w:val="00C6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25BAB"/>
    <w:rPr>
      <w:sz w:val="16"/>
      <w:szCs w:val="16"/>
    </w:rPr>
  </w:style>
  <w:style w:type="paragraph" w:styleId="CommentText">
    <w:name w:val="annotation text"/>
    <w:basedOn w:val="Normal"/>
    <w:link w:val="CommentTextChar"/>
    <w:uiPriority w:val="99"/>
    <w:unhideWhenUsed/>
    <w:rsid w:val="00F25BAB"/>
    <w:pPr>
      <w:spacing w:line="240" w:lineRule="auto"/>
    </w:pPr>
    <w:rPr>
      <w:sz w:val="20"/>
      <w:szCs w:val="20"/>
    </w:rPr>
  </w:style>
  <w:style w:type="character" w:customStyle="1" w:styleId="CommentTextChar">
    <w:name w:val="Comment Text Char"/>
    <w:basedOn w:val="DefaultParagraphFont"/>
    <w:link w:val="CommentText"/>
    <w:uiPriority w:val="99"/>
    <w:rsid w:val="00F25BAB"/>
    <w:rPr>
      <w:lang w:val="en-US" w:eastAsia="en-US"/>
    </w:rPr>
  </w:style>
  <w:style w:type="paragraph" w:styleId="CommentSubject">
    <w:name w:val="annotation subject"/>
    <w:basedOn w:val="CommentText"/>
    <w:next w:val="CommentText"/>
    <w:link w:val="CommentSubjectChar"/>
    <w:uiPriority w:val="99"/>
    <w:semiHidden/>
    <w:unhideWhenUsed/>
    <w:rsid w:val="00F25BAB"/>
    <w:rPr>
      <w:b/>
      <w:bCs/>
    </w:rPr>
  </w:style>
  <w:style w:type="character" w:customStyle="1" w:styleId="CommentSubjectChar">
    <w:name w:val="Comment Subject Char"/>
    <w:basedOn w:val="CommentTextChar"/>
    <w:link w:val="CommentSubject"/>
    <w:uiPriority w:val="99"/>
    <w:semiHidden/>
    <w:rsid w:val="00F25BAB"/>
    <w:rPr>
      <w:b/>
      <w:bCs/>
      <w:lang w:val="en-US" w:eastAsia="en-US"/>
    </w:rPr>
  </w:style>
  <w:style w:type="character" w:customStyle="1" w:styleId="UnresolvedMention1">
    <w:name w:val="Unresolved Mention1"/>
    <w:basedOn w:val="DefaultParagraphFont"/>
    <w:uiPriority w:val="99"/>
    <w:semiHidden/>
    <w:unhideWhenUsed/>
    <w:rsid w:val="002869E4"/>
    <w:rPr>
      <w:color w:val="605E5C"/>
      <w:shd w:val="clear" w:color="auto" w:fill="E1DFDD"/>
    </w:rPr>
  </w:style>
  <w:style w:type="character" w:styleId="UnresolvedMention">
    <w:name w:val="Unresolved Mention"/>
    <w:basedOn w:val="DefaultParagraphFont"/>
    <w:uiPriority w:val="99"/>
    <w:semiHidden/>
    <w:unhideWhenUsed/>
    <w:rsid w:val="00A1320F"/>
    <w:rPr>
      <w:color w:val="605E5C"/>
      <w:shd w:val="clear" w:color="auto" w:fill="E1DFDD"/>
    </w:rPr>
  </w:style>
  <w:style w:type="character" w:styleId="FollowedHyperlink">
    <w:name w:val="FollowedHyperlink"/>
    <w:basedOn w:val="DefaultParagraphFont"/>
    <w:uiPriority w:val="99"/>
    <w:semiHidden/>
    <w:unhideWhenUsed/>
    <w:rsid w:val="008F7A94"/>
    <w:rPr>
      <w:color w:val="800080" w:themeColor="followedHyperlink"/>
      <w:u w:val="single"/>
    </w:rPr>
  </w:style>
  <w:style w:type="paragraph" w:styleId="Revision">
    <w:name w:val="Revision"/>
    <w:hidden/>
    <w:uiPriority w:val="99"/>
    <w:semiHidden/>
    <w:rsid w:val="005779B2"/>
    <w:rPr>
      <w:sz w:val="22"/>
      <w:szCs w:val="22"/>
      <w:lang w:val="en-US" w:eastAsia="en-US"/>
    </w:rPr>
  </w:style>
  <w:style w:type="paragraph" w:styleId="ListParagraph">
    <w:name w:val="List Paragraph"/>
    <w:basedOn w:val="Normal"/>
    <w:uiPriority w:val="34"/>
    <w:qFormat/>
    <w:rsid w:val="00000D1D"/>
    <w:pPr>
      <w:ind w:left="720"/>
      <w:contextualSpacing/>
    </w:pPr>
  </w:style>
  <w:style w:type="paragraph" w:styleId="PlainText">
    <w:name w:val="Plain Text"/>
    <w:basedOn w:val="Normal"/>
    <w:link w:val="PlainTextChar"/>
    <w:semiHidden/>
    <w:rsid w:val="00677027"/>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semiHidden/>
    <w:rsid w:val="00677027"/>
    <w:rPr>
      <w:rFonts w:ascii="Courier New" w:eastAsia="Times New Roman" w:hAnsi="Courier New"/>
      <w:lang w:val="en-US" w:eastAsia="en-US"/>
    </w:rPr>
  </w:style>
  <w:style w:type="character" w:styleId="Mention">
    <w:name w:val="Mention"/>
    <w:basedOn w:val="DefaultParagraphFont"/>
    <w:uiPriority w:val="99"/>
    <w:unhideWhenUsed/>
    <w:rsid w:val="002029E1"/>
    <w:rPr>
      <w:color w:val="2B579A"/>
      <w:shd w:val="clear" w:color="auto" w:fill="E1DFDD"/>
    </w:rPr>
  </w:style>
  <w:style w:type="paragraph" w:styleId="NormalWeb">
    <w:name w:val="Normal (Web)"/>
    <w:basedOn w:val="Normal"/>
    <w:uiPriority w:val="99"/>
    <w:semiHidden/>
    <w:unhideWhenUsed/>
    <w:rsid w:val="00E748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843">
      <w:bodyDiv w:val="1"/>
      <w:marLeft w:val="0"/>
      <w:marRight w:val="0"/>
      <w:marTop w:val="0"/>
      <w:marBottom w:val="0"/>
      <w:divBdr>
        <w:top w:val="none" w:sz="0" w:space="0" w:color="auto"/>
        <w:left w:val="none" w:sz="0" w:space="0" w:color="auto"/>
        <w:bottom w:val="none" w:sz="0" w:space="0" w:color="auto"/>
        <w:right w:val="none" w:sz="0" w:space="0" w:color="auto"/>
      </w:divBdr>
    </w:div>
    <w:div w:id="224727668">
      <w:bodyDiv w:val="1"/>
      <w:marLeft w:val="0"/>
      <w:marRight w:val="0"/>
      <w:marTop w:val="0"/>
      <w:marBottom w:val="0"/>
      <w:divBdr>
        <w:top w:val="none" w:sz="0" w:space="0" w:color="auto"/>
        <w:left w:val="none" w:sz="0" w:space="0" w:color="auto"/>
        <w:bottom w:val="none" w:sz="0" w:space="0" w:color="auto"/>
        <w:right w:val="none" w:sz="0" w:space="0" w:color="auto"/>
      </w:divBdr>
    </w:div>
    <w:div w:id="452939222">
      <w:bodyDiv w:val="1"/>
      <w:marLeft w:val="0"/>
      <w:marRight w:val="0"/>
      <w:marTop w:val="0"/>
      <w:marBottom w:val="0"/>
      <w:divBdr>
        <w:top w:val="none" w:sz="0" w:space="0" w:color="auto"/>
        <w:left w:val="none" w:sz="0" w:space="0" w:color="auto"/>
        <w:bottom w:val="none" w:sz="0" w:space="0" w:color="auto"/>
        <w:right w:val="none" w:sz="0" w:space="0" w:color="auto"/>
      </w:divBdr>
    </w:div>
    <w:div w:id="618297356">
      <w:bodyDiv w:val="1"/>
      <w:marLeft w:val="0"/>
      <w:marRight w:val="0"/>
      <w:marTop w:val="0"/>
      <w:marBottom w:val="0"/>
      <w:divBdr>
        <w:top w:val="none" w:sz="0" w:space="0" w:color="auto"/>
        <w:left w:val="none" w:sz="0" w:space="0" w:color="auto"/>
        <w:bottom w:val="none" w:sz="0" w:space="0" w:color="auto"/>
        <w:right w:val="none" w:sz="0" w:space="0" w:color="auto"/>
      </w:divBdr>
    </w:div>
    <w:div w:id="908004288">
      <w:bodyDiv w:val="1"/>
      <w:marLeft w:val="0"/>
      <w:marRight w:val="0"/>
      <w:marTop w:val="0"/>
      <w:marBottom w:val="0"/>
      <w:divBdr>
        <w:top w:val="none" w:sz="0" w:space="0" w:color="auto"/>
        <w:left w:val="none" w:sz="0" w:space="0" w:color="auto"/>
        <w:bottom w:val="none" w:sz="0" w:space="0" w:color="auto"/>
        <w:right w:val="none" w:sz="0" w:space="0" w:color="auto"/>
      </w:divBdr>
    </w:div>
    <w:div w:id="937105781">
      <w:bodyDiv w:val="1"/>
      <w:marLeft w:val="0"/>
      <w:marRight w:val="0"/>
      <w:marTop w:val="0"/>
      <w:marBottom w:val="0"/>
      <w:divBdr>
        <w:top w:val="none" w:sz="0" w:space="0" w:color="auto"/>
        <w:left w:val="none" w:sz="0" w:space="0" w:color="auto"/>
        <w:bottom w:val="none" w:sz="0" w:space="0" w:color="auto"/>
        <w:right w:val="none" w:sz="0" w:space="0" w:color="auto"/>
      </w:divBdr>
      <w:divsChild>
        <w:div w:id="479856782">
          <w:marLeft w:val="1080"/>
          <w:marRight w:val="0"/>
          <w:marTop w:val="100"/>
          <w:marBottom w:val="0"/>
          <w:divBdr>
            <w:top w:val="none" w:sz="0" w:space="0" w:color="auto"/>
            <w:left w:val="none" w:sz="0" w:space="0" w:color="auto"/>
            <w:bottom w:val="none" w:sz="0" w:space="0" w:color="auto"/>
            <w:right w:val="none" w:sz="0" w:space="0" w:color="auto"/>
          </w:divBdr>
        </w:div>
        <w:div w:id="1428308384">
          <w:marLeft w:val="1080"/>
          <w:marRight w:val="0"/>
          <w:marTop w:val="100"/>
          <w:marBottom w:val="0"/>
          <w:divBdr>
            <w:top w:val="none" w:sz="0" w:space="0" w:color="auto"/>
            <w:left w:val="none" w:sz="0" w:space="0" w:color="auto"/>
            <w:bottom w:val="none" w:sz="0" w:space="0" w:color="auto"/>
            <w:right w:val="none" w:sz="0" w:space="0" w:color="auto"/>
          </w:divBdr>
        </w:div>
        <w:div w:id="1940529015">
          <w:marLeft w:val="360"/>
          <w:marRight w:val="0"/>
          <w:marTop w:val="200"/>
          <w:marBottom w:val="0"/>
          <w:divBdr>
            <w:top w:val="none" w:sz="0" w:space="0" w:color="auto"/>
            <w:left w:val="none" w:sz="0" w:space="0" w:color="auto"/>
            <w:bottom w:val="none" w:sz="0" w:space="0" w:color="auto"/>
            <w:right w:val="none" w:sz="0" w:space="0" w:color="auto"/>
          </w:divBdr>
        </w:div>
      </w:divsChild>
    </w:div>
    <w:div w:id="1738163198">
      <w:bodyDiv w:val="1"/>
      <w:marLeft w:val="0"/>
      <w:marRight w:val="0"/>
      <w:marTop w:val="0"/>
      <w:marBottom w:val="0"/>
      <w:divBdr>
        <w:top w:val="none" w:sz="0" w:space="0" w:color="auto"/>
        <w:left w:val="none" w:sz="0" w:space="0" w:color="auto"/>
        <w:bottom w:val="none" w:sz="0" w:space="0" w:color="auto"/>
        <w:right w:val="none" w:sz="0" w:space="0" w:color="auto"/>
      </w:divBdr>
    </w:div>
    <w:div w:id="1824662818">
      <w:bodyDiv w:val="1"/>
      <w:marLeft w:val="0"/>
      <w:marRight w:val="0"/>
      <w:marTop w:val="0"/>
      <w:marBottom w:val="0"/>
      <w:divBdr>
        <w:top w:val="none" w:sz="0" w:space="0" w:color="auto"/>
        <w:left w:val="none" w:sz="0" w:space="0" w:color="auto"/>
        <w:bottom w:val="none" w:sz="0" w:space="0" w:color="auto"/>
        <w:right w:val="none" w:sz="0" w:space="0" w:color="auto"/>
      </w:divBdr>
    </w:div>
    <w:div w:id="20703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lschemes.co.za/download/3609/2020-21-annual-report/24590/cms_annual-report-2020-21.pdf" TargetMode="External"/><Relationship Id="rId18" Type="http://schemas.openxmlformats.org/officeDocument/2006/relationships/chart" Target="charts/chart5.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tp.medicalschemes.com/login"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www.medicalschemes.co.za/download/3510/2021-circulars-archive/24028/circular33of20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ovuzela@medicalschemes.co.za" TargetMode="External"/><Relationship Id="rId24" Type="http://schemas.openxmlformats.org/officeDocument/2006/relationships/hyperlink" Target="https://www.actuarialsociety.org.za/download/apn-303-advice-to-south-african-medical-schemes-on-adequacy-of-contributions/"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www.medicalschemes.com/files/Circulars/Circular29Of2012.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dicalschemes.co.za/download/3628/2022-guidelines-and-manuals-current/25889/circular_2023-contributions-benefits-2023-locked.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lschemes.co.za/download/3609/2020-21-annual-report/24590/cms_annual-report-2020-21.pdf" TargetMode="External"/><Relationship Id="rId22" Type="http://schemas.openxmlformats.org/officeDocument/2006/relationships/hyperlink" Target="https://forms.office.com/Pages/ResponsePage.aspx?id=nNuJI9Hzd0-BjDYvCnpXSK-AQdP-A0xFhLQK5jDLzHBUMUtOQUxSRjNUTllCSlZQUFNWNVdQSVJLTy4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medicalschemes.com" TargetMode="External"/><Relationship Id="rId2" Type="http://schemas.openxmlformats.org/officeDocument/2006/relationships/hyperlink" Target="mailto:Information@medicalschemes.com" TargetMode="External"/><Relationship Id="rId1" Type="http://schemas.openxmlformats.org/officeDocument/2006/relationships/image" Target="media/image1.jpeg"/><Relationship Id="rId5" Type="http://schemas.openxmlformats.org/officeDocument/2006/relationships/hyperlink" Target="http://www.medicalschemes.com" TargetMode="External"/><Relationship Id="rId4" Type="http://schemas.openxmlformats.org/officeDocument/2006/relationships/hyperlink" Target="mailto:Information@medicalschemes.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medicalschemes.com" TargetMode="External"/><Relationship Id="rId2" Type="http://schemas.openxmlformats.org/officeDocument/2006/relationships/hyperlink" Target="mailto:Information@medicalschemes.com" TargetMode="External"/><Relationship Id="rId1" Type="http://schemas.openxmlformats.org/officeDocument/2006/relationships/image" Target="media/image1.jpeg"/><Relationship Id="rId5" Type="http://schemas.openxmlformats.org/officeDocument/2006/relationships/hyperlink" Target="http://www.medicalschemes.com" TargetMode="External"/><Relationship Id="rId4" Type="http://schemas.openxmlformats.org/officeDocument/2006/relationships/hyperlink" Target="mailto:Information@medicalschem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councilformedicalschemes.sharepoint.com/sites/BMU/Shared%20Documents/BMU%20M-Files/BMU%20Circulars/Contribution%20and%20Benefits%20Changes%20Circulars/Circular%2045%20of%202017%20-%20Contribution%20and%20benefits%20increases%202018/Graphs/CPI_2017%20(ID%2061995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ouncilformedicalschemes.sharepoint.com/sites/BMU/Shared%20Documents/General/2024%20Contributions%20and%20benefit%20changes%20Circular/Shared%20graphs%20and%20underlying%20data_in%20editable%20format%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govuzela\AppData\Local\Microsoft\Windows\INetCache\Content.Outlook\7JWC4J1E\Shared%20graphs%20and%20underlying%20data_in%20editable%20form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govuzela\AppData\Local\Microsoft\Windows\INetCache\Content.Outlook\7JWC4J1E\Shared%20graphs%20and%20underlying%20data_in%20editable%20forma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govuzela\AppData\Local\Microsoft\Windows\INetCache\Content.Outlook\7JWC4J1E\Shared%20graphs%20and%20underlying%20data_in%20editable%20forma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763172553984528E-2"/>
          <c:y val="9.9704322179392554E-2"/>
          <c:w val="0.88807281269453053"/>
          <c:h val="0.63501664555471382"/>
        </c:manualLayout>
      </c:layout>
      <c:barChart>
        <c:barDir val="col"/>
        <c:grouping val="clustered"/>
        <c:varyColors val="0"/>
        <c:ser>
          <c:idx val="3"/>
          <c:order val="3"/>
          <c:tx>
            <c:strRef>
              <c:f>'[CPI_2017 (ID 619952).xlsx]Sheet1'!$F$3</c:f>
              <c:strCache>
                <c:ptCount val="1"/>
                <c:pt idx="0">
                  <c:v>SARB 2024 Projection</c:v>
                </c:pt>
              </c:strCache>
            </c:strRef>
          </c:tx>
          <c:spPr>
            <a:solidFill>
              <a:srgbClr val="92D050"/>
            </a:solidFill>
            <a:ln>
              <a:solidFill>
                <a:srgbClr val="92D050"/>
              </a:solidFill>
            </a:ln>
            <a:effectLst/>
          </c:spPr>
          <c:invertIfNegative val="0"/>
          <c:dLbls>
            <c:numFmt formatCode="0.0%" sourceLinked="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'[CPI_2017 (ID 619952).xlsx]Sheet1'!$B$4:$B$17</c:f>
              <c:strCache>
                <c:ptCount val="14"/>
                <c:pt idx="0">
                  <c:v>Jun-22</c:v>
                </c:pt>
                <c:pt idx="1">
                  <c:v>Jul-22</c:v>
                </c:pt>
                <c:pt idx="2">
                  <c:v>Aug-22</c:v>
                </c:pt>
                <c:pt idx="3">
                  <c:v>Sep-22</c:v>
                </c:pt>
                <c:pt idx="4">
                  <c:v>Oct-22</c:v>
                </c:pt>
                <c:pt idx="5">
                  <c:v>Nov-22</c:v>
                </c:pt>
                <c:pt idx="6">
                  <c:v>Dec-22</c:v>
                </c:pt>
                <c:pt idx="7">
                  <c:v>Jan-23</c:v>
                </c:pt>
                <c:pt idx="8">
                  <c:v>Feb-23</c:v>
                </c:pt>
                <c:pt idx="9">
                  <c:v>Mar-23</c:v>
                </c:pt>
                <c:pt idx="10">
                  <c:v>Apr-23</c:v>
                </c:pt>
                <c:pt idx="11">
                  <c:v>May-23</c:v>
                </c:pt>
                <c:pt idx="12">
                  <c:v>Jun-23</c:v>
                </c:pt>
                <c:pt idx="13">
                  <c:v> 2024 Projection</c:v>
                </c:pt>
              </c:strCache>
            </c:strRef>
          </c:cat>
          <c:val>
            <c:numRef>
              <c:f>'[CPI_2017 (ID 619952).xlsx]Sheet1'!$F$4:$F$17</c:f>
              <c:numCache>
                <c:formatCode>General</c:formatCode>
                <c:ptCount val="14"/>
                <c:pt idx="13" formatCode="0%">
                  <c:v>0.05</c:v>
                </c:pt>
              </c:numCache>
            </c:numRef>
          </c:val>
          <c:extLst>
            <c:ext xmlns:c16="http://schemas.microsoft.com/office/drawing/2014/chart" uri="{C3380CC4-5D6E-409C-BE32-E72D297353CC}">
              <c16:uniqueId val="{00000000-4243-447B-86C9-D19D622F20E3}"/>
            </c:ext>
          </c:extLst>
        </c:ser>
        <c:dLbls>
          <c:showLegendKey val="0"/>
          <c:showVal val="0"/>
          <c:showCatName val="0"/>
          <c:showSerName val="0"/>
          <c:showPercent val="0"/>
          <c:showBubbleSize val="0"/>
        </c:dLbls>
        <c:gapWidth val="75"/>
        <c:axId val="185275576"/>
        <c:axId val="188686392"/>
      </c:barChart>
      <c:lineChart>
        <c:grouping val="standard"/>
        <c:varyColors val="0"/>
        <c:ser>
          <c:idx val="0"/>
          <c:order val="0"/>
          <c:tx>
            <c:strRef>
              <c:f>'[CPI_2017 (ID 619952).xlsx]Sheet1'!$C$3</c:f>
              <c:strCache>
                <c:ptCount val="1"/>
                <c:pt idx="0">
                  <c:v>Headline Inflation</c:v>
                </c:pt>
              </c:strCache>
            </c:strRef>
          </c:tx>
          <c:spPr>
            <a:ln w="28575" cap="rnd">
              <a:solidFill>
                <a:srgbClr val="0070C0"/>
              </a:solidFill>
              <a:round/>
            </a:ln>
            <a:effectLst/>
          </c:spPr>
          <c:marker>
            <c:symbol val="diamond"/>
            <c:size val="9"/>
            <c:spPr>
              <a:solidFill>
                <a:srgbClr val="0070C0"/>
              </a:solidFill>
              <a:ln w="9525">
                <a:solidFill>
                  <a:srgbClr val="0070C0"/>
                </a:solidFill>
              </a:ln>
              <a:effectLst/>
            </c:spPr>
          </c:marker>
          <c:dLbls>
            <c:dLbl>
              <c:idx val="12"/>
              <c:layout>
                <c:manualLayout>
                  <c:x val="-4.422846944730114E-2"/>
                  <c:y val="-3.513032877111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43-447B-86C9-D19D622F20E3}"/>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'[CPI_2017 (ID 619952).xlsx]Sheet1'!$B$4:$B$17</c:f>
              <c:strCache>
                <c:ptCount val="14"/>
                <c:pt idx="0">
                  <c:v>Jun-22</c:v>
                </c:pt>
                <c:pt idx="1">
                  <c:v>Jul-22</c:v>
                </c:pt>
                <c:pt idx="2">
                  <c:v>Aug-22</c:v>
                </c:pt>
                <c:pt idx="3">
                  <c:v>Sep-22</c:v>
                </c:pt>
                <c:pt idx="4">
                  <c:v>Oct-22</c:v>
                </c:pt>
                <c:pt idx="5">
                  <c:v>Nov-22</c:v>
                </c:pt>
                <c:pt idx="6">
                  <c:v>Dec-22</c:v>
                </c:pt>
                <c:pt idx="7">
                  <c:v>Jan-23</c:v>
                </c:pt>
                <c:pt idx="8">
                  <c:v>Feb-23</c:v>
                </c:pt>
                <c:pt idx="9">
                  <c:v>Mar-23</c:v>
                </c:pt>
                <c:pt idx="10">
                  <c:v>Apr-23</c:v>
                </c:pt>
                <c:pt idx="11">
                  <c:v>May-23</c:v>
                </c:pt>
                <c:pt idx="12">
                  <c:v>Jun-23</c:v>
                </c:pt>
                <c:pt idx="13">
                  <c:v> 2024 Projection</c:v>
                </c:pt>
              </c:strCache>
            </c:strRef>
          </c:cat>
          <c:val>
            <c:numRef>
              <c:f>'[CPI_2017 (ID 619952).xlsx]Sheet1'!$C$4:$C$17</c:f>
              <c:numCache>
                <c:formatCode>0%</c:formatCode>
                <c:ptCount val="14"/>
                <c:pt idx="0">
                  <c:v>7.3999999999999996E-2</c:v>
                </c:pt>
                <c:pt idx="1">
                  <c:v>7.8E-2</c:v>
                </c:pt>
                <c:pt idx="2">
                  <c:v>7.5999999999999998E-2</c:v>
                </c:pt>
                <c:pt idx="3">
                  <c:v>7.4999999999999997E-2</c:v>
                </c:pt>
                <c:pt idx="4">
                  <c:v>7.5999999999999998E-2</c:v>
                </c:pt>
                <c:pt idx="5">
                  <c:v>7.3999999999999996E-2</c:v>
                </c:pt>
                <c:pt idx="6">
                  <c:v>7.1999999999999995E-2</c:v>
                </c:pt>
                <c:pt idx="7">
                  <c:v>6.9000000000000006E-2</c:v>
                </c:pt>
                <c:pt idx="8">
                  <c:v>7.0000000000000007E-2</c:v>
                </c:pt>
                <c:pt idx="9">
                  <c:v>7.0999999999999994E-2</c:v>
                </c:pt>
                <c:pt idx="10">
                  <c:v>6.8000000000000005E-2</c:v>
                </c:pt>
                <c:pt idx="11">
                  <c:v>6.3E-2</c:v>
                </c:pt>
                <c:pt idx="12">
                  <c:v>5.3999999999999999E-2</c:v>
                </c:pt>
              </c:numCache>
            </c:numRef>
          </c:val>
          <c:smooth val="0"/>
          <c:extLst>
            <c:ext xmlns:c16="http://schemas.microsoft.com/office/drawing/2014/chart" uri="{C3380CC4-5D6E-409C-BE32-E72D297353CC}">
              <c16:uniqueId val="{00000001-4243-447B-86C9-D19D622F20E3}"/>
            </c:ext>
          </c:extLst>
        </c:ser>
        <c:ser>
          <c:idx val="1"/>
          <c:order val="1"/>
          <c:tx>
            <c:strRef>
              <c:f>'[CPI_2017 (ID 619952).xlsx]Sheet1'!$D$3</c:f>
              <c:strCache>
                <c:ptCount val="1"/>
                <c:pt idx="0">
                  <c:v>Upper range</c:v>
                </c:pt>
              </c:strCache>
            </c:strRef>
          </c:tx>
          <c:spPr>
            <a:ln w="28575" cap="rnd">
              <a:solidFill>
                <a:srgbClr val="FF0000"/>
              </a:solidFill>
              <a:round/>
            </a:ln>
            <a:effectLst/>
          </c:spPr>
          <c:marker>
            <c:symbol val="none"/>
          </c:marker>
          <c:cat>
            <c:strRef>
              <c:f>'[CPI_2017 (ID 619952).xlsx]Sheet1'!$B$4:$B$17</c:f>
              <c:strCache>
                <c:ptCount val="14"/>
                <c:pt idx="0">
                  <c:v>Jun-22</c:v>
                </c:pt>
                <c:pt idx="1">
                  <c:v>Jul-22</c:v>
                </c:pt>
                <c:pt idx="2">
                  <c:v>Aug-22</c:v>
                </c:pt>
                <c:pt idx="3">
                  <c:v>Sep-22</c:v>
                </c:pt>
                <c:pt idx="4">
                  <c:v>Oct-22</c:v>
                </c:pt>
                <c:pt idx="5">
                  <c:v>Nov-22</c:v>
                </c:pt>
                <c:pt idx="6">
                  <c:v>Dec-22</c:v>
                </c:pt>
                <c:pt idx="7">
                  <c:v>Jan-23</c:v>
                </c:pt>
                <c:pt idx="8">
                  <c:v>Feb-23</c:v>
                </c:pt>
                <c:pt idx="9">
                  <c:v>Mar-23</c:v>
                </c:pt>
                <c:pt idx="10">
                  <c:v>Apr-23</c:v>
                </c:pt>
                <c:pt idx="11">
                  <c:v>May-23</c:v>
                </c:pt>
                <c:pt idx="12">
                  <c:v>Jun-23</c:v>
                </c:pt>
                <c:pt idx="13">
                  <c:v> 2024 Projection</c:v>
                </c:pt>
              </c:strCache>
            </c:strRef>
          </c:cat>
          <c:val>
            <c:numRef>
              <c:f>'[CPI_2017 (ID 619952).xlsx]Sheet1'!$D$4:$D$17</c:f>
              <c:numCache>
                <c:formatCode>0%</c:formatCode>
                <c:ptCount val="14"/>
                <c:pt idx="0">
                  <c:v>0.06</c:v>
                </c:pt>
                <c:pt idx="1">
                  <c:v>0.06</c:v>
                </c:pt>
                <c:pt idx="2">
                  <c:v>0.06</c:v>
                </c:pt>
                <c:pt idx="3">
                  <c:v>0.06</c:v>
                </c:pt>
                <c:pt idx="4">
                  <c:v>0.06</c:v>
                </c:pt>
                <c:pt idx="5">
                  <c:v>0.06</c:v>
                </c:pt>
                <c:pt idx="6">
                  <c:v>0.06</c:v>
                </c:pt>
                <c:pt idx="7">
                  <c:v>0.06</c:v>
                </c:pt>
                <c:pt idx="8">
                  <c:v>0.06</c:v>
                </c:pt>
                <c:pt idx="9">
                  <c:v>0.06</c:v>
                </c:pt>
                <c:pt idx="10">
                  <c:v>0.06</c:v>
                </c:pt>
                <c:pt idx="11">
                  <c:v>0.06</c:v>
                </c:pt>
                <c:pt idx="12">
                  <c:v>0.06</c:v>
                </c:pt>
              </c:numCache>
            </c:numRef>
          </c:val>
          <c:smooth val="0"/>
          <c:extLst>
            <c:ext xmlns:c16="http://schemas.microsoft.com/office/drawing/2014/chart" uri="{C3380CC4-5D6E-409C-BE32-E72D297353CC}">
              <c16:uniqueId val="{00000002-4243-447B-86C9-D19D622F20E3}"/>
            </c:ext>
          </c:extLst>
        </c:ser>
        <c:ser>
          <c:idx val="2"/>
          <c:order val="2"/>
          <c:tx>
            <c:strRef>
              <c:f>'[CPI_2017 (ID 619952).xlsx]Sheet1'!$E$3</c:f>
              <c:strCache>
                <c:ptCount val="1"/>
                <c:pt idx="0">
                  <c:v>Lower range</c:v>
                </c:pt>
              </c:strCache>
            </c:strRef>
          </c:tx>
          <c:spPr>
            <a:ln w="28575" cap="rnd">
              <a:solidFill>
                <a:srgbClr val="FF0000"/>
              </a:solidFill>
              <a:round/>
            </a:ln>
            <a:effectLst/>
          </c:spPr>
          <c:marker>
            <c:symbol val="none"/>
          </c:marker>
          <c:cat>
            <c:strRef>
              <c:f>'[CPI_2017 (ID 619952).xlsx]Sheet1'!$B$4:$B$17</c:f>
              <c:strCache>
                <c:ptCount val="14"/>
                <c:pt idx="0">
                  <c:v>Jun-22</c:v>
                </c:pt>
                <c:pt idx="1">
                  <c:v>Jul-22</c:v>
                </c:pt>
                <c:pt idx="2">
                  <c:v>Aug-22</c:v>
                </c:pt>
                <c:pt idx="3">
                  <c:v>Sep-22</c:v>
                </c:pt>
                <c:pt idx="4">
                  <c:v>Oct-22</c:v>
                </c:pt>
                <c:pt idx="5">
                  <c:v>Nov-22</c:v>
                </c:pt>
                <c:pt idx="6">
                  <c:v>Dec-22</c:v>
                </c:pt>
                <c:pt idx="7">
                  <c:v>Jan-23</c:v>
                </c:pt>
                <c:pt idx="8">
                  <c:v>Feb-23</c:v>
                </c:pt>
                <c:pt idx="9">
                  <c:v>Mar-23</c:v>
                </c:pt>
                <c:pt idx="10">
                  <c:v>Apr-23</c:v>
                </c:pt>
                <c:pt idx="11">
                  <c:v>May-23</c:v>
                </c:pt>
                <c:pt idx="12">
                  <c:v>Jun-23</c:v>
                </c:pt>
                <c:pt idx="13">
                  <c:v> 2024 Projection</c:v>
                </c:pt>
              </c:strCache>
            </c:strRef>
          </c:cat>
          <c:val>
            <c:numRef>
              <c:f>'[CPI_2017 (ID 619952).xlsx]Sheet1'!$E$4:$E$17</c:f>
              <c:numCache>
                <c:formatCode>0%</c:formatCode>
                <c:ptCount val="14"/>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4243-447B-86C9-D19D622F20E3}"/>
            </c:ext>
          </c:extLst>
        </c:ser>
        <c:ser>
          <c:idx val="4"/>
          <c:order val="4"/>
          <c:tx>
            <c:strRef>
              <c:f>'[CPI_2017 (ID 619952).xlsx]Sheet1'!$G$3</c:f>
              <c:strCache>
                <c:ptCount val="1"/>
              </c:strCache>
            </c:strRef>
          </c:tx>
          <c:spPr>
            <a:ln w="28575" cap="rnd">
              <a:solidFill>
                <a:srgbClr val="FF0000"/>
              </a:solidFill>
              <a:round/>
            </a:ln>
            <a:effectLst/>
          </c:spPr>
          <c:marker>
            <c:symbol val="none"/>
          </c:marker>
          <c:cat>
            <c:strRef>
              <c:f>'[CPI_2017 (ID 619952).xlsx]Sheet1'!$B$4:$B$17</c:f>
              <c:strCache>
                <c:ptCount val="14"/>
                <c:pt idx="0">
                  <c:v>Jun-22</c:v>
                </c:pt>
                <c:pt idx="1">
                  <c:v>Jul-22</c:v>
                </c:pt>
                <c:pt idx="2">
                  <c:v>Aug-22</c:v>
                </c:pt>
                <c:pt idx="3">
                  <c:v>Sep-22</c:v>
                </c:pt>
                <c:pt idx="4">
                  <c:v>Oct-22</c:v>
                </c:pt>
                <c:pt idx="5">
                  <c:v>Nov-22</c:v>
                </c:pt>
                <c:pt idx="6">
                  <c:v>Dec-22</c:v>
                </c:pt>
                <c:pt idx="7">
                  <c:v>Jan-23</c:v>
                </c:pt>
                <c:pt idx="8">
                  <c:v>Feb-23</c:v>
                </c:pt>
                <c:pt idx="9">
                  <c:v>Mar-23</c:v>
                </c:pt>
                <c:pt idx="10">
                  <c:v>Apr-23</c:v>
                </c:pt>
                <c:pt idx="11">
                  <c:v>May-23</c:v>
                </c:pt>
                <c:pt idx="12">
                  <c:v>Jun-23</c:v>
                </c:pt>
                <c:pt idx="13">
                  <c:v> 2024 Projection</c:v>
                </c:pt>
              </c:strCache>
            </c:strRef>
          </c:cat>
          <c:val>
            <c:numRef>
              <c:f>'[CPI_2017 (ID 619952).xlsx]Sheet1'!$G$4:$G$17</c:f>
              <c:numCache>
                <c:formatCode>General</c:formatCode>
                <c:ptCount val="14"/>
              </c:numCache>
            </c:numRef>
          </c:val>
          <c:smooth val="0"/>
          <c:extLst>
            <c:ext xmlns:c16="http://schemas.microsoft.com/office/drawing/2014/chart" uri="{C3380CC4-5D6E-409C-BE32-E72D297353CC}">
              <c16:uniqueId val="{00000004-4243-447B-86C9-D19D622F20E3}"/>
            </c:ext>
          </c:extLst>
        </c:ser>
        <c:dLbls>
          <c:showLegendKey val="0"/>
          <c:showVal val="0"/>
          <c:showCatName val="0"/>
          <c:showSerName val="0"/>
          <c:showPercent val="0"/>
          <c:showBubbleSize val="0"/>
        </c:dLbls>
        <c:marker val="1"/>
        <c:smooth val="0"/>
        <c:axId val="185275576"/>
        <c:axId val="188686392"/>
      </c:lineChart>
      <c:catAx>
        <c:axId val="185275576"/>
        <c:scaling>
          <c:orientation val="minMax"/>
        </c:scaling>
        <c:delete val="0"/>
        <c:axPos val="b"/>
        <c:numFmt formatCode="General" sourceLinked="1"/>
        <c:majorTickMark val="none"/>
        <c:minorTickMark val="in"/>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crossAx val="188686392"/>
        <c:crosses val="autoZero"/>
        <c:auto val="1"/>
        <c:lblAlgn val="ctr"/>
        <c:lblOffset val="100"/>
        <c:noMultiLvlLbl val="0"/>
      </c:catAx>
      <c:valAx>
        <c:axId val="188686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Narrow" panose="020B0606020202030204" pitchFamily="34" charset="0"/>
                    <a:ea typeface="+mn-ea"/>
                    <a:cs typeface="+mn-cs"/>
                  </a:defRPr>
                </a:pPr>
                <a:r>
                  <a:rPr lang="en-US"/>
                  <a:t>% Change</a:t>
                </a:r>
              </a:p>
            </c:rich>
          </c:tx>
          <c:layout>
            <c:manualLayout>
              <c:xMode val="edge"/>
              <c:yMode val="edge"/>
              <c:x val="8.2687834752363278E-3"/>
              <c:y val="0.4169425571379555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Narrow" panose="020B0606020202030204" pitchFamily="34" charset="0"/>
                  <a:ea typeface="+mn-ea"/>
                  <a:cs typeface="+mn-cs"/>
                </a:defRPr>
              </a:pPr>
              <a:endParaRPr lang="en-US"/>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crossAx val="185275576"/>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'[Shared graphs and underlying data_in editable format (version 2).xlsx]Figure 2'!$B$1</c:f>
              <c:strCache>
                <c:ptCount val="1"/>
                <c:pt idx="0">
                  <c:v>Average CPI</c:v>
                </c:pt>
              </c:strCache>
            </c:strRef>
          </c:tx>
          <c:spPr>
            <a:ln w="28575" cap="rnd">
              <a:solidFill>
                <a:schemeClr val="accent1"/>
              </a:solidFill>
              <a:round/>
            </a:ln>
            <a:effectLst/>
          </c:spPr>
          <c:marker>
            <c:symbol val="none"/>
          </c:marker>
          <c:cat>
            <c:numRef>
              <c:f>'[Shared graphs and underlying data_in editable format (version 2).xlsx]Figure 2'!$A$2:$A$13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'[Shared graphs and underlying data_in editable format (version 2).xlsx]Figure 2'!$B$2:$B$13</c:f>
              <c:numCache>
                <c:formatCode>0.0%</c:formatCode>
                <c:ptCount val="12"/>
                <c:pt idx="0">
                  <c:v>0.05</c:v>
                </c:pt>
                <c:pt idx="1">
                  <c:v>5.6000000000000001E-2</c:v>
                </c:pt>
                <c:pt idx="2">
                  <c:v>5.7000000000000002E-2</c:v>
                </c:pt>
                <c:pt idx="3">
                  <c:v>6.0999999999999999E-2</c:v>
                </c:pt>
                <c:pt idx="4">
                  <c:v>4.5999999999999999E-2</c:v>
                </c:pt>
                <c:pt idx="5">
                  <c:v>6.4000000000000001E-2</c:v>
                </c:pt>
                <c:pt idx="6">
                  <c:v>6.3E-2</c:v>
                </c:pt>
                <c:pt idx="7">
                  <c:v>4.7E-2</c:v>
                </c:pt>
                <c:pt idx="8">
                  <c:v>4.1000000000000002E-2</c:v>
                </c:pt>
                <c:pt idx="9">
                  <c:v>3.3000000000000002E-2</c:v>
                </c:pt>
                <c:pt idx="10">
                  <c:v>4.4999999999999998E-2</c:v>
                </c:pt>
                <c:pt idx="11">
                  <c:v>6.9000000000000006E-2</c:v>
                </c:pt>
              </c:numCache>
            </c:numRef>
          </c:val>
          <c:smooth val="0"/>
          <c:extLst>
            <c:ext xmlns:c16="http://schemas.microsoft.com/office/drawing/2014/chart" uri="{C3380CC4-5D6E-409C-BE32-E72D297353CC}">
              <c16:uniqueId val="{00000000-6E5F-49E8-B86D-D21993C54A1A}"/>
            </c:ext>
          </c:extLst>
        </c:ser>
        <c:ser>
          <c:idx val="2"/>
          <c:order val="2"/>
          <c:tx>
            <c:strRef>
              <c:f>'[Shared graphs and underlying data_in editable format (version 2).xlsx]Figure 2'!$C$1</c:f>
              <c:strCache>
                <c:ptCount val="1"/>
                <c:pt idx="0">
                  <c:v>Contribution rate increase</c:v>
                </c:pt>
              </c:strCache>
            </c:strRef>
          </c:tx>
          <c:spPr>
            <a:ln w="28575" cap="rnd">
              <a:solidFill>
                <a:srgbClr val="C00000"/>
              </a:solidFill>
              <a:round/>
            </a:ln>
            <a:effectLst/>
          </c:spPr>
          <c:marker>
            <c:symbol val="none"/>
          </c:marker>
          <c:cat>
            <c:numRef>
              <c:f>'[Shared graphs and underlying data_in editable format (version 2).xlsx]Figure 2'!$A$2:$A$13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'[Shared graphs and underlying data_in editable format (version 2).xlsx]Figure 2'!$C$2:$C$13</c:f>
              <c:numCache>
                <c:formatCode>0.0%</c:formatCode>
                <c:ptCount val="12"/>
                <c:pt idx="0">
                  <c:v>9.1999999999999998E-2</c:v>
                </c:pt>
                <c:pt idx="1">
                  <c:v>8.7999999999999995E-2</c:v>
                </c:pt>
                <c:pt idx="2">
                  <c:v>9.7000000000000003E-2</c:v>
                </c:pt>
                <c:pt idx="3">
                  <c:v>8.8999999999999996E-2</c:v>
                </c:pt>
                <c:pt idx="4">
                  <c:v>9.5000000000000001E-2</c:v>
                </c:pt>
                <c:pt idx="5">
                  <c:v>8.7999999999999995E-2</c:v>
                </c:pt>
                <c:pt idx="6">
                  <c:v>0.113</c:v>
                </c:pt>
                <c:pt idx="7">
                  <c:v>7.1999999999999995E-2</c:v>
                </c:pt>
                <c:pt idx="8">
                  <c:v>8.2000000000000003E-2</c:v>
                </c:pt>
                <c:pt idx="9">
                  <c:v>7.5999999999999998E-2</c:v>
                </c:pt>
                <c:pt idx="10">
                  <c:v>2.9000000000000001E-2</c:v>
                </c:pt>
                <c:pt idx="11">
                  <c:v>3.5999999999999997E-2</c:v>
                </c:pt>
              </c:numCache>
            </c:numRef>
          </c:val>
          <c:smooth val="0"/>
          <c:extLst>
            <c:ext xmlns:c16="http://schemas.microsoft.com/office/drawing/2014/chart" uri="{C3380CC4-5D6E-409C-BE32-E72D297353CC}">
              <c16:uniqueId val="{00000001-6E5F-49E8-B86D-D21993C54A1A}"/>
            </c:ext>
          </c:extLst>
        </c:ser>
        <c:ser>
          <c:idx val="3"/>
          <c:order val="3"/>
          <c:tx>
            <c:strRef>
              <c:f>'[Shared graphs and underlying data_in editable format (version 2).xlsx]Figure 2'!$D$1</c:f>
              <c:strCache>
                <c:ptCount val="1"/>
                <c:pt idx="0">
                  <c:v>Increase differenial</c:v>
                </c:pt>
              </c:strCache>
            </c:strRef>
          </c:tx>
          <c:spPr>
            <a:ln w="28575" cap="rnd">
              <a:solidFill>
                <a:srgbClr val="92D050"/>
              </a:solidFill>
              <a:round/>
            </a:ln>
            <a:effectLst/>
          </c:spPr>
          <c:marker>
            <c:symbol val="none"/>
          </c:marker>
          <c:cat>
            <c:numRef>
              <c:f>'[Shared graphs and underlying data_in editable format (version 2).xlsx]Figure 2'!$A$2:$A$13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'[Shared graphs and underlying data_in editable format (version 2).xlsx]Figure 2'!$D$2:$D$13</c:f>
              <c:numCache>
                <c:formatCode>0.0%</c:formatCode>
                <c:ptCount val="12"/>
                <c:pt idx="0">
                  <c:v>4.1999999999999996E-2</c:v>
                </c:pt>
                <c:pt idx="1">
                  <c:v>3.1999999999999994E-2</c:v>
                </c:pt>
                <c:pt idx="2">
                  <c:v>0.04</c:v>
                </c:pt>
                <c:pt idx="3">
                  <c:v>2.7999999999999997E-2</c:v>
                </c:pt>
                <c:pt idx="4">
                  <c:v>4.9000000000000002E-2</c:v>
                </c:pt>
                <c:pt idx="5">
                  <c:v>2.3999999999999994E-2</c:v>
                </c:pt>
                <c:pt idx="6">
                  <c:v>0.05</c:v>
                </c:pt>
                <c:pt idx="7">
                  <c:v>2.4999999999999994E-2</c:v>
                </c:pt>
                <c:pt idx="8">
                  <c:v>4.1000000000000002E-2</c:v>
                </c:pt>
                <c:pt idx="9">
                  <c:v>4.2999999999999997E-2</c:v>
                </c:pt>
                <c:pt idx="10">
                  <c:v>-1.5999999999999997E-2</c:v>
                </c:pt>
                <c:pt idx="11">
                  <c:v>-3.3000000000000008E-2</c:v>
                </c:pt>
              </c:numCache>
            </c:numRef>
          </c:val>
          <c:smooth val="0"/>
          <c:extLst>
            <c:ext xmlns:c16="http://schemas.microsoft.com/office/drawing/2014/chart" uri="{C3380CC4-5D6E-409C-BE32-E72D297353CC}">
              <c16:uniqueId val="{00000002-6E5F-49E8-B86D-D21993C54A1A}"/>
            </c:ext>
          </c:extLst>
        </c:ser>
        <c:dLbls>
          <c:showLegendKey val="0"/>
          <c:showVal val="0"/>
          <c:showCatName val="0"/>
          <c:showSerName val="0"/>
          <c:showPercent val="0"/>
          <c:showBubbleSize val="0"/>
        </c:dLbls>
        <c:smooth val="0"/>
        <c:axId val="2041545551"/>
        <c:axId val="2041533071"/>
        <c:extLst>
          <c:ext xmlns:c15="http://schemas.microsoft.com/office/drawing/2012/chart" uri="{02D57815-91ED-43cb-92C2-25804820EDAC}">
            <c15:filteredLineSeries>
              <c15:ser>
                <c:idx val="0"/>
                <c:order val="0"/>
                <c:tx>
                  <c:strRef>
                    <c:extLst>
                      <c:ext uri="{02D57815-91ED-43cb-92C2-25804820EDAC}">
                        <c15:formulaRef>
                          <c15:sqref>'[Shared graphs and underlying data_in editable format (version 2).xlsx]Figure 2'!$A$1</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'[Shared graphs and underlying data_in editable format (version 2).xlsx]Figure 2'!$A$2:$A$13</c15:sqref>
                        </c15:formulaRef>
                      </c:ext>
                    </c:extLst>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extLst>
                      <c:ext uri="{02D57815-91ED-43cb-92C2-25804820EDAC}">
                        <c15:formulaRef>
                          <c15:sqref>'[Shared graphs and underlying data_in editable format (version 2).xlsx]Figure 2'!$A$2:$A$13</c15:sqref>
                        </c15:formulaRef>
                      </c:ext>
                    </c:extLst>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val>
                <c:smooth val="0"/>
                <c:extLst>
                  <c:ext xmlns:c16="http://schemas.microsoft.com/office/drawing/2014/chart" uri="{C3380CC4-5D6E-409C-BE32-E72D297353CC}">
                    <c16:uniqueId val="{00000003-6E5F-49E8-B86D-D21993C54A1A}"/>
                  </c:ext>
                </c:extLst>
              </c15:ser>
            </c15:filteredLineSeries>
          </c:ext>
        </c:extLst>
      </c:lineChart>
      <c:catAx>
        <c:axId val="204154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crossAx val="2041533071"/>
        <c:crosses val="autoZero"/>
        <c:auto val="1"/>
        <c:lblAlgn val="ctr"/>
        <c:lblOffset val="100"/>
        <c:noMultiLvlLbl val="0"/>
      </c:catAx>
      <c:valAx>
        <c:axId val="20415330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crossAx val="2041545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Arial Narrow" panose="020B0606020202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'https://councilformedicalschemes-my.sharepoint.com/personal/p_nkomo_medicalschemes_co_za/Documents/BMU/Economic Indicators and General Prices_Contributions 2024/[STATS SA_Price Levels.xlsx]Sheet1'!$B$1</c:f>
              <c:strCache>
                <c:ptCount val="1"/>
                <c:pt idx="0">
                  <c:v>Headline CPI (y-o-y)</c:v>
                </c:pt>
              </c:strCache>
            </c:strRef>
          </c:tx>
          <c:spPr>
            <a:ln w="28575" cap="rnd">
              <a:solidFill>
                <a:srgbClr val="00B050"/>
              </a:solidFill>
              <a:round/>
            </a:ln>
            <a:effectLst/>
          </c:spPr>
          <c:marker>
            <c:symbol val="none"/>
          </c:marker>
          <c:cat>
            <c:numRef>
              <c:f>'https://councilformedicalschemes-my.sharepoint.com/personal/p_nkomo_medicalschemes_co_za/Documents/BMU/Economic Indicators and General Prices_Contributions 2024/[STATS SA_Price Levels.xlsx]Sheet1'!$A$2:$A$43</c:f>
              <c:numCache>
                <c:formatCode>General</c:formatCode>
                <c:ptCount val="4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numCache>
            </c:numRef>
          </c:cat>
          <c:val>
            <c:numRef>
              <c:f>'https://councilformedicalschemes-my.sharepoint.com/personal/p_nkomo_medicalschemes_co_za/Documents/BMU/Economic Indicators and General Prices_Contributions 2024/[STATS SA_Price Levels.xlsx]Sheet1'!$B$2:$B$43</c:f>
              <c:numCache>
                <c:formatCode>General</c:formatCode>
                <c:ptCount val="42"/>
                <c:pt idx="0">
                  <c:v>4.5</c:v>
                </c:pt>
                <c:pt idx="1">
                  <c:v>4.5999999999999996</c:v>
                </c:pt>
                <c:pt idx="2">
                  <c:v>4.0999999999999996</c:v>
                </c:pt>
                <c:pt idx="3">
                  <c:v>3</c:v>
                </c:pt>
                <c:pt idx="4">
                  <c:v>2.1</c:v>
                </c:pt>
                <c:pt idx="5">
                  <c:v>2.2000000000000002</c:v>
                </c:pt>
                <c:pt idx="6">
                  <c:v>3.2</c:v>
                </c:pt>
                <c:pt idx="7">
                  <c:v>3.1</c:v>
                </c:pt>
                <c:pt idx="8">
                  <c:v>3</c:v>
                </c:pt>
                <c:pt idx="9">
                  <c:v>3.3</c:v>
                </c:pt>
                <c:pt idx="10">
                  <c:v>3.2</c:v>
                </c:pt>
                <c:pt idx="11">
                  <c:v>3.1</c:v>
                </c:pt>
                <c:pt idx="12">
                  <c:v>3.2</c:v>
                </c:pt>
                <c:pt idx="13">
                  <c:v>2.9</c:v>
                </c:pt>
                <c:pt idx="14">
                  <c:v>3.2</c:v>
                </c:pt>
                <c:pt idx="15">
                  <c:v>4.4000000000000004</c:v>
                </c:pt>
                <c:pt idx="16">
                  <c:v>5.2</c:v>
                </c:pt>
                <c:pt idx="17">
                  <c:v>4.9000000000000004</c:v>
                </c:pt>
                <c:pt idx="18">
                  <c:v>4.5999999999999996</c:v>
                </c:pt>
                <c:pt idx="19">
                  <c:v>4.9000000000000004</c:v>
                </c:pt>
                <c:pt idx="20">
                  <c:v>5</c:v>
                </c:pt>
                <c:pt idx="21">
                  <c:v>5</c:v>
                </c:pt>
                <c:pt idx="22">
                  <c:v>5.5</c:v>
                </c:pt>
                <c:pt idx="23">
                  <c:v>5.9</c:v>
                </c:pt>
                <c:pt idx="24">
                  <c:v>5.7</c:v>
                </c:pt>
                <c:pt idx="25">
                  <c:v>5.7</c:v>
                </c:pt>
                <c:pt idx="26">
                  <c:v>5.9</c:v>
                </c:pt>
                <c:pt idx="27">
                  <c:v>5.9</c:v>
                </c:pt>
                <c:pt idx="28">
                  <c:v>6.5</c:v>
                </c:pt>
                <c:pt idx="29">
                  <c:v>7.4</c:v>
                </c:pt>
                <c:pt idx="30">
                  <c:v>7.8</c:v>
                </c:pt>
                <c:pt idx="31">
                  <c:v>7.6</c:v>
                </c:pt>
                <c:pt idx="32">
                  <c:v>7.5</c:v>
                </c:pt>
                <c:pt idx="33">
                  <c:v>7.6</c:v>
                </c:pt>
                <c:pt idx="34">
                  <c:v>7.4</c:v>
                </c:pt>
                <c:pt idx="35">
                  <c:v>7.2</c:v>
                </c:pt>
                <c:pt idx="36">
                  <c:v>6.9</c:v>
                </c:pt>
                <c:pt idx="37">
                  <c:v>7</c:v>
                </c:pt>
                <c:pt idx="38">
                  <c:v>7.1</c:v>
                </c:pt>
                <c:pt idx="39">
                  <c:v>6.8</c:v>
                </c:pt>
                <c:pt idx="40">
                  <c:v>6.3</c:v>
                </c:pt>
                <c:pt idx="41">
                  <c:v>5.4</c:v>
                </c:pt>
              </c:numCache>
            </c:numRef>
          </c:val>
          <c:smooth val="0"/>
          <c:extLst>
            <c:ext xmlns:c16="http://schemas.microsoft.com/office/drawing/2014/chart" uri="{C3380CC4-5D6E-409C-BE32-E72D297353CC}">
              <c16:uniqueId val="{00000000-97E5-43D7-A8F7-B37EECD26F80}"/>
            </c:ext>
          </c:extLst>
        </c:ser>
        <c:ser>
          <c:idx val="1"/>
          <c:order val="1"/>
          <c:tx>
            <c:strRef>
              <c:f>'https://councilformedicalschemes-my.sharepoint.com/personal/p_nkomo_medicalschemes_co_za/Documents/BMU/Economic Indicators and General Prices_Contributions 2024/[STATS SA_Price Levels.xlsx]Sheet1'!$C$1</c:f>
              <c:strCache>
                <c:ptCount val="1"/>
                <c:pt idx="0">
                  <c:v>Medical Insurance (yoy)</c:v>
                </c:pt>
              </c:strCache>
            </c:strRef>
          </c:tx>
          <c:spPr>
            <a:ln w="28575" cap="rnd">
              <a:solidFill>
                <a:srgbClr val="C00000"/>
              </a:solidFill>
              <a:round/>
            </a:ln>
            <a:effectLst/>
          </c:spPr>
          <c:marker>
            <c:symbol val="none"/>
          </c:marker>
          <c:cat>
            <c:numRef>
              <c:f>'https://councilformedicalschemes-my.sharepoint.com/personal/p_nkomo_medicalschemes_co_za/Documents/BMU/Economic Indicators and General Prices_Contributions 2024/[STATS SA_Price Levels.xlsx]Sheet1'!$A$2:$A$43</c:f>
              <c:numCache>
                <c:formatCode>General</c:formatCode>
                <c:ptCount val="4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numCache>
            </c:numRef>
          </c:cat>
          <c:val>
            <c:numRef>
              <c:f>'https://councilformedicalschemes-my.sharepoint.com/personal/p_nkomo_medicalschemes_co_za/Documents/BMU/Economic Indicators and General Prices_Contributions 2024/[STATS SA_Price Levels.xlsx]Sheet1'!$C$2:$C$43</c:f>
              <c:numCache>
                <c:formatCode>General</c:formatCode>
                <c:ptCount val="42"/>
                <c:pt idx="0">
                  <c:v>8.9</c:v>
                </c:pt>
                <c:pt idx="1">
                  <c:v>9.6</c:v>
                </c:pt>
                <c:pt idx="2">
                  <c:v>9.6</c:v>
                </c:pt>
                <c:pt idx="3">
                  <c:v>9.5</c:v>
                </c:pt>
                <c:pt idx="4">
                  <c:v>9.5</c:v>
                </c:pt>
                <c:pt idx="5">
                  <c:v>9.5</c:v>
                </c:pt>
                <c:pt idx="6">
                  <c:v>9.5</c:v>
                </c:pt>
                <c:pt idx="7">
                  <c:v>9.5</c:v>
                </c:pt>
                <c:pt idx="8">
                  <c:v>9.5</c:v>
                </c:pt>
                <c:pt idx="9">
                  <c:v>9.5</c:v>
                </c:pt>
                <c:pt idx="10">
                  <c:v>9.5</c:v>
                </c:pt>
                <c:pt idx="11">
                  <c:v>9.5</c:v>
                </c:pt>
                <c:pt idx="12">
                  <c:v>9.5</c:v>
                </c:pt>
                <c:pt idx="13">
                  <c:v>4.7</c:v>
                </c:pt>
                <c:pt idx="14">
                  <c:v>4.7</c:v>
                </c:pt>
                <c:pt idx="15">
                  <c:v>4.5999999999999996</c:v>
                </c:pt>
                <c:pt idx="16">
                  <c:v>4.5999999999999996</c:v>
                </c:pt>
                <c:pt idx="17">
                  <c:v>4.5999999999999996</c:v>
                </c:pt>
                <c:pt idx="18">
                  <c:v>5.9</c:v>
                </c:pt>
                <c:pt idx="19">
                  <c:v>5.9</c:v>
                </c:pt>
                <c:pt idx="20">
                  <c:v>5.9</c:v>
                </c:pt>
                <c:pt idx="21">
                  <c:v>5.9</c:v>
                </c:pt>
                <c:pt idx="22">
                  <c:v>5.9</c:v>
                </c:pt>
                <c:pt idx="23">
                  <c:v>5.9</c:v>
                </c:pt>
                <c:pt idx="24">
                  <c:v>5.9</c:v>
                </c:pt>
                <c:pt idx="25">
                  <c:v>3.6</c:v>
                </c:pt>
                <c:pt idx="26">
                  <c:v>3.6</c:v>
                </c:pt>
                <c:pt idx="27">
                  <c:v>4.7</c:v>
                </c:pt>
                <c:pt idx="28">
                  <c:v>4.7</c:v>
                </c:pt>
                <c:pt idx="29">
                  <c:v>4.7</c:v>
                </c:pt>
                <c:pt idx="30">
                  <c:v>3.4</c:v>
                </c:pt>
                <c:pt idx="31">
                  <c:v>3.4</c:v>
                </c:pt>
                <c:pt idx="32">
                  <c:v>3.5</c:v>
                </c:pt>
                <c:pt idx="33">
                  <c:v>4.8</c:v>
                </c:pt>
                <c:pt idx="34">
                  <c:v>4.8</c:v>
                </c:pt>
                <c:pt idx="35">
                  <c:v>4.8</c:v>
                </c:pt>
                <c:pt idx="36">
                  <c:v>4.8</c:v>
                </c:pt>
                <c:pt idx="37">
                  <c:v>7.5</c:v>
                </c:pt>
                <c:pt idx="38">
                  <c:v>7.5</c:v>
                </c:pt>
                <c:pt idx="39">
                  <c:v>8.3000000000000007</c:v>
                </c:pt>
                <c:pt idx="40">
                  <c:v>8.3000000000000007</c:v>
                </c:pt>
                <c:pt idx="41">
                  <c:v>8.3000000000000007</c:v>
                </c:pt>
              </c:numCache>
            </c:numRef>
          </c:val>
          <c:smooth val="0"/>
          <c:extLst>
            <c:ext xmlns:c16="http://schemas.microsoft.com/office/drawing/2014/chart" uri="{C3380CC4-5D6E-409C-BE32-E72D297353CC}">
              <c16:uniqueId val="{00000001-97E5-43D7-A8F7-B37EECD26F80}"/>
            </c:ext>
          </c:extLst>
        </c:ser>
        <c:ser>
          <c:idx val="2"/>
          <c:order val="2"/>
          <c:tx>
            <c:strRef>
              <c:f>'https://councilformedicalschemes-my.sharepoint.com/personal/p_nkomo_medicalschemes_co_za/Documents/BMU/Economic Indicators and General Prices_Contributions 2024/[STATS SA_Price Levels.xlsx]Sheet1'!$D$1</c:f>
              <c:strCache>
                <c:ptCount val="1"/>
                <c:pt idx="0">
                  <c:v>Health (y-o-y)</c:v>
                </c:pt>
              </c:strCache>
            </c:strRef>
          </c:tx>
          <c:spPr>
            <a:ln w="28575" cap="rnd">
              <a:solidFill>
                <a:schemeClr val="accent1">
                  <a:lumMod val="75000"/>
                </a:schemeClr>
              </a:solidFill>
              <a:round/>
            </a:ln>
            <a:effectLst/>
          </c:spPr>
          <c:marker>
            <c:symbol val="none"/>
          </c:marker>
          <c:cat>
            <c:numRef>
              <c:f>'https://councilformedicalschemes-my.sharepoint.com/personal/p_nkomo_medicalschemes_co_za/Documents/BMU/Economic Indicators and General Prices_Contributions 2024/[STATS SA_Price Levels.xlsx]Sheet1'!$A$2:$A$43</c:f>
              <c:numCache>
                <c:formatCode>General</c:formatCode>
                <c:ptCount val="4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numCache>
            </c:numRef>
          </c:cat>
          <c:val>
            <c:numRef>
              <c:f>'https://councilformedicalschemes-my.sharepoint.com/personal/p_nkomo_medicalschemes_co_za/Documents/BMU/Economic Indicators and General Prices_Contributions 2024/[STATS SA_Price Levels.xlsx]Sheet1'!$D$2:$D$43</c:f>
              <c:numCache>
                <c:formatCode>General</c:formatCode>
                <c:ptCount val="42"/>
                <c:pt idx="0">
                  <c:v>5</c:v>
                </c:pt>
                <c:pt idx="1">
                  <c:v>5.5</c:v>
                </c:pt>
                <c:pt idx="2">
                  <c:v>4.5999999999999996</c:v>
                </c:pt>
                <c:pt idx="3">
                  <c:v>4.8</c:v>
                </c:pt>
                <c:pt idx="4">
                  <c:v>3.9</c:v>
                </c:pt>
                <c:pt idx="5">
                  <c:v>3.8</c:v>
                </c:pt>
                <c:pt idx="6">
                  <c:v>3.9</c:v>
                </c:pt>
                <c:pt idx="7">
                  <c:v>4.0999999999999996</c:v>
                </c:pt>
                <c:pt idx="8">
                  <c:v>3.9</c:v>
                </c:pt>
                <c:pt idx="9">
                  <c:v>4.0999999999999996</c:v>
                </c:pt>
                <c:pt idx="10">
                  <c:v>4</c:v>
                </c:pt>
                <c:pt idx="11">
                  <c:v>4.5</c:v>
                </c:pt>
                <c:pt idx="12">
                  <c:v>4.5</c:v>
                </c:pt>
                <c:pt idx="13">
                  <c:v>2.8</c:v>
                </c:pt>
                <c:pt idx="14">
                  <c:v>3.1</c:v>
                </c:pt>
                <c:pt idx="15">
                  <c:v>3.4</c:v>
                </c:pt>
                <c:pt idx="16">
                  <c:v>3.6</c:v>
                </c:pt>
                <c:pt idx="17">
                  <c:v>3.8</c:v>
                </c:pt>
                <c:pt idx="18">
                  <c:v>3.6</c:v>
                </c:pt>
                <c:pt idx="19">
                  <c:v>3.5</c:v>
                </c:pt>
                <c:pt idx="20">
                  <c:v>3.6</c:v>
                </c:pt>
                <c:pt idx="21">
                  <c:v>3.8</c:v>
                </c:pt>
                <c:pt idx="22">
                  <c:v>3.8</c:v>
                </c:pt>
                <c:pt idx="23">
                  <c:v>3.7</c:v>
                </c:pt>
                <c:pt idx="24">
                  <c:v>3.4</c:v>
                </c:pt>
                <c:pt idx="25">
                  <c:v>4.9000000000000004</c:v>
                </c:pt>
                <c:pt idx="26">
                  <c:v>4.9000000000000004</c:v>
                </c:pt>
                <c:pt idx="27">
                  <c:v>4.7</c:v>
                </c:pt>
                <c:pt idx="28">
                  <c:v>4.9000000000000004</c:v>
                </c:pt>
                <c:pt idx="29">
                  <c:v>5.0999999999999996</c:v>
                </c:pt>
                <c:pt idx="30">
                  <c:v>4.5</c:v>
                </c:pt>
                <c:pt idx="31">
                  <c:v>4.5999999999999996</c:v>
                </c:pt>
                <c:pt idx="32">
                  <c:v>4.3</c:v>
                </c:pt>
                <c:pt idx="33">
                  <c:v>4.5999999999999996</c:v>
                </c:pt>
                <c:pt idx="34">
                  <c:v>4.8</c:v>
                </c:pt>
                <c:pt idx="35">
                  <c:v>4.8</c:v>
                </c:pt>
                <c:pt idx="36">
                  <c:v>4.8</c:v>
                </c:pt>
                <c:pt idx="37">
                  <c:v>5.0999999999999996</c:v>
                </c:pt>
                <c:pt idx="38">
                  <c:v>5.2</c:v>
                </c:pt>
                <c:pt idx="39">
                  <c:v>5.4</c:v>
                </c:pt>
                <c:pt idx="40">
                  <c:v>5.8</c:v>
                </c:pt>
                <c:pt idx="41">
                  <c:v>5.9</c:v>
                </c:pt>
              </c:numCache>
            </c:numRef>
          </c:val>
          <c:smooth val="0"/>
          <c:extLst>
            <c:ext xmlns:c16="http://schemas.microsoft.com/office/drawing/2014/chart" uri="{C3380CC4-5D6E-409C-BE32-E72D297353CC}">
              <c16:uniqueId val="{00000002-97E5-43D7-A8F7-B37EECD26F80}"/>
            </c:ext>
          </c:extLst>
        </c:ser>
        <c:dLbls>
          <c:showLegendKey val="0"/>
          <c:showVal val="0"/>
          <c:showCatName val="0"/>
          <c:showSerName val="0"/>
          <c:showPercent val="0"/>
          <c:showBubbleSize val="0"/>
        </c:dLbls>
        <c:smooth val="0"/>
        <c:axId val="1356688367"/>
        <c:axId val="1356685871"/>
        <c:extLst>
          <c:ext xmlns:c15="http://schemas.microsoft.com/office/drawing/2012/chart" uri="{02D57815-91ED-43cb-92C2-25804820EDAC}">
            <c15:filteredLineSeries>
              <c15:ser>
                <c:idx val="3"/>
                <c:order val="3"/>
                <c:tx>
                  <c:strRef>
                    <c:extLst>
                      <c:ext uri="{02D57815-91ED-43cb-92C2-25804820EDAC}">
                        <c15:formulaRef>
                          <c15:sqref>'https://councilformedicalschemes-my.sharepoint.com/personal/p_nkomo_medicalschemes_co_za/Documents/BMU/Economic Indicators and General Prices_Contributions 2024/[STATS SA_Price Levels.xlsx]Sheet1'!$E$1</c15:sqref>
                        </c15:formulaRef>
                      </c:ext>
                    </c:extLst>
                    <c:strCache>
                      <c:ptCount val="1"/>
                      <c:pt idx="0">
                        <c:v>Health Including Medical Insurance (y-o-y)</c:v>
                      </c:pt>
                    </c:strCache>
                  </c:strRef>
                </c:tx>
                <c:spPr>
                  <a:ln w="28575" cap="rnd">
                    <a:solidFill>
                      <a:srgbClr val="C00000"/>
                    </a:solidFill>
                    <a:prstDash val="dash"/>
                    <a:round/>
                  </a:ln>
                  <a:effectLst/>
                </c:spPr>
                <c:marker>
                  <c:symbol val="none"/>
                </c:marker>
                <c:cat>
                  <c:numRef>
                    <c:extLst>
                      <c:ext uri="{02D57815-91ED-43cb-92C2-25804820EDAC}">
                        <c15:formulaRef>
                          <c15:sqref>'https://councilformedicalschemes-my.sharepoint.com/personal/p_nkomo_medicalschemes_co_za/Documents/BMU/Economic Indicators and General Prices_Contributions 2024/[STATS SA_Price Levels.xlsx]Sheet1'!$A$2:$A$43</c15:sqref>
                        </c15:formulaRef>
                      </c:ext>
                    </c:extLst>
                    <c:numCache>
                      <c:formatCode>General</c:formatCode>
                      <c:ptCount val="4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numCache>
                  </c:numRef>
                </c:cat>
                <c:val>
                  <c:numRef>
                    <c:extLst>
                      <c:ext uri="{02D57815-91ED-43cb-92C2-25804820EDAC}">
                        <c15:formulaRef>
                          <c15:sqref>'https://councilformedicalschemes-my.sharepoint.com/personal/p_nkomo_medicalschemes_co_za/Documents/BMU/Economic Indicators and General Prices_Contributions 2024/[STATS SA_Price Levels.xlsx]Sheet1'!$E$2:$E$43</c15:sqref>
                        </c15:formulaRef>
                      </c:ext>
                    </c:extLst>
                    <c:numCache>
                      <c:formatCode>General</c:formatCode>
                      <c:ptCount val="42"/>
                      <c:pt idx="0">
                        <c:v>8.1999999999999993</c:v>
                      </c:pt>
                      <c:pt idx="1">
                        <c:v>9</c:v>
                      </c:pt>
                      <c:pt idx="2">
                        <c:v>8.8000000000000007</c:v>
                      </c:pt>
                      <c:pt idx="3">
                        <c:v>8.8000000000000007</c:v>
                      </c:pt>
                      <c:pt idx="4">
                        <c:v>8.6999999999999993</c:v>
                      </c:pt>
                      <c:pt idx="5">
                        <c:v>8.6</c:v>
                      </c:pt>
                      <c:pt idx="6">
                        <c:v>8.6</c:v>
                      </c:pt>
                      <c:pt idx="7">
                        <c:v>8.6999999999999993</c:v>
                      </c:pt>
                      <c:pt idx="8">
                        <c:v>8.6999999999999993</c:v>
                      </c:pt>
                      <c:pt idx="9">
                        <c:v>8.6999999999999993</c:v>
                      </c:pt>
                      <c:pt idx="10">
                        <c:v>8.6999999999999993</c:v>
                      </c:pt>
                      <c:pt idx="11">
                        <c:v>8.8000000000000007</c:v>
                      </c:pt>
                      <c:pt idx="12">
                        <c:v>8.8000000000000007</c:v>
                      </c:pt>
                      <c:pt idx="13">
                        <c:v>4.3</c:v>
                      </c:pt>
                      <c:pt idx="14">
                        <c:v>4.4000000000000004</c:v>
                      </c:pt>
                      <c:pt idx="15">
                        <c:v>4.5</c:v>
                      </c:pt>
                      <c:pt idx="16">
                        <c:v>4.5</c:v>
                      </c:pt>
                      <c:pt idx="17">
                        <c:v>4.5</c:v>
                      </c:pt>
                      <c:pt idx="18">
                        <c:v>5.6</c:v>
                      </c:pt>
                      <c:pt idx="19">
                        <c:v>5.5</c:v>
                      </c:pt>
                      <c:pt idx="20">
                        <c:v>5.5</c:v>
                      </c:pt>
                      <c:pt idx="21">
                        <c:v>5.5</c:v>
                      </c:pt>
                      <c:pt idx="22">
                        <c:v>5.5</c:v>
                      </c:pt>
                      <c:pt idx="23">
                        <c:v>5.6</c:v>
                      </c:pt>
                      <c:pt idx="24">
                        <c:v>5.5</c:v>
                      </c:pt>
                      <c:pt idx="25">
                        <c:v>3.8</c:v>
                      </c:pt>
                      <c:pt idx="26">
                        <c:v>3.8</c:v>
                      </c:pt>
                      <c:pt idx="27">
                        <c:v>4.8</c:v>
                      </c:pt>
                      <c:pt idx="28">
                        <c:v>4.8</c:v>
                      </c:pt>
                      <c:pt idx="29">
                        <c:v>4.8</c:v>
                      </c:pt>
                      <c:pt idx="30">
                        <c:v>3.6</c:v>
                      </c:pt>
                      <c:pt idx="31">
                        <c:v>3.6</c:v>
                      </c:pt>
                      <c:pt idx="32">
                        <c:v>3.7</c:v>
                      </c:pt>
                      <c:pt idx="33">
                        <c:v>4.8</c:v>
                      </c:pt>
                      <c:pt idx="34">
                        <c:v>4.9000000000000004</c:v>
                      </c:pt>
                      <c:pt idx="35">
                        <c:v>4.8</c:v>
                      </c:pt>
                      <c:pt idx="36">
                        <c:v>4.8</c:v>
                      </c:pt>
                      <c:pt idx="37">
                        <c:v>7.1</c:v>
                      </c:pt>
                      <c:pt idx="38">
                        <c:v>7.1</c:v>
                      </c:pt>
                      <c:pt idx="39">
                        <c:v>7.8</c:v>
                      </c:pt>
                      <c:pt idx="40">
                        <c:v>7.9</c:v>
                      </c:pt>
                      <c:pt idx="41">
                        <c:v>7.9</c:v>
                      </c:pt>
                    </c:numCache>
                  </c:numRef>
                </c:val>
                <c:smooth val="0"/>
                <c:extLst>
                  <c:ext xmlns:c16="http://schemas.microsoft.com/office/drawing/2014/chart" uri="{C3380CC4-5D6E-409C-BE32-E72D297353CC}">
                    <c16:uniqueId val="{00000003-97E5-43D7-A8F7-B37EECD26F80}"/>
                  </c:ext>
                </c:extLst>
              </c15:ser>
            </c15:filteredLineSeries>
          </c:ext>
        </c:extLst>
      </c:lineChart>
      <c:catAx>
        <c:axId val="1356688367"/>
        <c:scaling>
          <c:orientation val="minMax"/>
        </c:scaling>
        <c:delete val="0"/>
        <c:axPos val="b"/>
        <c:numFmt formatCode="mmm\-yyyy" sourceLinked="0"/>
        <c:majorTickMark val="in"/>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crossAx val="1356685871"/>
        <c:crosses val="autoZero"/>
        <c:auto val="1"/>
        <c:lblAlgn val="ctr"/>
        <c:lblOffset val="100"/>
        <c:tickMarkSkip val="2"/>
        <c:noMultiLvlLbl val="0"/>
      </c:catAx>
      <c:valAx>
        <c:axId val="1356685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r>
                  <a:rPr lang="en-US" b="1"/>
                  <a:t>Price Level Changes </a:t>
                </a:r>
              </a:p>
              <a:p>
                <a:pPr>
                  <a:defRPr b="1"/>
                </a:pPr>
                <a:r>
                  <a:rPr lang="en-US" b="1"/>
                  <a:t>Y-O-Y (January 2020 to June 2023)</a:t>
                </a:r>
              </a:p>
            </c:rich>
          </c:tx>
          <c:layout>
            <c:manualLayout>
              <c:xMode val="edge"/>
              <c:yMode val="edge"/>
              <c:x val="1.222125399828511E-2"/>
              <c:y val="0.1189848013184398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crossAx val="135668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Narrow" panose="020B060602020203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'https://councilformedicalschemes-my.sharepoint.com/personal/p_nkomo_medicalschemes_co_za/Documents/BMU/Economic Indicators and General Prices_Contributions 2024/[SARB Data_Composite Supply Chain Index.xlsx]Sheet1'!$B$2</c:f>
              <c:strCache>
                <c:ptCount val="1"/>
                <c:pt idx="0">
                  <c:v>CSCPI</c:v>
                </c:pt>
              </c:strCache>
            </c:strRef>
          </c:tx>
          <c:spPr>
            <a:ln w="28575" cap="rnd">
              <a:solidFill>
                <a:schemeClr val="accent1"/>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C8-46B3-A7A6-AABBDBC72320}"/>
                </c:ext>
              </c:extLst>
            </c:dLbl>
            <c:dLbl>
              <c:idx val="10"/>
              <c:layout>
                <c:manualLayout>
                  <c:x val="-4.1846675137653576E-2"/>
                  <c:y val="-2.42796187909666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C8-46B3-A7A6-AABBDBC72320}"/>
                </c:ext>
              </c:extLst>
            </c:dLbl>
            <c:dLbl>
              <c:idx val="11"/>
              <c:layout>
                <c:manualLayout>
                  <c:x val="-1.9059720457433291E-2"/>
                  <c:y val="8.91265597147950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C8-46B3-A7A6-AABBDBC72320}"/>
                </c:ext>
              </c:extLst>
            </c:dLbl>
            <c:dLbl>
              <c:idx val="14"/>
              <c:layout>
                <c:manualLayout>
                  <c:x val="-5.2943667937314698E-2"/>
                  <c:y val="-8.9125390074903735E-3"/>
                </c:manualLayout>
              </c:layout>
              <c:showLegendKey val="0"/>
              <c:showVal val="1"/>
              <c:showCatName val="0"/>
              <c:showSerName val="0"/>
              <c:showPercent val="0"/>
              <c:showBubbleSize val="0"/>
              <c:extLst>
                <c:ext xmlns:c15="http://schemas.microsoft.com/office/drawing/2012/chart" uri="{CE6537A1-D6FC-4f65-9D91-7224C49458BB}">
                  <c15:layout>
                    <c:manualLayout>
                      <c:w val="6.0398136382888608E-2"/>
                      <c:h val="3.9646581610453764E-2"/>
                    </c:manualLayout>
                  </c15:layout>
                </c:ext>
                <c:ext xmlns:c16="http://schemas.microsoft.com/office/drawing/2014/chart" uri="{C3380CC4-5D6E-409C-BE32-E72D297353CC}">
                  <c16:uniqueId val="{00000003-FEC8-46B3-A7A6-AABBDBC72320}"/>
                </c:ext>
              </c:extLst>
            </c:dLbl>
            <c:dLbl>
              <c:idx val="21"/>
              <c:layout>
                <c:manualLayout>
                  <c:x val="-4.39644218551462E-2"/>
                  <c:y val="-2.42796187909666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C8-46B3-A7A6-AABBDBC72320}"/>
                </c:ext>
              </c:extLst>
            </c:dLbl>
            <c:dLbl>
              <c:idx val="3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C8-46B3-A7A6-AABBDBC72320}"/>
                </c:ext>
              </c:extLst>
            </c:dLbl>
            <c:dLbl>
              <c:idx val="35"/>
              <c:layout>
                <c:manualLayout>
                  <c:x val="-4.0237187632359173E-2"/>
                  <c:y val="2.9710022878156272E-3"/>
                </c:manualLayout>
              </c:layout>
              <c:showLegendKey val="0"/>
              <c:showVal val="1"/>
              <c:showCatName val="0"/>
              <c:showSerName val="0"/>
              <c:showPercent val="0"/>
              <c:showBubbleSize val="0"/>
              <c:extLst>
                <c:ext xmlns:c15="http://schemas.microsoft.com/office/drawing/2012/chart" uri="{CE6537A1-D6FC-4f65-9D91-7224C49458BB}">
                  <c15:layout>
                    <c:manualLayout>
                      <c:w val="6.0398136382888608E-2"/>
                      <c:h val="3.9646581610453764E-2"/>
                    </c:manualLayout>
                  </c15:layout>
                </c:ext>
                <c:ext xmlns:c16="http://schemas.microsoft.com/office/drawing/2014/chart" uri="{C3380CC4-5D6E-409C-BE32-E72D297353CC}">
                  <c16:uniqueId val="{00000006-FEC8-46B3-A7A6-AABBDBC72320}"/>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'https://councilformedicalschemes-my.sharepoint.com/personal/p_nkomo_medicalschemes_co_za/Documents/BMU/Economic Indicators and General Prices_Contributions 2024/[SARB Data_Composite Supply Chain Index.xlsx]Sheet1'!$A$3:$A$38</c:f>
              <c:strCache>
                <c:ptCount val="36"/>
                <c:pt idx="0">
                  <c:v>March 2020</c:v>
                </c:pt>
                <c:pt idx="1">
                  <c:v>April 2020</c:v>
                </c:pt>
                <c:pt idx="2">
                  <c:v>May 2020</c:v>
                </c:pt>
                <c:pt idx="3">
                  <c:v>June 2020</c:v>
                </c:pt>
                <c:pt idx="4">
                  <c:v>July 2020</c:v>
                </c:pt>
                <c:pt idx="5">
                  <c:v>Aug 2020</c:v>
                </c:pt>
                <c:pt idx="6">
                  <c:v>Sept 2020</c:v>
                </c:pt>
                <c:pt idx="7">
                  <c:v>Oct 2020</c:v>
                </c:pt>
                <c:pt idx="8">
                  <c:v>Nov 2020</c:v>
                </c:pt>
                <c:pt idx="9">
                  <c:v>Dec 2020</c:v>
                </c:pt>
                <c:pt idx="10">
                  <c:v>Jan 2021</c:v>
                </c:pt>
                <c:pt idx="11">
                  <c:v>Feb 2021</c:v>
                </c:pt>
                <c:pt idx="12">
                  <c:v>March 2021</c:v>
                </c:pt>
                <c:pt idx="13">
                  <c:v>April 2021</c:v>
                </c:pt>
                <c:pt idx="14">
                  <c:v>May 2021</c:v>
                </c:pt>
                <c:pt idx="15">
                  <c:v>June 2021</c:v>
                </c:pt>
                <c:pt idx="16">
                  <c:v>July 2021</c:v>
                </c:pt>
                <c:pt idx="17">
                  <c:v>Aug 2021</c:v>
                </c:pt>
                <c:pt idx="18">
                  <c:v>Sept 2021</c:v>
                </c:pt>
                <c:pt idx="19">
                  <c:v>Oct 2021</c:v>
                </c:pt>
                <c:pt idx="20">
                  <c:v>Nov 2021</c:v>
                </c:pt>
                <c:pt idx="21">
                  <c:v>Dec 2021</c:v>
                </c:pt>
                <c:pt idx="22">
                  <c:v>Jan 2022</c:v>
                </c:pt>
                <c:pt idx="23">
                  <c:v>Feb 2022</c:v>
                </c:pt>
                <c:pt idx="24">
                  <c:v>March 2022</c:v>
                </c:pt>
                <c:pt idx="25">
                  <c:v>April 2022</c:v>
                </c:pt>
                <c:pt idx="26">
                  <c:v>May 2022</c:v>
                </c:pt>
                <c:pt idx="27">
                  <c:v>June 2022</c:v>
                </c:pt>
                <c:pt idx="28">
                  <c:v>July 2022</c:v>
                </c:pt>
                <c:pt idx="29">
                  <c:v>Aug 2022</c:v>
                </c:pt>
                <c:pt idx="30">
                  <c:v>Sept 2022</c:v>
                </c:pt>
                <c:pt idx="31">
                  <c:v>Oct 2022</c:v>
                </c:pt>
                <c:pt idx="32">
                  <c:v>Nov 2022</c:v>
                </c:pt>
                <c:pt idx="33">
                  <c:v>Dec 2022</c:v>
                </c:pt>
                <c:pt idx="34">
                  <c:v>Jan 2023</c:v>
                </c:pt>
                <c:pt idx="35">
                  <c:v>Feb 2023</c:v>
                </c:pt>
              </c:strCache>
            </c:strRef>
          </c:cat>
          <c:val>
            <c:numRef>
              <c:f>'https://councilformedicalschemes-my.sharepoint.com/personal/p_nkomo_medicalschemes_co_za/Documents/BMU/Economic Indicators and General Prices_Contributions 2024/[SARB Data_Composite Supply Chain Index.xlsx]Sheet1'!$B$3:$B$38</c:f>
              <c:numCache>
                <c:formatCode>General</c:formatCode>
                <c:ptCount val="36"/>
                <c:pt idx="0">
                  <c:v>100.5</c:v>
                </c:pt>
                <c:pt idx="1">
                  <c:v>100.7</c:v>
                </c:pt>
                <c:pt idx="2">
                  <c:v>101</c:v>
                </c:pt>
                <c:pt idx="3">
                  <c:v>101.4</c:v>
                </c:pt>
                <c:pt idx="4">
                  <c:v>101.8</c:v>
                </c:pt>
                <c:pt idx="5">
                  <c:v>102</c:v>
                </c:pt>
                <c:pt idx="6">
                  <c:v>102.2</c:v>
                </c:pt>
                <c:pt idx="7">
                  <c:v>102.5</c:v>
                </c:pt>
                <c:pt idx="8">
                  <c:v>102.6</c:v>
                </c:pt>
                <c:pt idx="9">
                  <c:v>102.6</c:v>
                </c:pt>
                <c:pt idx="10">
                  <c:v>102.7</c:v>
                </c:pt>
                <c:pt idx="11">
                  <c:v>102.5</c:v>
                </c:pt>
                <c:pt idx="12">
                  <c:v>102.7</c:v>
                </c:pt>
                <c:pt idx="13">
                  <c:v>102.9</c:v>
                </c:pt>
                <c:pt idx="14">
                  <c:v>103.2</c:v>
                </c:pt>
                <c:pt idx="15">
                  <c:v>103.2</c:v>
                </c:pt>
                <c:pt idx="16">
                  <c:v>103.3</c:v>
                </c:pt>
                <c:pt idx="17">
                  <c:v>103.5</c:v>
                </c:pt>
                <c:pt idx="18">
                  <c:v>103.5</c:v>
                </c:pt>
                <c:pt idx="19">
                  <c:v>103.7</c:v>
                </c:pt>
                <c:pt idx="20">
                  <c:v>103.6</c:v>
                </c:pt>
                <c:pt idx="21">
                  <c:v>103.8</c:v>
                </c:pt>
                <c:pt idx="22">
                  <c:v>103.8</c:v>
                </c:pt>
                <c:pt idx="23">
                  <c:v>103.8</c:v>
                </c:pt>
                <c:pt idx="24">
                  <c:v>103.7</c:v>
                </c:pt>
                <c:pt idx="25">
                  <c:v>103.5</c:v>
                </c:pt>
                <c:pt idx="26">
                  <c:v>103.3</c:v>
                </c:pt>
                <c:pt idx="27">
                  <c:v>103</c:v>
                </c:pt>
                <c:pt idx="28">
                  <c:v>102.9</c:v>
                </c:pt>
                <c:pt idx="29">
                  <c:v>102.9</c:v>
                </c:pt>
                <c:pt idx="30">
                  <c:v>102.6</c:v>
                </c:pt>
                <c:pt idx="31">
                  <c:v>102.9</c:v>
                </c:pt>
                <c:pt idx="32">
                  <c:v>102.5</c:v>
                </c:pt>
                <c:pt idx="33">
                  <c:v>102.1</c:v>
                </c:pt>
                <c:pt idx="34">
                  <c:v>101.8</c:v>
                </c:pt>
                <c:pt idx="35">
                  <c:v>101.6</c:v>
                </c:pt>
              </c:numCache>
            </c:numRef>
          </c:val>
          <c:smooth val="0"/>
          <c:extLst>
            <c:ext xmlns:c16="http://schemas.microsoft.com/office/drawing/2014/chart" uri="{C3380CC4-5D6E-409C-BE32-E72D297353CC}">
              <c16:uniqueId val="{00000007-FEC8-46B3-A7A6-AABBDBC72320}"/>
            </c:ext>
          </c:extLst>
        </c:ser>
        <c:dLbls>
          <c:showLegendKey val="0"/>
          <c:showVal val="0"/>
          <c:showCatName val="0"/>
          <c:showSerName val="0"/>
          <c:showPercent val="0"/>
          <c:showBubbleSize val="0"/>
        </c:dLbls>
        <c:smooth val="0"/>
        <c:axId val="1261437279"/>
        <c:axId val="1261433951"/>
      </c:lineChart>
      <c:catAx>
        <c:axId val="1261437279"/>
        <c:scaling>
          <c:orientation val="minMax"/>
        </c:scaling>
        <c:delete val="0"/>
        <c:axPos val="b"/>
        <c:numFmt formatCode="[$-409]mmmm\-yy;@" sourceLinked="0"/>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1433951"/>
        <c:crosses val="autoZero"/>
        <c:auto val="1"/>
        <c:lblAlgn val="ctr"/>
        <c:lblOffset val="100"/>
        <c:noMultiLvlLbl val="0"/>
      </c:catAx>
      <c:valAx>
        <c:axId val="1261433951"/>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Composite supply chain pressure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6143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2C-42C4-874F-09817F7C831D}"/>
                </c:ext>
              </c:extLst>
            </c:dLbl>
            <c:dLbl>
              <c:idx val="1"/>
              <c:delete val="1"/>
              <c:extLst>
                <c:ext xmlns:c15="http://schemas.microsoft.com/office/drawing/2012/chart" uri="{CE6537A1-D6FC-4f65-9D91-7224C49458BB}"/>
                <c:ext xmlns:c16="http://schemas.microsoft.com/office/drawing/2014/chart" uri="{C3380CC4-5D6E-409C-BE32-E72D297353CC}">
                  <c16:uniqueId val="{00000001-312C-42C4-874F-09817F7C831D}"/>
                </c:ext>
              </c:extLst>
            </c:dLbl>
            <c:dLbl>
              <c:idx val="3"/>
              <c:delete val="1"/>
              <c:extLst>
                <c:ext xmlns:c15="http://schemas.microsoft.com/office/drawing/2012/chart" uri="{CE6537A1-D6FC-4f65-9D91-7224C49458BB}"/>
                <c:ext xmlns:c16="http://schemas.microsoft.com/office/drawing/2014/chart" uri="{C3380CC4-5D6E-409C-BE32-E72D297353CC}">
                  <c16:uniqueId val="{00000002-312C-42C4-874F-09817F7C831D}"/>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2C-42C4-874F-09817F7C831D}"/>
                </c:ext>
              </c:extLst>
            </c:dLbl>
            <c:dLbl>
              <c:idx val="6"/>
              <c:delete val="1"/>
              <c:extLst>
                <c:ext xmlns:c15="http://schemas.microsoft.com/office/drawing/2012/chart" uri="{CE6537A1-D6FC-4f65-9D91-7224C49458BB}"/>
                <c:ext xmlns:c16="http://schemas.microsoft.com/office/drawing/2014/chart" uri="{C3380CC4-5D6E-409C-BE32-E72D297353CC}">
                  <c16:uniqueId val="{00000004-312C-42C4-874F-09817F7C831D}"/>
                </c:ext>
              </c:extLst>
            </c:dLbl>
            <c:dLbl>
              <c:idx val="7"/>
              <c:delete val="1"/>
              <c:extLst>
                <c:ext xmlns:c15="http://schemas.microsoft.com/office/drawing/2012/chart" uri="{CE6537A1-D6FC-4f65-9D91-7224C49458BB}"/>
                <c:ext xmlns:c16="http://schemas.microsoft.com/office/drawing/2014/chart" uri="{C3380CC4-5D6E-409C-BE32-E72D297353CC}">
                  <c16:uniqueId val="{00000005-312C-42C4-874F-09817F7C831D}"/>
                </c:ext>
              </c:extLst>
            </c:dLbl>
            <c:dLbl>
              <c:idx val="8"/>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2C-42C4-874F-09817F7C831D}"/>
                </c:ext>
              </c:extLst>
            </c:dLbl>
            <c:dLbl>
              <c:idx val="9"/>
              <c:delete val="1"/>
              <c:extLst>
                <c:ext xmlns:c15="http://schemas.microsoft.com/office/drawing/2012/chart" uri="{CE6537A1-D6FC-4f65-9D91-7224C49458BB}"/>
                <c:ext xmlns:c16="http://schemas.microsoft.com/office/drawing/2014/chart" uri="{C3380CC4-5D6E-409C-BE32-E72D297353CC}">
                  <c16:uniqueId val="{00000007-312C-42C4-874F-09817F7C831D}"/>
                </c:ext>
              </c:extLst>
            </c:dLbl>
            <c:dLbl>
              <c:idx val="11"/>
              <c:delete val="1"/>
              <c:extLst>
                <c:ext xmlns:c15="http://schemas.microsoft.com/office/drawing/2012/chart" uri="{CE6537A1-D6FC-4f65-9D91-7224C49458BB}"/>
                <c:ext xmlns:c16="http://schemas.microsoft.com/office/drawing/2014/chart" uri="{C3380CC4-5D6E-409C-BE32-E72D297353CC}">
                  <c16:uniqueId val="{00000008-312C-42C4-874F-09817F7C831D}"/>
                </c:ext>
              </c:extLst>
            </c:dLbl>
            <c:dLbl>
              <c:idx val="12"/>
              <c:delete val="1"/>
              <c:extLst>
                <c:ext xmlns:c15="http://schemas.microsoft.com/office/drawing/2012/chart" uri="{CE6537A1-D6FC-4f65-9D91-7224C49458BB}"/>
                <c:ext xmlns:c16="http://schemas.microsoft.com/office/drawing/2014/chart" uri="{C3380CC4-5D6E-409C-BE32-E72D297353CC}">
                  <c16:uniqueId val="{00000009-312C-42C4-874F-09817F7C831D}"/>
                </c:ext>
              </c:extLst>
            </c:dLbl>
            <c:dLbl>
              <c:idx val="13"/>
              <c:delete val="1"/>
              <c:extLst>
                <c:ext xmlns:c15="http://schemas.microsoft.com/office/drawing/2012/chart" uri="{CE6537A1-D6FC-4f65-9D91-7224C49458BB}"/>
                <c:ext xmlns:c16="http://schemas.microsoft.com/office/drawing/2014/chart" uri="{C3380CC4-5D6E-409C-BE32-E72D297353CC}">
                  <c16:uniqueId val="{0000000A-312C-42C4-874F-09817F7C831D}"/>
                </c:ext>
              </c:extLst>
            </c:dLbl>
            <c:dLbl>
              <c:idx val="14"/>
              <c:delete val="1"/>
              <c:extLst>
                <c:ext xmlns:c15="http://schemas.microsoft.com/office/drawing/2012/chart" uri="{CE6537A1-D6FC-4f65-9D91-7224C49458BB}"/>
                <c:ext xmlns:c16="http://schemas.microsoft.com/office/drawing/2014/chart" uri="{C3380CC4-5D6E-409C-BE32-E72D297353CC}">
                  <c16:uniqueId val="{0000000B-312C-42C4-874F-09817F7C831D}"/>
                </c:ext>
              </c:extLst>
            </c:dLbl>
            <c:dLbl>
              <c:idx val="16"/>
              <c:delete val="1"/>
              <c:extLst>
                <c:ext xmlns:c15="http://schemas.microsoft.com/office/drawing/2012/chart" uri="{CE6537A1-D6FC-4f65-9D91-7224C49458BB}"/>
                <c:ext xmlns:c16="http://schemas.microsoft.com/office/drawing/2014/chart" uri="{C3380CC4-5D6E-409C-BE32-E72D297353CC}">
                  <c16:uniqueId val="{0000000C-312C-42C4-874F-09817F7C831D}"/>
                </c:ext>
              </c:extLst>
            </c:dLbl>
            <c:dLbl>
              <c:idx val="17"/>
              <c:delete val="1"/>
              <c:extLst>
                <c:ext xmlns:c15="http://schemas.microsoft.com/office/drawing/2012/chart" uri="{CE6537A1-D6FC-4f65-9D91-7224C49458BB}"/>
                <c:ext xmlns:c16="http://schemas.microsoft.com/office/drawing/2014/chart" uri="{C3380CC4-5D6E-409C-BE32-E72D297353CC}">
                  <c16:uniqueId val="{0000000D-312C-42C4-874F-09817F7C831D}"/>
                </c:ext>
              </c:extLst>
            </c:dLbl>
            <c:dLbl>
              <c:idx val="18"/>
              <c:delete val="1"/>
              <c:extLst>
                <c:ext xmlns:c15="http://schemas.microsoft.com/office/drawing/2012/chart" uri="{CE6537A1-D6FC-4f65-9D91-7224C49458BB}"/>
                <c:ext xmlns:c16="http://schemas.microsoft.com/office/drawing/2014/chart" uri="{C3380CC4-5D6E-409C-BE32-E72D297353CC}">
                  <c16:uniqueId val="{0000000E-312C-42C4-874F-09817F7C831D}"/>
                </c:ext>
              </c:extLst>
            </c:dLbl>
            <c:dLbl>
              <c:idx val="19"/>
              <c:delete val="1"/>
              <c:extLst>
                <c:ext xmlns:c15="http://schemas.microsoft.com/office/drawing/2012/chart" uri="{CE6537A1-D6FC-4f65-9D91-7224C49458BB}"/>
                <c:ext xmlns:c16="http://schemas.microsoft.com/office/drawing/2014/chart" uri="{C3380CC4-5D6E-409C-BE32-E72D297353CC}">
                  <c16:uniqueId val="{0000000F-312C-42C4-874F-09817F7C831D}"/>
                </c:ext>
              </c:extLst>
            </c:dLbl>
            <c:dLbl>
              <c:idx val="20"/>
              <c:delete val="1"/>
              <c:extLst>
                <c:ext xmlns:c15="http://schemas.microsoft.com/office/drawing/2012/chart" uri="{CE6537A1-D6FC-4f65-9D91-7224C49458BB}"/>
                <c:ext xmlns:c16="http://schemas.microsoft.com/office/drawing/2014/chart" uri="{C3380CC4-5D6E-409C-BE32-E72D297353CC}">
                  <c16:uniqueId val="{00000010-312C-42C4-874F-09817F7C831D}"/>
                </c:ext>
              </c:extLst>
            </c:dLbl>
            <c:dLbl>
              <c:idx val="21"/>
              <c:delete val="1"/>
              <c:extLst>
                <c:ext xmlns:c15="http://schemas.microsoft.com/office/drawing/2012/chart" uri="{CE6537A1-D6FC-4f65-9D91-7224C49458BB}"/>
                <c:ext xmlns:c16="http://schemas.microsoft.com/office/drawing/2014/chart" uri="{C3380CC4-5D6E-409C-BE32-E72D297353CC}">
                  <c16:uniqueId val="{00000011-312C-42C4-874F-09817F7C831D}"/>
                </c:ext>
              </c:extLst>
            </c:dLbl>
            <c:dLbl>
              <c:idx val="23"/>
              <c:delete val="1"/>
              <c:extLst>
                <c:ext xmlns:c15="http://schemas.microsoft.com/office/drawing/2012/chart" uri="{CE6537A1-D6FC-4f65-9D91-7224C49458BB}"/>
                <c:ext xmlns:c16="http://schemas.microsoft.com/office/drawing/2014/chart" uri="{C3380CC4-5D6E-409C-BE32-E72D297353CC}">
                  <c16:uniqueId val="{00000012-312C-42C4-874F-09817F7C831D}"/>
                </c:ext>
              </c:extLst>
            </c:dLbl>
            <c:dLbl>
              <c:idx val="24"/>
              <c:delete val="1"/>
              <c:extLst>
                <c:ext xmlns:c15="http://schemas.microsoft.com/office/drawing/2012/chart" uri="{CE6537A1-D6FC-4f65-9D91-7224C49458BB}"/>
                <c:ext xmlns:c16="http://schemas.microsoft.com/office/drawing/2014/chart" uri="{C3380CC4-5D6E-409C-BE32-E72D297353CC}">
                  <c16:uniqueId val="{00000013-312C-42C4-874F-09817F7C831D}"/>
                </c:ext>
              </c:extLst>
            </c:dLbl>
            <c:dLbl>
              <c:idx val="25"/>
              <c:delete val="1"/>
              <c:extLst>
                <c:ext xmlns:c15="http://schemas.microsoft.com/office/drawing/2012/chart" uri="{CE6537A1-D6FC-4f65-9D91-7224C49458BB}"/>
                <c:ext xmlns:c16="http://schemas.microsoft.com/office/drawing/2014/chart" uri="{C3380CC4-5D6E-409C-BE32-E72D297353CC}">
                  <c16:uniqueId val="{00000014-312C-42C4-874F-09817F7C831D}"/>
                </c:ext>
              </c:extLst>
            </c:dLbl>
            <c:dLbl>
              <c:idx val="27"/>
              <c:delete val="1"/>
              <c:extLst>
                <c:ext xmlns:c15="http://schemas.microsoft.com/office/drawing/2012/chart" uri="{CE6537A1-D6FC-4f65-9D91-7224C49458BB}"/>
                <c:ext xmlns:c16="http://schemas.microsoft.com/office/drawing/2014/chart" uri="{C3380CC4-5D6E-409C-BE32-E72D297353CC}">
                  <c16:uniqueId val="{00000015-312C-42C4-874F-09817F7C831D}"/>
                </c:ext>
              </c:extLst>
            </c:dLbl>
            <c:dLbl>
              <c:idx val="28"/>
              <c:delete val="1"/>
              <c:extLst>
                <c:ext xmlns:c15="http://schemas.microsoft.com/office/drawing/2012/chart" uri="{CE6537A1-D6FC-4f65-9D91-7224C49458BB}"/>
                <c:ext xmlns:c16="http://schemas.microsoft.com/office/drawing/2014/chart" uri="{C3380CC4-5D6E-409C-BE32-E72D297353CC}">
                  <c16:uniqueId val="{00000016-312C-42C4-874F-09817F7C831D}"/>
                </c:ext>
              </c:extLst>
            </c:dLbl>
            <c:dLbl>
              <c:idx val="29"/>
              <c:delete val="1"/>
              <c:extLst>
                <c:ext xmlns:c15="http://schemas.microsoft.com/office/drawing/2012/chart" uri="{CE6537A1-D6FC-4f65-9D91-7224C49458BB}"/>
                <c:ext xmlns:c16="http://schemas.microsoft.com/office/drawing/2014/chart" uri="{C3380CC4-5D6E-409C-BE32-E72D297353CC}">
                  <c16:uniqueId val="{00000017-312C-42C4-874F-09817F7C831D}"/>
                </c:ext>
              </c:extLst>
            </c:dLbl>
            <c:dLbl>
              <c:idx val="30"/>
              <c:delete val="1"/>
              <c:extLst>
                <c:ext xmlns:c15="http://schemas.microsoft.com/office/drawing/2012/chart" uri="{CE6537A1-D6FC-4f65-9D91-7224C49458BB}"/>
                <c:ext xmlns:c16="http://schemas.microsoft.com/office/drawing/2014/chart" uri="{C3380CC4-5D6E-409C-BE32-E72D297353CC}">
                  <c16:uniqueId val="{00000018-312C-42C4-874F-09817F7C831D}"/>
                </c:ext>
              </c:extLst>
            </c:dLbl>
            <c:dLbl>
              <c:idx val="31"/>
              <c:delete val="1"/>
              <c:extLst>
                <c:ext xmlns:c15="http://schemas.microsoft.com/office/drawing/2012/chart" uri="{CE6537A1-D6FC-4f65-9D91-7224C49458BB}"/>
                <c:ext xmlns:c16="http://schemas.microsoft.com/office/drawing/2014/chart" uri="{C3380CC4-5D6E-409C-BE32-E72D297353CC}">
                  <c16:uniqueId val="{00000019-312C-42C4-874F-09817F7C831D}"/>
                </c:ext>
              </c:extLst>
            </c:dLbl>
            <c:dLbl>
              <c:idx val="32"/>
              <c:delete val="1"/>
              <c:extLst>
                <c:ext xmlns:c15="http://schemas.microsoft.com/office/drawing/2012/chart" uri="{CE6537A1-D6FC-4f65-9D91-7224C49458BB}"/>
                <c:ext xmlns:c16="http://schemas.microsoft.com/office/drawing/2014/chart" uri="{C3380CC4-5D6E-409C-BE32-E72D297353CC}">
                  <c16:uniqueId val="{0000001A-312C-42C4-874F-09817F7C831D}"/>
                </c:ext>
              </c:extLst>
            </c:dLbl>
            <c:dLbl>
              <c:idx val="33"/>
              <c:delete val="1"/>
              <c:extLst>
                <c:ext xmlns:c15="http://schemas.microsoft.com/office/drawing/2012/chart" uri="{CE6537A1-D6FC-4f65-9D91-7224C49458BB}"/>
                <c:ext xmlns:c16="http://schemas.microsoft.com/office/drawing/2014/chart" uri="{C3380CC4-5D6E-409C-BE32-E72D297353CC}">
                  <c16:uniqueId val="{0000001B-312C-42C4-874F-09817F7C831D}"/>
                </c:ext>
              </c:extLst>
            </c:dLbl>
            <c:dLbl>
              <c:idx val="35"/>
              <c:delete val="1"/>
              <c:extLst>
                <c:ext xmlns:c15="http://schemas.microsoft.com/office/drawing/2012/chart" uri="{CE6537A1-D6FC-4f65-9D91-7224C49458BB}"/>
                <c:ext xmlns:c16="http://schemas.microsoft.com/office/drawing/2014/chart" uri="{C3380CC4-5D6E-409C-BE32-E72D297353CC}">
                  <c16:uniqueId val="{0000001C-312C-42C4-874F-09817F7C831D}"/>
                </c:ext>
              </c:extLst>
            </c:dLbl>
            <c:dLbl>
              <c:idx val="36"/>
              <c:delete val="1"/>
              <c:extLst>
                <c:ext xmlns:c15="http://schemas.microsoft.com/office/drawing/2012/chart" uri="{CE6537A1-D6FC-4f65-9D91-7224C49458BB}"/>
                <c:ext xmlns:c16="http://schemas.microsoft.com/office/drawing/2014/chart" uri="{C3380CC4-5D6E-409C-BE32-E72D297353CC}">
                  <c16:uniqueId val="{0000001D-312C-42C4-874F-09817F7C831D}"/>
                </c:ext>
              </c:extLst>
            </c:dLbl>
            <c:dLbl>
              <c:idx val="37"/>
              <c:delete val="1"/>
              <c:extLst>
                <c:ext xmlns:c15="http://schemas.microsoft.com/office/drawing/2012/chart" uri="{CE6537A1-D6FC-4f65-9D91-7224C49458BB}"/>
                <c:ext xmlns:c16="http://schemas.microsoft.com/office/drawing/2014/chart" uri="{C3380CC4-5D6E-409C-BE32-E72D297353CC}">
                  <c16:uniqueId val="{0000001E-312C-42C4-874F-09817F7C831D}"/>
                </c:ext>
              </c:extLst>
            </c:dLbl>
            <c:dLbl>
              <c:idx val="38"/>
              <c:delete val="1"/>
              <c:extLst>
                <c:ext xmlns:c15="http://schemas.microsoft.com/office/drawing/2012/chart" uri="{CE6537A1-D6FC-4f65-9D91-7224C49458BB}"/>
                <c:ext xmlns:c16="http://schemas.microsoft.com/office/drawing/2014/chart" uri="{C3380CC4-5D6E-409C-BE32-E72D297353CC}">
                  <c16:uniqueId val="{0000001F-312C-42C4-874F-09817F7C831D}"/>
                </c:ext>
              </c:extLst>
            </c:dLbl>
            <c:dLbl>
              <c:idx val="39"/>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12C-42C4-874F-09817F7C831D}"/>
                </c:ext>
              </c:extLst>
            </c:dLbl>
            <c:dLbl>
              <c:idx val="40"/>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12C-42C4-874F-09817F7C831D}"/>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'Global Supply Chain Pressure'!$A$2:$A$42</c:f>
              <c:strCache>
                <c:ptCount val="41"/>
                <c:pt idx="0">
                  <c:v>Feb 2020</c:v>
                </c:pt>
                <c:pt idx="1">
                  <c:v>Mar 2020</c:v>
                </c:pt>
                <c:pt idx="2">
                  <c:v>Apr 2020</c:v>
                </c:pt>
                <c:pt idx="3">
                  <c:v>May 2020</c:v>
                </c:pt>
                <c:pt idx="4">
                  <c:v>Jun 2020</c:v>
                </c:pt>
                <c:pt idx="5">
                  <c:v>Jul 2020</c:v>
                </c:pt>
                <c:pt idx="6">
                  <c:v>Aug 2020</c:v>
                </c:pt>
                <c:pt idx="7">
                  <c:v>Sep 2020</c:v>
                </c:pt>
                <c:pt idx="8">
                  <c:v>Oct 2020</c:v>
                </c:pt>
                <c:pt idx="9">
                  <c:v>Nov 2020</c:v>
                </c:pt>
                <c:pt idx="10">
                  <c:v>Dec 2020</c:v>
                </c:pt>
                <c:pt idx="11">
                  <c:v>Jan 2021</c:v>
                </c:pt>
                <c:pt idx="12">
                  <c:v>Feb 2021</c:v>
                </c:pt>
                <c:pt idx="13">
                  <c:v>Mar 2021</c:v>
                </c:pt>
                <c:pt idx="14">
                  <c:v>Apr 2021</c:v>
                </c:pt>
                <c:pt idx="15">
                  <c:v>May 2021</c:v>
                </c:pt>
                <c:pt idx="16">
                  <c:v>Jun 2021</c:v>
                </c:pt>
                <c:pt idx="17">
                  <c:v>Jul 2021</c:v>
                </c:pt>
                <c:pt idx="18">
                  <c:v>Aug 2021</c:v>
                </c:pt>
                <c:pt idx="19">
                  <c:v>Sep 2021</c:v>
                </c:pt>
                <c:pt idx="20">
                  <c:v>Oct 2021</c:v>
                </c:pt>
                <c:pt idx="21">
                  <c:v>Nov 2021</c:v>
                </c:pt>
                <c:pt idx="22">
                  <c:v>Dec 2021</c:v>
                </c:pt>
                <c:pt idx="23">
                  <c:v>Jan 2022</c:v>
                </c:pt>
                <c:pt idx="24">
                  <c:v>Feb 2022</c:v>
                </c:pt>
                <c:pt idx="25">
                  <c:v>Mar 2022</c:v>
                </c:pt>
                <c:pt idx="26">
                  <c:v>Apr 2022</c:v>
                </c:pt>
                <c:pt idx="27">
                  <c:v>May 2022</c:v>
                </c:pt>
                <c:pt idx="28">
                  <c:v>Jun 2022</c:v>
                </c:pt>
                <c:pt idx="29">
                  <c:v>Jul 2022</c:v>
                </c:pt>
                <c:pt idx="30">
                  <c:v>Aug 2022</c:v>
                </c:pt>
                <c:pt idx="31">
                  <c:v>Sep 2022</c:v>
                </c:pt>
                <c:pt idx="32">
                  <c:v>Oct 2022</c:v>
                </c:pt>
                <c:pt idx="33">
                  <c:v>Nov 2022</c:v>
                </c:pt>
                <c:pt idx="34">
                  <c:v>Dec 2022</c:v>
                </c:pt>
                <c:pt idx="35">
                  <c:v>Jan 2023</c:v>
                </c:pt>
                <c:pt idx="36">
                  <c:v>Feb 2023</c:v>
                </c:pt>
                <c:pt idx="37">
                  <c:v>Mar 2023</c:v>
                </c:pt>
                <c:pt idx="38">
                  <c:v>Apr 2023</c:v>
                </c:pt>
                <c:pt idx="39">
                  <c:v>May 2023</c:v>
                </c:pt>
                <c:pt idx="40">
                  <c:v>Jun 2023</c:v>
                </c:pt>
              </c:strCache>
            </c:strRef>
          </c:cat>
          <c:val>
            <c:numRef>
              <c:f>'Global Supply Chain Pressure'!$B$2:$B$42</c:f>
              <c:numCache>
                <c:formatCode>0.00</c:formatCode>
                <c:ptCount val="41"/>
                <c:pt idx="0">
                  <c:v>1.1529015708132682</c:v>
                </c:pt>
                <c:pt idx="1">
                  <c:v>2.5090499491303091</c:v>
                </c:pt>
                <c:pt idx="2">
                  <c:v>3.1031061899466641</c:v>
                </c:pt>
                <c:pt idx="3">
                  <c:v>2.4658838962320266</c:v>
                </c:pt>
                <c:pt idx="4">
                  <c:v>2.1857066412837831</c:v>
                </c:pt>
                <c:pt idx="5">
                  <c:v>2.7222220640774921</c:v>
                </c:pt>
                <c:pt idx="6">
                  <c:v>1.3431500252731321</c:v>
                </c:pt>
                <c:pt idx="7">
                  <c:v>0.6013699922327741</c:v>
                </c:pt>
                <c:pt idx="8">
                  <c:v>0.10656757070009328</c:v>
                </c:pt>
                <c:pt idx="9">
                  <c:v>0.72056748274130011</c:v>
                </c:pt>
                <c:pt idx="10">
                  <c:v>1.6502088254939462</c:v>
                </c:pt>
                <c:pt idx="11">
                  <c:v>1.3182895117912856</c:v>
                </c:pt>
                <c:pt idx="12">
                  <c:v>1.9040036591278919</c:v>
                </c:pt>
                <c:pt idx="13">
                  <c:v>2.1990215499947556</c:v>
                </c:pt>
                <c:pt idx="14">
                  <c:v>2.6918569296186021</c:v>
                </c:pt>
                <c:pt idx="15">
                  <c:v>2.9941973122321612</c:v>
                </c:pt>
                <c:pt idx="16">
                  <c:v>2.7182859398228887</c:v>
                </c:pt>
                <c:pt idx="17">
                  <c:v>2.9265223243566525</c:v>
                </c:pt>
                <c:pt idx="18">
                  <c:v>3.2464066500676001</c:v>
                </c:pt>
                <c:pt idx="19">
                  <c:v>3.2787662138375904</c:v>
                </c:pt>
                <c:pt idx="20">
                  <c:v>3.8119737319656073</c:v>
                </c:pt>
                <c:pt idx="21">
                  <c:v>4.2212028404217916</c:v>
                </c:pt>
                <c:pt idx="22">
                  <c:v>4.3073501635813676</c:v>
                </c:pt>
                <c:pt idx="23">
                  <c:v>3.5853088560942155</c:v>
                </c:pt>
                <c:pt idx="24">
                  <c:v>2.7316183435110624</c:v>
                </c:pt>
                <c:pt idx="25">
                  <c:v>2.7565837259097501</c:v>
                </c:pt>
                <c:pt idx="26">
                  <c:v>3.4110368751918925</c:v>
                </c:pt>
                <c:pt idx="27">
                  <c:v>2.6395340157278659</c:v>
                </c:pt>
                <c:pt idx="28">
                  <c:v>2.3409886091940892</c:v>
                </c:pt>
                <c:pt idx="29">
                  <c:v>1.7596077193063566</c:v>
                </c:pt>
                <c:pt idx="30">
                  <c:v>1.4460382700497056</c:v>
                </c:pt>
                <c:pt idx="31">
                  <c:v>0.89882505777787114</c:v>
                </c:pt>
                <c:pt idx="32">
                  <c:v>1.0274716373144344</c:v>
                </c:pt>
                <c:pt idx="33">
                  <c:v>1.1690160577958773</c:v>
                </c:pt>
                <c:pt idx="34">
                  <c:v>1.2342401573842752</c:v>
                </c:pt>
                <c:pt idx="35">
                  <c:v>0.97841012763165369</c:v>
                </c:pt>
                <c:pt idx="36">
                  <c:v>-0.29891022445885201</c:v>
                </c:pt>
                <c:pt idx="37">
                  <c:v>-1.1908149921495326</c:v>
                </c:pt>
                <c:pt idx="38">
                  <c:v>-1.3647023800147207</c:v>
                </c:pt>
                <c:pt idx="39">
                  <c:v>-1.5578807673946755</c:v>
                </c:pt>
                <c:pt idx="40">
                  <c:v>-1.2027916978420348</c:v>
                </c:pt>
              </c:numCache>
            </c:numRef>
          </c:val>
          <c:smooth val="0"/>
          <c:extLst>
            <c:ext xmlns:c16="http://schemas.microsoft.com/office/drawing/2014/chart" uri="{C3380CC4-5D6E-409C-BE32-E72D297353CC}">
              <c16:uniqueId val="{00000022-312C-42C4-874F-09817F7C831D}"/>
            </c:ext>
          </c:extLst>
        </c:ser>
        <c:dLbls>
          <c:showLegendKey val="0"/>
          <c:showVal val="0"/>
          <c:showCatName val="0"/>
          <c:showSerName val="0"/>
          <c:showPercent val="0"/>
          <c:showBubbleSize val="0"/>
        </c:dLbls>
        <c:smooth val="0"/>
        <c:axId val="1756501039"/>
        <c:axId val="1756502959"/>
      </c:lineChart>
      <c:catAx>
        <c:axId val="1756501039"/>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Arial Narrow" panose="020B0606020202030204" pitchFamily="34" charset="0"/>
                <a:ea typeface="+mn-ea"/>
                <a:cs typeface="+mn-cs"/>
              </a:defRPr>
            </a:pPr>
            <a:endParaRPr lang="en-US"/>
          </a:p>
        </c:txPr>
        <c:crossAx val="1756502959"/>
        <c:crosses val="autoZero"/>
        <c:auto val="1"/>
        <c:lblAlgn val="ctr"/>
        <c:lblOffset val="100"/>
        <c:tickMarkSkip val="2"/>
        <c:noMultiLvlLbl val="0"/>
      </c:catAx>
      <c:valAx>
        <c:axId val="1756502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Narrow" panose="020B0606020202030204" pitchFamily="34" charset="0"/>
                    <a:ea typeface="+mn-ea"/>
                    <a:cs typeface="+mn-cs"/>
                  </a:defRPr>
                </a:pPr>
                <a:r>
                  <a:rPr lang="en-US" sz="900" b="1" i="0" u="none" strike="noStrike" kern="1200" baseline="0">
                    <a:solidFill>
                      <a:sysClr val="windowText" lastClr="000000"/>
                    </a:solidFill>
                    <a:effectLst/>
                    <a:latin typeface="Arial" panose="020B0604020202020204" pitchFamily="34" charset="0"/>
                    <a:cs typeface="Arial" panose="020B0604020202020204" pitchFamily="34" charset="0"/>
                  </a:rPr>
                  <a:t>Standard deviations from average value</a:t>
                </a:r>
                <a:endParaRPr lang="en-GB" sz="900" b="1" i="0" u="none" strike="noStrike" kern="1200" baseline="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ln>
                  <a:noFill/>
                </a:ln>
                <a:solidFill>
                  <a:sysClr val="windowText" lastClr="000000"/>
                </a:solidFill>
                <a:latin typeface="Arial Narrow" panose="020B0606020202030204" pitchFamily="34" charset="0"/>
                <a:ea typeface="+mn-ea"/>
                <a:cs typeface="+mn-cs"/>
              </a:defRPr>
            </a:pPr>
            <a:endParaRPr lang="en-US"/>
          </a:p>
        </c:txPr>
        <c:crossAx val="1756501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9DA9CBE13B89439B7CAAF6669AEE13" ma:contentTypeVersion="13" ma:contentTypeDescription="Create a new document." ma:contentTypeScope="" ma:versionID="e9148acd013074dd76b929659a6c9f41">
  <xsd:schema xmlns:xsd="http://www.w3.org/2001/XMLSchema" xmlns:xs="http://www.w3.org/2001/XMLSchema" xmlns:p="http://schemas.microsoft.com/office/2006/metadata/properties" xmlns:ns2="d6e3f93f-e79f-47e2-975b-25c47229837a" xmlns:ns3="cf4a6aee-016f-4025-a1b0-4f737c252010" targetNamespace="http://schemas.microsoft.com/office/2006/metadata/properties" ma:root="true" ma:fieldsID="695525cdc57249ee3d5b93e4cf2f1bd3" ns2:_="" ns3:_="">
    <xsd:import namespace="d6e3f93f-e79f-47e2-975b-25c47229837a"/>
    <xsd:import namespace="cf4a6aee-016f-4025-a1b0-4f737c2520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f93f-e79f-47e2-975b-25c472298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11c1c4-2e4e-4e9d-9183-1783a82c381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a6aee-016f-4025-a1b0-4f737c252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8ff81f-474c-4bb1-9691-674f81c21ebd}" ma:internalName="TaxCatchAll" ma:showField="CatchAllData" ma:web="cf4a6aee-016f-4025-a1b0-4f737c252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4a6aee-016f-4025-a1b0-4f737c252010" xsi:nil="true"/>
    <lcf76f155ced4ddcb4097134ff3c332f xmlns="d6e3f93f-e79f-47e2-975b-25c47229837a">
      <Terms xmlns="http://schemas.microsoft.com/office/infopath/2007/PartnerControls"/>
    </lcf76f155ced4ddcb4097134ff3c332f>
    <SharedWithUsers xmlns="cf4a6aee-016f-4025-a1b0-4f737c252010">
      <UserInfo>
        <DisplayName>Phakamile Nkomo</DisplayName>
        <AccountId>253</AccountId>
        <AccountType/>
      </UserInfo>
      <UserInfo>
        <DisplayName>Mfana Maswanganyi</DisplayName>
        <AccountId>32</AccountId>
        <AccountType/>
      </UserInfo>
      <UserInfo>
        <DisplayName>Michael Willie</DisplayName>
        <AccountId>106</AccountId>
        <AccountType/>
      </UserInfo>
      <UserInfo>
        <DisplayName>Samantha Iyaloo</DisplayName>
        <AccountId>255</AccountId>
        <AccountType/>
      </UserInfo>
      <UserInfo>
        <DisplayName>Stephen  Monamodi</DisplayName>
        <AccountId>115</AccountId>
        <AccountType/>
      </UserInfo>
      <UserInfo>
        <DisplayName>Silindubuhle Mnqeta</DisplayName>
        <AccountId>256</AccountId>
        <AccountType/>
      </UserInfo>
      <UserInfo>
        <DisplayName>Mashilo Leboho</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DBFD5-B7C9-4E21-94F1-B27F6E82E859}">
  <ds:schemaRefs>
    <ds:schemaRef ds:uri="http://schemas.microsoft.com/sharepoint/v3/contenttype/forms"/>
  </ds:schemaRefs>
</ds:datastoreItem>
</file>

<file path=customXml/itemProps2.xml><?xml version="1.0" encoding="utf-8"?>
<ds:datastoreItem xmlns:ds="http://schemas.openxmlformats.org/officeDocument/2006/customXml" ds:itemID="{2B9EC382-B687-4828-8230-82F23E890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f93f-e79f-47e2-975b-25c47229837a"/>
    <ds:schemaRef ds:uri="cf4a6aee-016f-4025-a1b0-4f737c252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C5F9-DFBA-45A5-A7CB-D54B2585BABF}">
  <ds:schemaRefs>
    <ds:schemaRef ds:uri="http://purl.org/dc/elements/1.1/"/>
    <ds:schemaRef ds:uri="cf4a6aee-016f-4025-a1b0-4f737c252010"/>
    <ds:schemaRef ds:uri="http://www.w3.org/XML/1998/namespace"/>
    <ds:schemaRef ds:uri="d6e3f93f-e79f-47e2-975b-25c47229837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AA0658D-7C00-4EE0-837F-C00FBA28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3838</Words>
  <Characters>21877</Characters>
  <Application>Microsoft Office Word</Application>
  <DocSecurity>4</DocSecurity>
  <Lines>182</Lines>
  <Paragraphs>51</Paragraphs>
  <ScaleCrop>false</ScaleCrop>
  <Company>Home</Company>
  <LinksUpToDate>false</LinksUpToDate>
  <CharactersWithSpaces>25664</CharactersWithSpaces>
  <SharedDoc>false</SharedDoc>
  <HLinks>
    <vt:vector size="78" baseType="variant">
      <vt:variant>
        <vt:i4>8257577</vt:i4>
      </vt:variant>
      <vt:variant>
        <vt:i4>33</vt:i4>
      </vt:variant>
      <vt:variant>
        <vt:i4>0</vt:i4>
      </vt:variant>
      <vt:variant>
        <vt:i4>5</vt:i4>
      </vt:variant>
      <vt:variant>
        <vt:lpwstr>https://www.actuarialsociety.org.za/download/apn-303-advice-to-south-african-medical-schemes-on-adequacy-of-contributions/</vt:lpwstr>
      </vt:variant>
      <vt:variant>
        <vt:lpwstr/>
      </vt:variant>
      <vt:variant>
        <vt:i4>6750248</vt:i4>
      </vt:variant>
      <vt:variant>
        <vt:i4>30</vt:i4>
      </vt:variant>
      <vt:variant>
        <vt:i4>0</vt:i4>
      </vt:variant>
      <vt:variant>
        <vt:i4>5</vt:i4>
      </vt:variant>
      <vt:variant>
        <vt:lpwstr>http://www.medicalschemes.com/files/Circulars/Circular29Of2012.pdf</vt:lpwstr>
      </vt:variant>
      <vt:variant>
        <vt:lpwstr/>
      </vt:variant>
      <vt:variant>
        <vt:i4>5177416</vt:i4>
      </vt:variant>
      <vt:variant>
        <vt:i4>27</vt:i4>
      </vt:variant>
      <vt:variant>
        <vt:i4>0</vt:i4>
      </vt:variant>
      <vt:variant>
        <vt:i4>5</vt:i4>
      </vt:variant>
      <vt:variant>
        <vt:lpwstr>https://forms.office.com/Pages/ResponsePage.aspx?id=nNuJI9Hzd0-BjDYvCnpXSK-AQdP-A0xFhLQK5jDLzHBUMUtOQUxSRjNUTllCSlZQUFNWNVdQSVJLTy4u</vt:lpwstr>
      </vt:variant>
      <vt:variant>
        <vt:lpwstr/>
      </vt:variant>
      <vt:variant>
        <vt:i4>4718683</vt:i4>
      </vt:variant>
      <vt:variant>
        <vt:i4>24</vt:i4>
      </vt:variant>
      <vt:variant>
        <vt:i4>0</vt:i4>
      </vt:variant>
      <vt:variant>
        <vt:i4>5</vt:i4>
      </vt:variant>
      <vt:variant>
        <vt:lpwstr>https://ftp.medicalschemes.com/login</vt:lpwstr>
      </vt:variant>
      <vt:variant>
        <vt:lpwstr/>
      </vt:variant>
      <vt:variant>
        <vt:i4>1048646</vt:i4>
      </vt:variant>
      <vt:variant>
        <vt:i4>21</vt:i4>
      </vt:variant>
      <vt:variant>
        <vt:i4>0</vt:i4>
      </vt:variant>
      <vt:variant>
        <vt:i4>5</vt:i4>
      </vt:variant>
      <vt:variant>
        <vt:lpwstr>https://www.medicalschemes.co.za/download/3510/2021-circulars-archive/24028/circular33of2021.pdf</vt:lpwstr>
      </vt:variant>
      <vt:variant>
        <vt:lpwstr/>
      </vt:variant>
      <vt:variant>
        <vt:i4>1376359</vt:i4>
      </vt:variant>
      <vt:variant>
        <vt:i4>18</vt:i4>
      </vt:variant>
      <vt:variant>
        <vt:i4>0</vt:i4>
      </vt:variant>
      <vt:variant>
        <vt:i4>5</vt:i4>
      </vt:variant>
      <vt:variant>
        <vt:lpwstr>https://www.medicalschemes.co.za/download/3628/2022-guidelines-and-manuals-current/25889/circular_2023-contributions-benefits-2023-locked.xlsx</vt:lpwstr>
      </vt:variant>
      <vt:variant>
        <vt:lpwstr/>
      </vt:variant>
      <vt:variant>
        <vt:i4>196706</vt:i4>
      </vt:variant>
      <vt:variant>
        <vt:i4>6</vt:i4>
      </vt:variant>
      <vt:variant>
        <vt:i4>0</vt:i4>
      </vt:variant>
      <vt:variant>
        <vt:i4>5</vt:i4>
      </vt:variant>
      <vt:variant>
        <vt:lpwstr>https://www.medicalschemes.co.za/download/3609/2020-21-annual-report/24590/cms_annual-report-2020-21.pdf</vt:lpwstr>
      </vt:variant>
      <vt:variant>
        <vt:lpwstr/>
      </vt:variant>
      <vt:variant>
        <vt:i4>196706</vt:i4>
      </vt:variant>
      <vt:variant>
        <vt:i4>3</vt:i4>
      </vt:variant>
      <vt:variant>
        <vt:i4>0</vt:i4>
      </vt:variant>
      <vt:variant>
        <vt:i4>5</vt:i4>
      </vt:variant>
      <vt:variant>
        <vt:lpwstr>https://www.medicalschemes.co.za/download/3609/2020-21-annual-report/24590/cms_annual-report-2020-21.pdf</vt:lpwstr>
      </vt:variant>
      <vt:variant>
        <vt:lpwstr/>
      </vt:variant>
      <vt:variant>
        <vt:i4>786468</vt:i4>
      </vt:variant>
      <vt:variant>
        <vt:i4>0</vt:i4>
      </vt:variant>
      <vt:variant>
        <vt:i4>0</vt:i4>
      </vt:variant>
      <vt:variant>
        <vt:i4>5</vt:i4>
      </vt:variant>
      <vt:variant>
        <vt:lpwstr>mailto:m.govuzela@medicalschemes.co.za</vt:lpwstr>
      </vt:variant>
      <vt:variant>
        <vt:lpwstr/>
      </vt:variant>
      <vt:variant>
        <vt:i4>2097206</vt:i4>
      </vt:variant>
      <vt:variant>
        <vt:i4>9</vt:i4>
      </vt:variant>
      <vt:variant>
        <vt:i4>0</vt:i4>
      </vt:variant>
      <vt:variant>
        <vt:i4>5</vt:i4>
      </vt:variant>
      <vt:variant>
        <vt:lpwstr>http://www.medicalschemes.com/</vt:lpwstr>
      </vt:variant>
      <vt:variant>
        <vt:lpwstr/>
      </vt:variant>
      <vt:variant>
        <vt:i4>6094966</vt:i4>
      </vt:variant>
      <vt:variant>
        <vt:i4>6</vt:i4>
      </vt:variant>
      <vt:variant>
        <vt:i4>0</vt:i4>
      </vt:variant>
      <vt:variant>
        <vt:i4>5</vt:i4>
      </vt:variant>
      <vt:variant>
        <vt:lpwstr>mailto:Information@medicalschemes.com</vt:lpwstr>
      </vt:variant>
      <vt:variant>
        <vt:lpwstr/>
      </vt:variant>
      <vt:variant>
        <vt:i4>2097206</vt:i4>
      </vt:variant>
      <vt:variant>
        <vt:i4>3</vt:i4>
      </vt:variant>
      <vt:variant>
        <vt:i4>0</vt:i4>
      </vt:variant>
      <vt:variant>
        <vt:i4>5</vt:i4>
      </vt:variant>
      <vt:variant>
        <vt:lpwstr>http://www.medicalschemes.com/</vt:lpwstr>
      </vt:variant>
      <vt:variant>
        <vt:lpwstr/>
      </vt:variant>
      <vt:variant>
        <vt:i4>6094966</vt:i4>
      </vt:variant>
      <vt:variant>
        <vt:i4>0</vt:i4>
      </vt:variant>
      <vt:variant>
        <vt:i4>0</vt:i4>
      </vt:variant>
      <vt:variant>
        <vt:i4>5</vt:i4>
      </vt:variant>
      <vt:variant>
        <vt:lpwstr>mailto:Information@medicalschemes.com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Waheda Khan</dc:creator>
  <cp:keywords/>
  <cp:lastModifiedBy>Marilyn Dullmaier</cp:lastModifiedBy>
  <cp:revision>2</cp:revision>
  <cp:lastPrinted>2010-10-29T01:26:00Z</cp:lastPrinted>
  <dcterms:created xsi:type="dcterms:W3CDTF">2023-08-10T08:20:00Z</dcterms:created>
  <dcterms:modified xsi:type="dcterms:W3CDTF">2023-08-10T08:20:00Z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b6d0322fdbbce99bc9d407c394ffd98a93dd6dbdc5e22d03abf61a87c36d9e8b</vt:lpwstr>
  </property>
  <property fmtid="{D5CDD505-2E9C-101B-9397-08002B2CF9AE}" pid="3" name="ContentTypeId">
    <vt:lpwstr>0x0101009F9DA9CBE13B89439B7CAAF6669AEE13</vt:lpwstr>
  </property>
  <property fmtid="{D5CDD505-2E9C-101B-9397-08002B2CF9AE}" pid="4" name="MediaServiceImageTags">
    <vt:lpwstr/>
  </property>
  <property fmtid="{D5CDD505-2E9C-101B-9397-08002B2CF9AE}" pid="5" name="MSIP_Label_e4d29bf3-ddc8-42d4-a390-82c58489f34a_Enabled">
    <vt:lpwstr>true</vt:lpwstr>
  </property>
  <property fmtid="{D5CDD505-2E9C-101B-9397-08002B2CF9AE}" pid="6" name="MSIP_Label_e4d29bf3-ddc8-42d4-a390-82c58489f34a_SetDate">
    <vt:lpwstr>2023-07-25T06:00:09Z</vt:lpwstr>
  </property>
  <property fmtid="{D5CDD505-2E9C-101B-9397-08002B2CF9AE}" pid="7" name="MSIP_Label_e4d29bf3-ddc8-42d4-a390-82c58489f34a_Method">
    <vt:lpwstr>Privileged</vt:lpwstr>
  </property>
  <property fmtid="{D5CDD505-2E9C-101B-9397-08002B2CF9AE}" pid="8" name="MSIP_Label_e4d29bf3-ddc8-42d4-a390-82c58489f34a_Name">
    <vt:lpwstr>e4d29bf3-ddc8-42d4-a390-82c58489f34a</vt:lpwstr>
  </property>
  <property fmtid="{D5CDD505-2E9C-101B-9397-08002B2CF9AE}" pid="9" name="MSIP_Label_e4d29bf3-ddc8-42d4-a390-82c58489f34a_SiteId">
    <vt:lpwstr>2389db9c-f3d1-4f77-818c-362f0a7a5748</vt:lpwstr>
  </property>
  <property fmtid="{D5CDD505-2E9C-101B-9397-08002B2CF9AE}" pid="10" name="MSIP_Label_e4d29bf3-ddc8-42d4-a390-82c58489f34a_ActionId">
    <vt:lpwstr>b924f429-7dfd-4237-90d2-d9eb5e20cabf</vt:lpwstr>
  </property>
  <property fmtid="{D5CDD505-2E9C-101B-9397-08002B2CF9AE}" pid="11" name="MSIP_Label_e4d29bf3-ddc8-42d4-a390-82c58489f34a_ContentBits">
    <vt:lpwstr>0</vt:lpwstr>
  </property>
</Properties>
</file>