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1762" w14:textId="08CF5B97" w:rsidR="00382ADA" w:rsidRDefault="00281835" w:rsidP="006666EF">
      <w:pPr>
        <w:spacing w:after="240"/>
      </w:pPr>
      <w:r w:rsidRPr="00281835">
        <w:rPr>
          <w:noProof/>
        </w:rPr>
        <mc:AlternateContent>
          <mc:Choice Requires="wps">
            <w:drawing>
              <wp:anchor distT="0" distB="0" distL="114300" distR="114300" simplePos="0" relativeHeight="251683840" behindDoc="0" locked="0" layoutInCell="1" allowOverlap="1" wp14:anchorId="0D5126C6" wp14:editId="01EA22E0">
                <wp:simplePos x="0" y="0"/>
                <wp:positionH relativeFrom="column">
                  <wp:posOffset>37465</wp:posOffset>
                </wp:positionH>
                <wp:positionV relativeFrom="paragraph">
                  <wp:posOffset>24765</wp:posOffset>
                </wp:positionV>
                <wp:extent cx="4034790" cy="895350"/>
                <wp:effectExtent l="0" t="0" r="0" b="0"/>
                <wp:wrapNone/>
                <wp:docPr id="9"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4790" cy="895350"/>
                        </a:xfrm>
                        <a:prstGeom prst="rect">
                          <a:avLst/>
                        </a:prstGeom>
                        <a:noFill/>
                        <a:ln>
                          <a:noFill/>
                        </a:ln>
                      </wps:spPr>
                      <wps:txbx>
                        <w:txbxContent>
                          <w:p w14:paraId="4A219302" w14:textId="396074C0" w:rsidR="00281835" w:rsidRPr="00281835" w:rsidRDefault="00281835" w:rsidP="00281835">
                            <w:pPr>
                              <w:ind w:left="115"/>
                              <w:rPr>
                                <w:rFonts w:ascii="Arial" w:eastAsia="Verdana" w:hAnsi="Arial" w:cs="Arial"/>
                                <w:b/>
                                <w:bCs/>
                                <w:color w:val="FFFFFF" w:themeColor="background1"/>
                                <w:kern w:val="24"/>
                                <w:sz w:val="72"/>
                                <w:szCs w:val="72"/>
                                <w:lang w:val="en-US"/>
                              </w:rPr>
                            </w:pPr>
                            <w:r w:rsidRPr="00281835">
                              <w:rPr>
                                <w:rFonts w:ascii="Arial" w:eastAsia="Verdana" w:hAnsi="Arial" w:cs="Arial"/>
                                <w:b/>
                                <w:bCs/>
                                <w:color w:val="FFFFFF" w:themeColor="background1"/>
                                <w:kern w:val="24"/>
                                <w:sz w:val="72"/>
                                <w:szCs w:val="72"/>
                                <w:lang w:val="en-US"/>
                              </w:rPr>
                              <w:t>etfSA.co.za</w:t>
                            </w:r>
                            <w:r w:rsidRPr="00281835">
                              <w:rPr>
                                <w:rFonts w:ascii="Arial" w:eastAsia="Verdana" w:hAnsi="Arial" w:cs="Arial"/>
                                <w:b/>
                                <w:bCs/>
                                <w:color w:val="FFFFFF" w:themeColor="background1"/>
                                <w:kern w:val="24"/>
                                <w:sz w:val="72"/>
                                <w:szCs w:val="72"/>
                                <w:lang w:val="en-US"/>
                              </w:rPr>
                              <w:tab/>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0D5126C6" id="_x0000_t202" coordsize="21600,21600" o:spt="202" path="m,l,21600r21600,l21600,xe">
                <v:stroke joinstyle="miter"/>
                <v:path gradientshapeok="t" o:connecttype="rect"/>
              </v:shapetype>
              <v:shape id="Title 1" o:spid="_x0000_s1026" type="#_x0000_t202" style="position:absolute;margin-left:2.95pt;margin-top:1.95pt;width:317.7pt;height: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" filled="f" stroked="f">
                <v:textbox>
                  <w:txbxContent>
                    <w:p w14:paraId="4A219302" w14:textId="396074C0" w:rsidR="00281835" w:rsidRPr="00281835" w:rsidRDefault="00281835" w:rsidP="00281835">
                      <w:pPr>
                        <w:ind w:left="115"/>
                        <w:rPr>
                          <w:rFonts w:ascii="Arial" w:eastAsia="Verdana" w:hAnsi="Arial" w:cs="Arial"/>
                          <w:b/>
                          <w:bCs/>
                          <w:color w:val="FFFFFF" w:themeColor="background1"/>
                          <w:kern w:val="24"/>
                          <w:sz w:val="72"/>
                          <w:szCs w:val="72"/>
                          <w:lang w:val="en-US"/>
                        </w:rPr>
                      </w:pPr>
                      <w:r w:rsidRPr="00281835">
                        <w:rPr>
                          <w:rFonts w:ascii="Arial" w:eastAsia="Verdana" w:hAnsi="Arial" w:cs="Arial"/>
                          <w:b/>
                          <w:bCs/>
                          <w:color w:val="FFFFFF" w:themeColor="background1"/>
                          <w:kern w:val="24"/>
                          <w:sz w:val="72"/>
                          <w:szCs w:val="72"/>
                          <w:lang w:val="en-US"/>
                        </w:rPr>
                        <w:t>etfSA.co.za</w:t>
                      </w:r>
                      <w:r w:rsidRPr="00281835">
                        <w:rPr>
                          <w:rFonts w:ascii="Arial" w:eastAsia="Verdana" w:hAnsi="Arial" w:cs="Arial"/>
                          <w:b/>
                          <w:bCs/>
                          <w:color w:val="FFFFFF" w:themeColor="background1"/>
                          <w:kern w:val="24"/>
                          <w:sz w:val="72"/>
                          <w:szCs w:val="72"/>
                          <w:lang w:val="en-US"/>
                        </w:rPr>
                        <w:tab/>
                      </w:r>
                    </w:p>
                  </w:txbxContent>
                </v:textbox>
              </v:shape>
            </w:pict>
          </mc:Fallback>
        </mc:AlternateContent>
      </w:r>
      <w:r w:rsidRPr="00281835">
        <w:rPr>
          <w:noProof/>
        </w:rPr>
        <w:drawing>
          <wp:inline distT="0" distB="0" distL="0" distR="0" wp14:anchorId="2666B2A7" wp14:editId="453673B6">
            <wp:extent cx="6508750" cy="935355"/>
            <wp:effectExtent l="0" t="0" r="6350" b="0"/>
            <wp:docPr id="11" name="Picture 10" descr="Background pattern&#10;&#10;Description automatically generated">
              <a:extLst xmlns:a="http://schemas.openxmlformats.org/drawingml/2006/main">
                <a:ext uri="{FF2B5EF4-FFF2-40B4-BE49-F238E27FC236}">
                  <a16:creationId xmlns:a16="http://schemas.microsoft.com/office/drawing/2014/main" id="{9BB31A5B-233C-4D49-82FD-8217F3E497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Background pattern&#10;&#10;Description automatically generated">
                      <a:extLst>
                        <a:ext uri="{FF2B5EF4-FFF2-40B4-BE49-F238E27FC236}">
                          <a16:creationId xmlns:a16="http://schemas.microsoft.com/office/drawing/2014/main" id="{9BB31A5B-233C-4D49-82FD-8217F3E497E8}"/>
                        </a:ext>
                      </a:extLst>
                    </pic:cNvPr>
                    <pic:cNvPicPr>
                      <a:picLocks noChangeAspect="1"/>
                    </pic:cNvPicPr>
                  </pic:nvPicPr>
                  <pic:blipFill rotWithShape="1">
                    <a:blip r:embed="rId8"/>
                    <a:srcRect t="991" r="1495" b="57833"/>
                    <a:stretch/>
                  </pic:blipFill>
                  <pic:spPr>
                    <a:xfrm>
                      <a:off x="0" y="0"/>
                      <a:ext cx="6508750" cy="935355"/>
                    </a:xfrm>
                    <a:prstGeom prst="rect">
                      <a:avLst/>
                    </a:prstGeom>
                  </pic:spPr>
                </pic:pic>
              </a:graphicData>
            </a:graphic>
          </wp:inline>
        </w:drawing>
      </w:r>
    </w:p>
    <w:tbl>
      <w:tblPr>
        <w:tblStyle w:val="TableGrid"/>
        <w:tblW w:w="10201" w:type="dxa"/>
        <w:tblLook w:val="04A0" w:firstRow="1" w:lastRow="0" w:firstColumn="1" w:lastColumn="0" w:noHBand="0" w:noVBand="1"/>
      </w:tblPr>
      <w:tblGrid>
        <w:gridCol w:w="10201"/>
      </w:tblGrid>
      <w:tr w:rsidR="00281835" w14:paraId="5254EF6A" w14:textId="77777777" w:rsidTr="00EF5C86">
        <w:tc>
          <w:tcPr>
            <w:tcW w:w="10201" w:type="dxa"/>
            <w:tcBorders>
              <w:top w:val="nil"/>
              <w:left w:val="nil"/>
              <w:bottom w:val="nil"/>
              <w:right w:val="nil"/>
            </w:tcBorders>
            <w:shd w:val="clear" w:color="auto" w:fill="D9D9D9" w:themeFill="background1" w:themeFillShade="D9"/>
          </w:tcPr>
          <w:p w14:paraId="3BC82964" w14:textId="104EBC6E" w:rsidR="00281835" w:rsidRPr="004E60C8" w:rsidRDefault="00281835" w:rsidP="00281835">
            <w:pPr>
              <w:pStyle w:val="Heading1"/>
              <w:spacing w:before="0" w:after="0" w:line="360" w:lineRule="atLeast"/>
              <w:outlineLvl w:val="0"/>
              <w:rPr>
                <w:rFonts w:ascii="Verdana" w:hAnsi="Verdana"/>
                <w:color w:val="000000" w:themeColor="text1"/>
                <w:sz w:val="24"/>
                <w:szCs w:val="24"/>
              </w:rPr>
            </w:pPr>
            <w:r w:rsidRPr="004E60C8">
              <w:rPr>
                <w:rFonts w:ascii="Verdana" w:hAnsi="Verdana"/>
                <w:color w:val="000000" w:themeColor="text1"/>
                <w:sz w:val="24"/>
                <w:szCs w:val="24"/>
              </w:rPr>
              <w:t>State of the South African Exchange Traded Product (ETP) Industry – as at 3</w:t>
            </w:r>
            <w:r w:rsidR="00864914">
              <w:rPr>
                <w:rFonts w:ascii="Verdana" w:hAnsi="Verdana"/>
                <w:color w:val="000000" w:themeColor="text1"/>
                <w:sz w:val="24"/>
                <w:szCs w:val="24"/>
              </w:rPr>
              <w:t>0</w:t>
            </w:r>
            <w:r w:rsidRPr="004E60C8">
              <w:rPr>
                <w:rFonts w:ascii="Verdana" w:hAnsi="Verdana"/>
                <w:color w:val="000000" w:themeColor="text1"/>
                <w:sz w:val="24"/>
                <w:szCs w:val="24"/>
              </w:rPr>
              <w:t xml:space="preserve"> </w:t>
            </w:r>
            <w:r w:rsidR="006B3D57">
              <w:rPr>
                <w:rFonts w:ascii="Verdana" w:hAnsi="Verdana"/>
                <w:color w:val="000000" w:themeColor="text1"/>
                <w:sz w:val="24"/>
                <w:szCs w:val="24"/>
              </w:rPr>
              <w:t>Dece</w:t>
            </w:r>
            <w:r w:rsidR="006B41B5">
              <w:rPr>
                <w:rFonts w:ascii="Verdana" w:hAnsi="Verdana"/>
                <w:color w:val="000000" w:themeColor="text1"/>
                <w:sz w:val="24"/>
                <w:szCs w:val="24"/>
              </w:rPr>
              <w:t xml:space="preserve">mber </w:t>
            </w:r>
            <w:r w:rsidRPr="004E60C8">
              <w:rPr>
                <w:rFonts w:ascii="Verdana" w:hAnsi="Verdana"/>
                <w:color w:val="000000" w:themeColor="text1"/>
                <w:sz w:val="24"/>
                <w:szCs w:val="24"/>
              </w:rPr>
              <w:t>202</w:t>
            </w:r>
            <w:r w:rsidR="000A2715" w:rsidRPr="004E60C8">
              <w:rPr>
                <w:rFonts w:ascii="Verdana" w:hAnsi="Verdana"/>
                <w:color w:val="000000" w:themeColor="text1"/>
                <w:sz w:val="24"/>
                <w:szCs w:val="24"/>
              </w:rPr>
              <w:t>2</w:t>
            </w:r>
          </w:p>
          <w:p w14:paraId="402E7BEC" w14:textId="2F6A4DD3" w:rsidR="00281835" w:rsidRDefault="00281835" w:rsidP="000A2715">
            <w:pPr>
              <w:pStyle w:val="Heading1"/>
              <w:spacing w:before="0" w:after="120" w:line="360" w:lineRule="atLeast"/>
              <w:outlineLvl w:val="0"/>
              <w:rPr>
                <w:rFonts w:ascii="Verdana" w:hAnsi="Verdana"/>
                <w:sz w:val="22"/>
                <w:szCs w:val="22"/>
              </w:rPr>
            </w:pPr>
            <w:r w:rsidRPr="004E60C8">
              <w:rPr>
                <w:rFonts w:ascii="Verdana" w:hAnsi="Verdana"/>
                <w:color w:val="000000" w:themeColor="text1"/>
                <w:sz w:val="22"/>
                <w:szCs w:val="22"/>
              </w:rPr>
              <w:t>Mike Brown, Managing Director, etfSA.co.za</w:t>
            </w:r>
          </w:p>
        </w:tc>
      </w:tr>
    </w:tbl>
    <w:p w14:paraId="70EF2D12" w14:textId="0A04FFF3" w:rsidR="00F70B89" w:rsidRDefault="00F70B89" w:rsidP="006666EF">
      <w:pPr>
        <w:spacing w:after="120" w:line="320" w:lineRule="atLeast"/>
        <w:jc w:val="center"/>
        <w:rPr>
          <w:rFonts w:ascii="Verdana" w:hAnsi="Verdana"/>
          <w:sz w:val="21"/>
          <w:szCs w:val="21"/>
        </w:rPr>
      </w:pPr>
    </w:p>
    <w:p w14:paraId="7CDBBA02" w14:textId="7CFC08F8" w:rsidR="00E159E7" w:rsidRPr="0012529E" w:rsidRDefault="00E159E7" w:rsidP="0012529E">
      <w:pPr>
        <w:spacing w:after="0" w:line="320" w:lineRule="atLeast"/>
        <w:jc w:val="center"/>
        <w:rPr>
          <w:rFonts w:ascii="Verdana" w:hAnsi="Verdana"/>
          <w:b/>
          <w:bCs/>
          <w:color w:val="C00000"/>
        </w:rPr>
      </w:pPr>
      <w:r w:rsidRPr="0012529E">
        <w:rPr>
          <w:rFonts w:ascii="Verdana" w:hAnsi="Verdana"/>
          <w:b/>
          <w:bCs/>
          <w:color w:val="C00000"/>
        </w:rPr>
        <w:t>INDUSTRY OVERVIEW</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819"/>
        <w:gridCol w:w="284"/>
        <w:gridCol w:w="4394"/>
        <w:gridCol w:w="425"/>
      </w:tblGrid>
      <w:tr w:rsidR="00E159E7" w14:paraId="3415E687" w14:textId="77777777" w:rsidTr="005269C6">
        <w:tc>
          <w:tcPr>
            <w:tcW w:w="5103" w:type="dxa"/>
            <w:gridSpan w:val="2"/>
          </w:tcPr>
          <w:p w14:paraId="3514309D" w14:textId="26DE3442" w:rsidR="00D04BC6" w:rsidRDefault="002C252D" w:rsidP="002C252D">
            <w:pPr>
              <w:spacing w:before="80" w:after="80" w:line="340" w:lineRule="atLeast"/>
              <w:jc w:val="both"/>
              <w:rPr>
                <w:rFonts w:ascii="Verdana" w:hAnsi="Verdana"/>
                <w:sz w:val="21"/>
                <w:szCs w:val="21"/>
              </w:rPr>
            </w:pPr>
            <w:r>
              <w:rPr>
                <w:rFonts w:ascii="Verdana" w:hAnsi="Verdana"/>
                <w:sz w:val="21"/>
                <w:szCs w:val="21"/>
              </w:rPr>
              <w:t xml:space="preserve">The total market capitalisation of all Exchange Traded Products (which include ETFs, ETNs and AMCs), at the end of 2022, amounted to R129 310 million.  This constituted a drop of some 5% on the value of the ETP industry, at the end of 2021.  The decline in the total size of the exchange traded product industry last year, was the first such drop in the total value of the securities </w:t>
            </w:r>
            <w:r w:rsidR="002C05CF">
              <w:rPr>
                <w:rFonts w:ascii="Verdana" w:hAnsi="Verdana"/>
                <w:sz w:val="21"/>
                <w:szCs w:val="21"/>
              </w:rPr>
              <w:t>list</w:t>
            </w:r>
            <w:r>
              <w:rPr>
                <w:rFonts w:ascii="Verdana" w:hAnsi="Verdana"/>
                <w:sz w:val="21"/>
                <w:szCs w:val="21"/>
              </w:rPr>
              <w:t xml:space="preserve">ed by ETP issuers, since 2018. </w:t>
            </w:r>
          </w:p>
          <w:p w14:paraId="45ED3D42" w14:textId="300B725D" w:rsidR="004B1BB0" w:rsidRPr="00E159E7" w:rsidRDefault="002C252D" w:rsidP="002C252D">
            <w:pPr>
              <w:spacing w:before="80" w:after="120" w:line="340" w:lineRule="atLeast"/>
              <w:jc w:val="both"/>
              <w:rPr>
                <w:rFonts w:ascii="Verdana" w:hAnsi="Verdana"/>
                <w:sz w:val="21"/>
                <w:szCs w:val="21"/>
              </w:rPr>
            </w:pPr>
            <w:r>
              <w:rPr>
                <w:rFonts w:ascii="Verdana" w:hAnsi="Verdana"/>
                <w:sz w:val="21"/>
                <w:szCs w:val="21"/>
              </w:rPr>
              <w:t xml:space="preserve">The significant decline in the equity markets, particularly globally, was the key factor in the shrinking of the size of the SA ETP industry.  For instance, the US S&amp;P index fell by 20% in 2022, and large declines were recorded in many other equity markets worldwide. </w:t>
            </w:r>
          </w:p>
        </w:tc>
        <w:tc>
          <w:tcPr>
            <w:tcW w:w="284" w:type="dxa"/>
          </w:tcPr>
          <w:p w14:paraId="3953F9A0" w14:textId="265BA484" w:rsidR="00E159E7" w:rsidRDefault="005269C6" w:rsidP="002C252D">
            <w:pPr>
              <w:spacing w:before="80" w:after="80" w:line="340" w:lineRule="atLeast"/>
              <w:jc w:val="both"/>
              <w:rPr>
                <w:rFonts w:ascii="Verdana" w:hAnsi="Verdana"/>
                <w:sz w:val="21"/>
                <w:szCs w:val="21"/>
              </w:rPr>
            </w:pPr>
            <w:r w:rsidRPr="00C72345">
              <w:rPr>
                <w:rFonts w:ascii="Verdana" w:hAnsi="Verdana"/>
                <w:noProof/>
                <w:sz w:val="21"/>
                <w:szCs w:val="21"/>
              </w:rPr>
              <mc:AlternateContent>
                <mc:Choice Requires="wps">
                  <w:drawing>
                    <wp:anchor distT="0" distB="0" distL="114300" distR="114300" simplePos="0" relativeHeight="251687936" behindDoc="0" locked="0" layoutInCell="1" allowOverlap="1" wp14:anchorId="24C32DED" wp14:editId="6E6A7DD6">
                      <wp:simplePos x="0" y="0"/>
                      <wp:positionH relativeFrom="column">
                        <wp:posOffset>-20320</wp:posOffset>
                      </wp:positionH>
                      <wp:positionV relativeFrom="paragraph">
                        <wp:posOffset>123825</wp:posOffset>
                      </wp:positionV>
                      <wp:extent cx="38100" cy="3365500"/>
                      <wp:effectExtent l="0" t="0" r="19050" b="25400"/>
                      <wp:wrapNone/>
                      <wp:docPr id="2" name="Straight Connector 2"/>
                      <wp:cNvGraphicFramePr/>
                      <a:graphic xmlns:a="http://schemas.openxmlformats.org/drawingml/2006/main">
                        <a:graphicData uri="http://schemas.microsoft.com/office/word/2010/wordprocessingShape">
                          <wps:wsp>
                            <wps:cNvCnPr/>
                            <wps:spPr>
                              <a:xfrm flipH="1">
                                <a:off x="0" y="0"/>
                                <a:ext cx="38100" cy="33655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23C32" id="Straight Connector 2"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9.75pt" to="1.4pt,2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" strokecolor="#c00000" strokeweight=".5pt">
                      <v:stroke joinstyle="miter"/>
                    </v:line>
                  </w:pict>
                </mc:Fallback>
              </mc:AlternateContent>
            </w:r>
          </w:p>
        </w:tc>
        <w:tc>
          <w:tcPr>
            <w:tcW w:w="4819" w:type="dxa"/>
            <w:gridSpan w:val="2"/>
          </w:tcPr>
          <w:p w14:paraId="522ACD21" w14:textId="04437EFB" w:rsidR="00553990" w:rsidRDefault="002C252D" w:rsidP="002C252D">
            <w:pPr>
              <w:spacing w:before="80" w:after="80" w:line="340" w:lineRule="atLeast"/>
              <w:jc w:val="both"/>
              <w:rPr>
                <w:rFonts w:ascii="Verdana" w:hAnsi="Verdana"/>
                <w:sz w:val="21"/>
                <w:szCs w:val="21"/>
              </w:rPr>
            </w:pPr>
            <w:r>
              <w:rPr>
                <w:rFonts w:ascii="Verdana" w:hAnsi="Verdana"/>
                <w:sz w:val="21"/>
                <w:szCs w:val="21"/>
              </w:rPr>
              <w:t>B</w:t>
            </w:r>
            <w:r w:rsidR="002C05CF">
              <w:rPr>
                <w:rFonts w:ascii="Verdana" w:hAnsi="Verdana"/>
                <w:sz w:val="21"/>
                <w:szCs w:val="21"/>
              </w:rPr>
              <w:t>ond</w:t>
            </w:r>
            <w:r>
              <w:rPr>
                <w:rFonts w:ascii="Verdana" w:hAnsi="Verdana"/>
                <w:sz w:val="21"/>
                <w:szCs w:val="21"/>
              </w:rPr>
              <w:t xml:space="preserve"> market prices also fell as interest rates rose in response to the unexpected surge in international inflation rates, </w:t>
            </w:r>
            <w:r w:rsidR="002C05CF">
              <w:rPr>
                <w:rFonts w:ascii="Verdana" w:hAnsi="Verdana"/>
                <w:sz w:val="21"/>
                <w:szCs w:val="21"/>
              </w:rPr>
              <w:t>main</w:t>
            </w:r>
            <w:r>
              <w:rPr>
                <w:rFonts w:ascii="Verdana" w:hAnsi="Verdana"/>
                <w:sz w:val="21"/>
                <w:szCs w:val="21"/>
              </w:rPr>
              <w:t>ly due to the supply disruptions brought about by the unexpected Russian invasion of Ukraine.  The South African equity market bucked the trend by recovering by over 15% from lows recorded in September 2021 and e</w:t>
            </w:r>
            <w:r w:rsidR="002C05CF">
              <w:rPr>
                <w:rFonts w:ascii="Verdana" w:hAnsi="Verdana"/>
                <w:sz w:val="21"/>
                <w:szCs w:val="21"/>
              </w:rPr>
              <w:t>nd</w:t>
            </w:r>
            <w:r>
              <w:rPr>
                <w:rFonts w:ascii="Verdana" w:hAnsi="Verdana"/>
                <w:sz w:val="21"/>
                <w:szCs w:val="21"/>
              </w:rPr>
              <w:t xml:space="preserve">ing the year at close to record highs. </w:t>
            </w:r>
          </w:p>
          <w:p w14:paraId="659C3123" w14:textId="35792899" w:rsidR="002C252D" w:rsidRDefault="002C252D" w:rsidP="002C252D">
            <w:pPr>
              <w:spacing w:before="80" w:after="80" w:line="340" w:lineRule="atLeast"/>
              <w:jc w:val="both"/>
              <w:rPr>
                <w:rFonts w:ascii="Verdana" w:hAnsi="Verdana"/>
                <w:sz w:val="21"/>
                <w:szCs w:val="21"/>
              </w:rPr>
            </w:pPr>
            <w:r>
              <w:rPr>
                <w:rFonts w:ascii="Verdana" w:hAnsi="Verdana"/>
                <w:sz w:val="21"/>
                <w:szCs w:val="21"/>
              </w:rPr>
              <w:t>The ETP industry’s resilience again</w:t>
            </w:r>
            <w:r w:rsidR="002C05CF">
              <w:rPr>
                <w:rFonts w:ascii="Verdana" w:hAnsi="Verdana"/>
                <w:sz w:val="21"/>
                <w:szCs w:val="21"/>
              </w:rPr>
              <w:t>st</w:t>
            </w:r>
            <w:r>
              <w:rPr>
                <w:rFonts w:ascii="Verdana" w:hAnsi="Verdana"/>
                <w:sz w:val="21"/>
                <w:szCs w:val="21"/>
              </w:rPr>
              <w:t xml:space="preserve"> this unfavourable background in the financial market</w:t>
            </w:r>
            <w:r w:rsidR="002C05CF">
              <w:rPr>
                <w:rFonts w:ascii="Verdana" w:hAnsi="Verdana"/>
                <w:sz w:val="21"/>
                <w:szCs w:val="21"/>
              </w:rPr>
              <w:t>s</w:t>
            </w:r>
            <w:r>
              <w:rPr>
                <w:rFonts w:ascii="Verdana" w:hAnsi="Verdana"/>
                <w:sz w:val="21"/>
                <w:szCs w:val="21"/>
              </w:rPr>
              <w:t xml:space="preserve"> was notable.  </w:t>
            </w:r>
          </w:p>
        </w:tc>
      </w:tr>
      <w:tr w:rsidR="00E00161" w14:paraId="1F965989" w14:textId="77777777" w:rsidTr="002C05CF">
        <w:trPr>
          <w:gridAfter w:val="1"/>
          <w:wAfter w:w="425" w:type="dxa"/>
        </w:trPr>
        <w:tc>
          <w:tcPr>
            <w:tcW w:w="284" w:type="dxa"/>
          </w:tcPr>
          <w:p w14:paraId="1F293369" w14:textId="6ED72F79" w:rsidR="00E00161" w:rsidRDefault="00E00161" w:rsidP="00467DA9">
            <w:pPr>
              <w:spacing w:line="360" w:lineRule="atLeast"/>
              <w:jc w:val="both"/>
              <w:rPr>
                <w:rFonts w:ascii="Verdana" w:hAnsi="Verdana"/>
                <w:sz w:val="21"/>
                <w:szCs w:val="21"/>
              </w:rPr>
            </w:pPr>
          </w:p>
        </w:tc>
        <w:tc>
          <w:tcPr>
            <w:tcW w:w="9497" w:type="dxa"/>
            <w:gridSpan w:val="3"/>
          </w:tcPr>
          <w:p w14:paraId="0AA60EE7" w14:textId="37D2687B" w:rsidR="00E00161" w:rsidRDefault="002C05CF" w:rsidP="002C05CF">
            <w:pPr>
              <w:spacing w:before="240" w:line="360" w:lineRule="atLeast"/>
              <w:jc w:val="center"/>
              <w:rPr>
                <w:rFonts w:ascii="Verdana" w:hAnsi="Verdana"/>
                <w:sz w:val="21"/>
                <w:szCs w:val="21"/>
              </w:rPr>
            </w:pPr>
            <w:r>
              <w:rPr>
                <w:noProof/>
              </w:rPr>
              <w:drawing>
                <wp:inline distT="0" distB="0" distL="0" distR="0" wp14:anchorId="1DFF1399" wp14:editId="5D9F910C">
                  <wp:extent cx="4924426" cy="3114675"/>
                  <wp:effectExtent l="0" t="0" r="9525" b="9525"/>
                  <wp:docPr id="1" name="Chart 1">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6630C92" w14:textId="77777777" w:rsidR="00D04BC6" w:rsidRDefault="00D04BC6">
      <w:pPr>
        <w:rPr>
          <w:rFonts w:ascii="Verdana" w:hAnsi="Verdana"/>
          <w:b/>
          <w:color w:val="C00000"/>
          <w:sz w:val="24"/>
          <w:szCs w:val="24"/>
        </w:rPr>
      </w:pPr>
      <w:r>
        <w:rPr>
          <w:rFonts w:ascii="Verdana" w:hAnsi="Verdana"/>
          <w:b/>
          <w:color w:val="C00000"/>
          <w:sz w:val="24"/>
          <w:szCs w:val="24"/>
        </w:rPr>
        <w:br w:type="page"/>
      </w:r>
    </w:p>
    <w:p w14:paraId="7E506960" w14:textId="403F43EC" w:rsidR="00BC654E" w:rsidRPr="0012529E" w:rsidRDefault="00BC654E" w:rsidP="00BC654E">
      <w:pPr>
        <w:spacing w:after="0" w:line="320" w:lineRule="atLeast"/>
        <w:jc w:val="center"/>
        <w:rPr>
          <w:rFonts w:ascii="Verdana" w:hAnsi="Verdana"/>
          <w:b/>
          <w:bCs/>
          <w:color w:val="C00000"/>
        </w:rPr>
      </w:pPr>
      <w:r w:rsidRPr="0012529E">
        <w:rPr>
          <w:rFonts w:ascii="Verdana" w:hAnsi="Verdana"/>
          <w:b/>
          <w:bCs/>
          <w:color w:val="C00000"/>
        </w:rPr>
        <w:lastRenderedPageBreak/>
        <w:t>T</w:t>
      </w:r>
      <w:r>
        <w:rPr>
          <w:rFonts w:ascii="Verdana" w:hAnsi="Verdana"/>
          <w:b/>
          <w:bCs/>
          <w:color w:val="C00000"/>
        </w:rPr>
        <w:t>OTAL ETPs IN ISSUE</w:t>
      </w:r>
    </w:p>
    <w:p w14:paraId="7EF1E16E" w14:textId="1E3294D1" w:rsidR="00ED30AE" w:rsidRDefault="002C05CF" w:rsidP="00BC654E">
      <w:pPr>
        <w:spacing w:before="120" w:after="40" w:line="320" w:lineRule="atLeast"/>
        <w:rPr>
          <w:rFonts w:ascii="Verdana" w:hAnsi="Verdana"/>
          <w:sz w:val="21"/>
          <w:szCs w:val="21"/>
        </w:rPr>
      </w:pPr>
      <w:r>
        <w:rPr>
          <w:rFonts w:ascii="Verdana" w:hAnsi="Verdana"/>
          <w:sz w:val="21"/>
          <w:szCs w:val="21"/>
        </w:rPr>
        <w:t>The number of Exchange Traded Products listed on the JSE rose from 168 at the end of 2021 to 183 at the end of 2022</w:t>
      </w:r>
      <w:r>
        <w:rPr>
          <w:rFonts w:ascii="Verdana" w:hAnsi="Verdana"/>
          <w:sz w:val="21"/>
          <w:szCs w:val="21"/>
        </w:rPr>
        <w:t>, as shown in Table A</w:t>
      </w:r>
      <w:r>
        <w:rPr>
          <w:rFonts w:ascii="Verdana" w:hAnsi="Verdana"/>
          <w:sz w:val="21"/>
          <w:szCs w:val="21"/>
        </w:rPr>
        <w:t>.</w:t>
      </w:r>
    </w:p>
    <w:p w14:paraId="7C527D37" w14:textId="6D3E201F" w:rsidR="002C05CF" w:rsidRPr="002C05CF" w:rsidRDefault="002C05CF" w:rsidP="00BC654E">
      <w:pPr>
        <w:spacing w:before="120" w:after="40" w:line="320" w:lineRule="atLeast"/>
        <w:rPr>
          <w:rFonts w:ascii="Verdana" w:hAnsi="Verdana"/>
          <w:b/>
          <w:bCs/>
          <w:sz w:val="21"/>
          <w:szCs w:val="21"/>
        </w:rPr>
      </w:pPr>
      <w:r>
        <w:rPr>
          <w:rFonts w:ascii="Verdana" w:hAnsi="Verdana"/>
          <w:b/>
          <w:bCs/>
          <w:sz w:val="21"/>
          <w:szCs w:val="21"/>
        </w:rPr>
        <w:t>Table A</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417"/>
        <w:gridCol w:w="1418"/>
        <w:gridCol w:w="1417"/>
        <w:gridCol w:w="1418"/>
      </w:tblGrid>
      <w:tr w:rsidR="00ED30AE" w:rsidRPr="003B4F95" w14:paraId="66DD5DCA" w14:textId="77777777" w:rsidTr="00ED30AE">
        <w:trPr>
          <w:trHeight w:val="360"/>
        </w:trPr>
        <w:tc>
          <w:tcPr>
            <w:tcW w:w="9639" w:type="dxa"/>
            <w:gridSpan w:val="5"/>
            <w:shd w:val="clear" w:color="auto" w:fill="C00000"/>
            <w:vAlign w:val="center"/>
          </w:tcPr>
          <w:p w14:paraId="57F2C5A1" w14:textId="7D9543F5" w:rsidR="00ED30AE" w:rsidRDefault="00ED30AE" w:rsidP="00ED30AE">
            <w:pPr>
              <w:spacing w:before="40" w:after="40" w:line="320" w:lineRule="atLeast"/>
              <w:jc w:val="center"/>
              <w:rPr>
                <w:rFonts w:ascii="Verdana" w:hAnsi="Verdana"/>
                <w:b/>
                <w:color w:val="FFFFFF"/>
                <w:sz w:val="18"/>
                <w:szCs w:val="18"/>
              </w:rPr>
            </w:pPr>
            <w:r>
              <w:rPr>
                <w:rFonts w:ascii="Verdana" w:hAnsi="Verdana"/>
                <w:b/>
                <w:color w:val="FFFFFF"/>
                <w:sz w:val="18"/>
                <w:szCs w:val="18"/>
              </w:rPr>
              <w:t xml:space="preserve">Number of </w:t>
            </w:r>
            <w:r w:rsidR="002C05CF">
              <w:rPr>
                <w:rFonts w:ascii="Verdana" w:hAnsi="Verdana"/>
                <w:b/>
                <w:color w:val="FFFFFF"/>
                <w:sz w:val="18"/>
                <w:szCs w:val="18"/>
              </w:rPr>
              <w:t xml:space="preserve">Exchange Traded </w:t>
            </w:r>
            <w:r>
              <w:rPr>
                <w:rFonts w:ascii="Verdana" w:hAnsi="Verdana"/>
                <w:b/>
                <w:color w:val="FFFFFF"/>
                <w:sz w:val="18"/>
                <w:szCs w:val="18"/>
              </w:rPr>
              <w:t>Products in Issue</w:t>
            </w:r>
          </w:p>
          <w:p w14:paraId="5D10C188" w14:textId="0A69F97E" w:rsidR="00ED30AE" w:rsidRPr="003B4F95" w:rsidRDefault="00ED30AE" w:rsidP="00ED30AE">
            <w:pPr>
              <w:spacing w:before="40" w:after="40" w:line="320" w:lineRule="atLeast"/>
              <w:jc w:val="center"/>
              <w:rPr>
                <w:rFonts w:ascii="Verdana" w:hAnsi="Verdana"/>
                <w:b/>
                <w:color w:val="FFFFFF"/>
                <w:sz w:val="18"/>
                <w:szCs w:val="18"/>
              </w:rPr>
            </w:pPr>
            <w:r>
              <w:rPr>
                <w:rFonts w:ascii="Verdana" w:hAnsi="Verdana"/>
                <w:b/>
                <w:color w:val="FFFFFF"/>
                <w:sz w:val="18"/>
                <w:szCs w:val="18"/>
              </w:rPr>
              <w:t>(end of period)</w:t>
            </w:r>
          </w:p>
        </w:tc>
      </w:tr>
      <w:tr w:rsidR="00ED30AE" w:rsidRPr="003B4F95" w14:paraId="1E959807" w14:textId="44FFC2DB" w:rsidTr="002C252D">
        <w:trPr>
          <w:trHeight w:val="360"/>
        </w:trPr>
        <w:tc>
          <w:tcPr>
            <w:tcW w:w="3969" w:type="dxa"/>
            <w:shd w:val="clear" w:color="auto" w:fill="4C4C4C"/>
          </w:tcPr>
          <w:p w14:paraId="2D3569C9" w14:textId="33720006" w:rsidR="00ED30AE" w:rsidRPr="003B4F95" w:rsidRDefault="00ED30AE" w:rsidP="00EB3FA6">
            <w:pPr>
              <w:spacing w:before="40" w:after="40" w:line="320" w:lineRule="atLeast"/>
              <w:rPr>
                <w:rFonts w:ascii="Verdana" w:hAnsi="Verdana"/>
                <w:b/>
                <w:color w:val="FFFFFF"/>
                <w:sz w:val="18"/>
                <w:szCs w:val="18"/>
              </w:rPr>
            </w:pPr>
          </w:p>
        </w:tc>
        <w:tc>
          <w:tcPr>
            <w:tcW w:w="1417" w:type="dxa"/>
            <w:shd w:val="clear" w:color="auto" w:fill="4C4C4C"/>
            <w:vAlign w:val="center"/>
          </w:tcPr>
          <w:p w14:paraId="75281AB5" w14:textId="3AA1F13D" w:rsidR="00ED30AE" w:rsidRPr="003B4F95" w:rsidRDefault="00ED30AE" w:rsidP="00ED30AE">
            <w:pPr>
              <w:spacing w:before="40" w:after="40" w:line="320" w:lineRule="atLeast"/>
              <w:jc w:val="center"/>
              <w:rPr>
                <w:rFonts w:ascii="Verdana" w:hAnsi="Verdana"/>
                <w:b/>
                <w:color w:val="FFFFFF"/>
                <w:sz w:val="18"/>
                <w:szCs w:val="18"/>
              </w:rPr>
            </w:pPr>
            <w:r>
              <w:rPr>
                <w:rFonts w:ascii="Verdana" w:hAnsi="Verdana"/>
                <w:b/>
                <w:color w:val="FFFFFF"/>
                <w:sz w:val="18"/>
                <w:szCs w:val="18"/>
              </w:rPr>
              <w:t>2019</w:t>
            </w:r>
          </w:p>
        </w:tc>
        <w:tc>
          <w:tcPr>
            <w:tcW w:w="1418" w:type="dxa"/>
            <w:shd w:val="clear" w:color="auto" w:fill="4C4C4C"/>
            <w:vAlign w:val="center"/>
          </w:tcPr>
          <w:p w14:paraId="198B912A" w14:textId="5A12873B" w:rsidR="00ED30AE" w:rsidRPr="003B4F95" w:rsidRDefault="00ED30AE" w:rsidP="00ED30AE">
            <w:pPr>
              <w:spacing w:before="40" w:after="40" w:line="320" w:lineRule="atLeast"/>
              <w:jc w:val="center"/>
              <w:rPr>
                <w:rFonts w:ascii="Verdana" w:hAnsi="Verdana"/>
                <w:b/>
                <w:color w:val="FFFFFF"/>
                <w:sz w:val="18"/>
                <w:szCs w:val="18"/>
              </w:rPr>
            </w:pPr>
            <w:r>
              <w:rPr>
                <w:rFonts w:ascii="Verdana" w:hAnsi="Verdana"/>
                <w:b/>
                <w:color w:val="FFFFFF"/>
                <w:sz w:val="18"/>
                <w:szCs w:val="18"/>
              </w:rPr>
              <w:t>2020</w:t>
            </w:r>
          </w:p>
        </w:tc>
        <w:tc>
          <w:tcPr>
            <w:tcW w:w="1417" w:type="dxa"/>
            <w:shd w:val="clear" w:color="auto" w:fill="4C4C4C"/>
            <w:vAlign w:val="center"/>
          </w:tcPr>
          <w:p w14:paraId="56E61AE9" w14:textId="2A923A34" w:rsidR="00ED30AE" w:rsidRPr="003B4F95" w:rsidRDefault="00ED30AE" w:rsidP="00ED30AE">
            <w:pPr>
              <w:spacing w:before="40" w:after="40" w:line="320" w:lineRule="atLeast"/>
              <w:jc w:val="center"/>
              <w:rPr>
                <w:rFonts w:ascii="Verdana" w:hAnsi="Verdana"/>
                <w:b/>
                <w:color w:val="FFFFFF"/>
                <w:sz w:val="18"/>
                <w:szCs w:val="18"/>
              </w:rPr>
            </w:pPr>
            <w:r>
              <w:rPr>
                <w:rFonts w:ascii="Verdana" w:hAnsi="Verdana"/>
                <w:b/>
                <w:color w:val="FFFFFF"/>
                <w:sz w:val="18"/>
                <w:szCs w:val="18"/>
              </w:rPr>
              <w:t>2021</w:t>
            </w:r>
          </w:p>
        </w:tc>
        <w:tc>
          <w:tcPr>
            <w:tcW w:w="1418" w:type="dxa"/>
            <w:shd w:val="clear" w:color="auto" w:fill="4C4C4C"/>
            <w:vAlign w:val="center"/>
          </w:tcPr>
          <w:p w14:paraId="22E3257A" w14:textId="2E86FB34" w:rsidR="00ED30AE" w:rsidRPr="003B4F95" w:rsidRDefault="00ED30AE" w:rsidP="00ED30AE">
            <w:pPr>
              <w:spacing w:before="40" w:after="40" w:line="320" w:lineRule="atLeast"/>
              <w:jc w:val="center"/>
              <w:rPr>
                <w:rFonts w:ascii="Verdana" w:hAnsi="Verdana"/>
                <w:b/>
                <w:color w:val="FFFFFF"/>
                <w:sz w:val="18"/>
                <w:szCs w:val="18"/>
              </w:rPr>
            </w:pPr>
            <w:r>
              <w:rPr>
                <w:rFonts w:ascii="Verdana" w:hAnsi="Verdana"/>
                <w:b/>
                <w:color w:val="FFFFFF"/>
                <w:sz w:val="18"/>
                <w:szCs w:val="18"/>
              </w:rPr>
              <w:t>2022</w:t>
            </w:r>
          </w:p>
        </w:tc>
      </w:tr>
      <w:tr w:rsidR="00ED30AE" w14:paraId="1D34DDF6" w14:textId="7F216B98" w:rsidTr="002C252D">
        <w:tc>
          <w:tcPr>
            <w:tcW w:w="3969" w:type="dxa"/>
            <w:shd w:val="clear" w:color="auto" w:fill="auto"/>
          </w:tcPr>
          <w:p w14:paraId="6BF60B33" w14:textId="7EA8772B" w:rsidR="00ED30AE" w:rsidRDefault="00ED30AE" w:rsidP="00EB3FA6">
            <w:pPr>
              <w:spacing w:before="40" w:after="40" w:line="320" w:lineRule="atLeast"/>
              <w:rPr>
                <w:rFonts w:ascii="Verdana" w:hAnsi="Verdana"/>
                <w:color w:val="000000"/>
                <w:sz w:val="18"/>
                <w:szCs w:val="18"/>
              </w:rPr>
            </w:pPr>
            <w:r>
              <w:rPr>
                <w:rFonts w:ascii="Verdana" w:hAnsi="Verdana"/>
                <w:color w:val="000000"/>
                <w:sz w:val="18"/>
                <w:szCs w:val="18"/>
              </w:rPr>
              <w:t>Exchange Traded Funds (ETFs)</w:t>
            </w:r>
          </w:p>
        </w:tc>
        <w:tc>
          <w:tcPr>
            <w:tcW w:w="1417" w:type="dxa"/>
            <w:vAlign w:val="center"/>
          </w:tcPr>
          <w:p w14:paraId="59188861" w14:textId="66A563AD" w:rsidR="00ED30AE" w:rsidRDefault="00ED30AE" w:rsidP="00ED30AE">
            <w:pPr>
              <w:spacing w:before="40" w:after="40" w:line="320" w:lineRule="atLeast"/>
              <w:jc w:val="center"/>
              <w:rPr>
                <w:rFonts w:ascii="Verdana" w:hAnsi="Verdana"/>
                <w:color w:val="000000"/>
                <w:sz w:val="18"/>
                <w:szCs w:val="18"/>
              </w:rPr>
            </w:pPr>
            <w:r>
              <w:rPr>
                <w:rFonts w:ascii="Verdana" w:hAnsi="Verdana"/>
                <w:color w:val="000000"/>
                <w:sz w:val="18"/>
                <w:szCs w:val="18"/>
              </w:rPr>
              <w:t>73</w:t>
            </w:r>
          </w:p>
        </w:tc>
        <w:tc>
          <w:tcPr>
            <w:tcW w:w="1418" w:type="dxa"/>
            <w:vAlign w:val="center"/>
          </w:tcPr>
          <w:p w14:paraId="0CB82234" w14:textId="2739B6F3" w:rsidR="00ED30AE" w:rsidRDefault="00ED30AE" w:rsidP="00ED30AE">
            <w:pPr>
              <w:spacing w:before="40" w:after="40" w:line="320" w:lineRule="atLeast"/>
              <w:jc w:val="center"/>
              <w:rPr>
                <w:rFonts w:ascii="Verdana" w:hAnsi="Verdana"/>
                <w:color w:val="000000"/>
                <w:sz w:val="18"/>
                <w:szCs w:val="18"/>
              </w:rPr>
            </w:pPr>
            <w:r>
              <w:rPr>
                <w:rFonts w:ascii="Verdana" w:hAnsi="Verdana"/>
                <w:color w:val="000000"/>
                <w:sz w:val="18"/>
                <w:szCs w:val="18"/>
              </w:rPr>
              <w:t>78</w:t>
            </w:r>
          </w:p>
        </w:tc>
        <w:tc>
          <w:tcPr>
            <w:tcW w:w="1417" w:type="dxa"/>
            <w:vAlign w:val="center"/>
          </w:tcPr>
          <w:p w14:paraId="145425E3" w14:textId="4CFC9C43" w:rsidR="00ED30AE" w:rsidRDefault="00ED30AE" w:rsidP="00ED30AE">
            <w:pPr>
              <w:spacing w:before="40" w:after="40" w:line="320" w:lineRule="atLeast"/>
              <w:jc w:val="center"/>
              <w:rPr>
                <w:rFonts w:ascii="Verdana" w:hAnsi="Verdana"/>
                <w:color w:val="000000"/>
                <w:sz w:val="18"/>
                <w:szCs w:val="18"/>
              </w:rPr>
            </w:pPr>
            <w:r>
              <w:rPr>
                <w:rFonts w:ascii="Verdana" w:hAnsi="Verdana"/>
                <w:color w:val="000000"/>
                <w:sz w:val="18"/>
                <w:szCs w:val="18"/>
              </w:rPr>
              <w:t>86</w:t>
            </w:r>
          </w:p>
        </w:tc>
        <w:tc>
          <w:tcPr>
            <w:tcW w:w="1418" w:type="dxa"/>
            <w:vAlign w:val="center"/>
          </w:tcPr>
          <w:p w14:paraId="4029A1DA" w14:textId="1D3E510F" w:rsidR="00ED30AE" w:rsidRDefault="002C252D" w:rsidP="00ED30AE">
            <w:pPr>
              <w:spacing w:before="40" w:after="40" w:line="320" w:lineRule="atLeast"/>
              <w:jc w:val="center"/>
              <w:rPr>
                <w:rFonts w:ascii="Verdana" w:hAnsi="Verdana"/>
                <w:color w:val="000000"/>
                <w:sz w:val="18"/>
                <w:szCs w:val="18"/>
              </w:rPr>
            </w:pPr>
            <w:r>
              <w:rPr>
                <w:rFonts w:ascii="Verdana" w:hAnsi="Verdana"/>
                <w:color w:val="000000"/>
                <w:sz w:val="18"/>
                <w:szCs w:val="18"/>
              </w:rPr>
              <w:t>95</w:t>
            </w:r>
          </w:p>
        </w:tc>
      </w:tr>
      <w:tr w:rsidR="00ED30AE" w14:paraId="2B4CE8AA" w14:textId="77777777" w:rsidTr="002C252D">
        <w:tc>
          <w:tcPr>
            <w:tcW w:w="3969" w:type="dxa"/>
            <w:shd w:val="clear" w:color="auto" w:fill="auto"/>
          </w:tcPr>
          <w:p w14:paraId="747A4394" w14:textId="10903854" w:rsidR="00ED30AE" w:rsidRDefault="00ED30AE" w:rsidP="00EB3FA6">
            <w:pPr>
              <w:spacing w:before="40" w:after="40" w:line="320" w:lineRule="atLeast"/>
              <w:rPr>
                <w:rFonts w:ascii="Verdana" w:hAnsi="Verdana"/>
                <w:color w:val="000000"/>
                <w:sz w:val="18"/>
                <w:szCs w:val="18"/>
              </w:rPr>
            </w:pPr>
            <w:r>
              <w:rPr>
                <w:rFonts w:ascii="Verdana" w:hAnsi="Verdana"/>
                <w:color w:val="000000"/>
                <w:sz w:val="18"/>
                <w:szCs w:val="18"/>
              </w:rPr>
              <w:t>Exchange Traded Notes (ETNs)</w:t>
            </w:r>
          </w:p>
        </w:tc>
        <w:tc>
          <w:tcPr>
            <w:tcW w:w="1417" w:type="dxa"/>
            <w:vAlign w:val="center"/>
          </w:tcPr>
          <w:p w14:paraId="117F7B15" w14:textId="49D1EC41" w:rsidR="00ED30AE" w:rsidRDefault="00ED30AE" w:rsidP="00ED30AE">
            <w:pPr>
              <w:spacing w:before="40" w:after="40" w:line="320" w:lineRule="atLeast"/>
              <w:jc w:val="center"/>
              <w:rPr>
                <w:rFonts w:ascii="Verdana" w:hAnsi="Verdana"/>
                <w:color w:val="000000"/>
                <w:sz w:val="18"/>
                <w:szCs w:val="18"/>
              </w:rPr>
            </w:pPr>
            <w:r>
              <w:rPr>
                <w:rFonts w:ascii="Verdana" w:hAnsi="Verdana"/>
                <w:color w:val="000000"/>
                <w:sz w:val="18"/>
                <w:szCs w:val="18"/>
              </w:rPr>
              <w:t>29</w:t>
            </w:r>
          </w:p>
        </w:tc>
        <w:tc>
          <w:tcPr>
            <w:tcW w:w="1418" w:type="dxa"/>
            <w:vAlign w:val="center"/>
          </w:tcPr>
          <w:p w14:paraId="62A180E9" w14:textId="7A2AD3B1" w:rsidR="00ED30AE" w:rsidRDefault="00ED30AE" w:rsidP="00ED30AE">
            <w:pPr>
              <w:spacing w:before="40" w:after="40" w:line="320" w:lineRule="atLeast"/>
              <w:jc w:val="center"/>
              <w:rPr>
                <w:rFonts w:ascii="Verdana" w:hAnsi="Verdana"/>
                <w:color w:val="000000"/>
                <w:sz w:val="18"/>
                <w:szCs w:val="18"/>
              </w:rPr>
            </w:pPr>
            <w:r>
              <w:rPr>
                <w:rFonts w:ascii="Verdana" w:hAnsi="Verdana"/>
                <w:color w:val="000000"/>
                <w:sz w:val="18"/>
                <w:szCs w:val="18"/>
              </w:rPr>
              <w:t>59</w:t>
            </w:r>
          </w:p>
        </w:tc>
        <w:tc>
          <w:tcPr>
            <w:tcW w:w="1417" w:type="dxa"/>
            <w:vAlign w:val="center"/>
          </w:tcPr>
          <w:p w14:paraId="68DB51E5" w14:textId="2C2C987D" w:rsidR="00ED30AE" w:rsidRDefault="00ED30AE" w:rsidP="00ED30AE">
            <w:pPr>
              <w:spacing w:before="40" w:after="40" w:line="320" w:lineRule="atLeast"/>
              <w:jc w:val="center"/>
              <w:rPr>
                <w:rFonts w:ascii="Verdana" w:hAnsi="Verdana"/>
                <w:color w:val="000000"/>
                <w:sz w:val="18"/>
                <w:szCs w:val="18"/>
              </w:rPr>
            </w:pPr>
            <w:r>
              <w:rPr>
                <w:rFonts w:ascii="Verdana" w:hAnsi="Verdana"/>
                <w:color w:val="000000"/>
                <w:sz w:val="18"/>
                <w:szCs w:val="18"/>
              </w:rPr>
              <w:t>82</w:t>
            </w:r>
          </w:p>
        </w:tc>
        <w:tc>
          <w:tcPr>
            <w:tcW w:w="1418" w:type="dxa"/>
            <w:vAlign w:val="center"/>
          </w:tcPr>
          <w:p w14:paraId="40E1A392" w14:textId="21B3852F" w:rsidR="00ED30AE" w:rsidRDefault="002C252D" w:rsidP="00ED30AE">
            <w:pPr>
              <w:spacing w:before="40" w:after="40" w:line="320" w:lineRule="atLeast"/>
              <w:jc w:val="center"/>
              <w:rPr>
                <w:rFonts w:ascii="Verdana" w:hAnsi="Verdana"/>
                <w:color w:val="000000"/>
                <w:sz w:val="18"/>
                <w:szCs w:val="18"/>
              </w:rPr>
            </w:pPr>
            <w:r>
              <w:rPr>
                <w:rFonts w:ascii="Verdana" w:hAnsi="Verdana"/>
                <w:color w:val="000000"/>
                <w:sz w:val="18"/>
                <w:szCs w:val="18"/>
              </w:rPr>
              <w:t>66</w:t>
            </w:r>
          </w:p>
        </w:tc>
      </w:tr>
      <w:tr w:rsidR="002C252D" w14:paraId="4A92A83B" w14:textId="77777777" w:rsidTr="002C252D">
        <w:tc>
          <w:tcPr>
            <w:tcW w:w="3969" w:type="dxa"/>
            <w:shd w:val="clear" w:color="auto" w:fill="auto"/>
          </w:tcPr>
          <w:p w14:paraId="53C939F8" w14:textId="4F494D8E" w:rsidR="002C252D" w:rsidRDefault="002C252D" w:rsidP="00EB3FA6">
            <w:pPr>
              <w:spacing w:before="40" w:after="40" w:line="320" w:lineRule="atLeast"/>
              <w:rPr>
                <w:rFonts w:ascii="Verdana" w:hAnsi="Verdana"/>
                <w:color w:val="000000"/>
                <w:sz w:val="18"/>
                <w:szCs w:val="18"/>
              </w:rPr>
            </w:pPr>
            <w:r>
              <w:rPr>
                <w:rFonts w:ascii="Verdana" w:hAnsi="Verdana"/>
                <w:color w:val="000000"/>
                <w:sz w:val="18"/>
                <w:szCs w:val="18"/>
              </w:rPr>
              <w:t>Actively Managed Certificates (AMCs)</w:t>
            </w:r>
          </w:p>
        </w:tc>
        <w:tc>
          <w:tcPr>
            <w:tcW w:w="1417" w:type="dxa"/>
            <w:vAlign w:val="center"/>
          </w:tcPr>
          <w:p w14:paraId="69C1C2BF" w14:textId="7BC89627" w:rsidR="002C252D" w:rsidRDefault="002C252D" w:rsidP="00ED30AE">
            <w:pPr>
              <w:spacing w:before="40" w:after="40" w:line="320" w:lineRule="atLeast"/>
              <w:jc w:val="center"/>
              <w:rPr>
                <w:rFonts w:ascii="Verdana" w:hAnsi="Verdana"/>
                <w:color w:val="000000"/>
                <w:sz w:val="18"/>
                <w:szCs w:val="18"/>
              </w:rPr>
            </w:pPr>
            <w:r>
              <w:rPr>
                <w:rFonts w:ascii="Verdana" w:hAnsi="Verdana"/>
                <w:color w:val="000000"/>
                <w:sz w:val="18"/>
                <w:szCs w:val="18"/>
              </w:rPr>
              <w:t>-</w:t>
            </w:r>
          </w:p>
        </w:tc>
        <w:tc>
          <w:tcPr>
            <w:tcW w:w="1418" w:type="dxa"/>
            <w:vAlign w:val="center"/>
          </w:tcPr>
          <w:p w14:paraId="4959098E" w14:textId="593545F6" w:rsidR="002C252D" w:rsidRDefault="002C252D" w:rsidP="00ED30AE">
            <w:pPr>
              <w:spacing w:before="40" w:after="40" w:line="32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77D06333" w14:textId="6BC9C881" w:rsidR="002C252D" w:rsidRDefault="002C252D" w:rsidP="00ED30AE">
            <w:pPr>
              <w:spacing w:before="40" w:after="40" w:line="320" w:lineRule="atLeast"/>
              <w:jc w:val="center"/>
              <w:rPr>
                <w:rFonts w:ascii="Verdana" w:hAnsi="Verdana"/>
                <w:color w:val="000000"/>
                <w:sz w:val="18"/>
                <w:szCs w:val="18"/>
              </w:rPr>
            </w:pPr>
            <w:r>
              <w:rPr>
                <w:rFonts w:ascii="Verdana" w:hAnsi="Verdana"/>
                <w:color w:val="000000"/>
                <w:sz w:val="18"/>
                <w:szCs w:val="18"/>
              </w:rPr>
              <w:t>-</w:t>
            </w:r>
          </w:p>
        </w:tc>
        <w:tc>
          <w:tcPr>
            <w:tcW w:w="1418" w:type="dxa"/>
            <w:vAlign w:val="center"/>
          </w:tcPr>
          <w:p w14:paraId="107A9AD5" w14:textId="11B68734" w:rsidR="002C252D" w:rsidRDefault="002C252D" w:rsidP="00ED30AE">
            <w:pPr>
              <w:spacing w:before="40" w:after="40" w:line="320" w:lineRule="atLeast"/>
              <w:jc w:val="center"/>
              <w:rPr>
                <w:rFonts w:ascii="Verdana" w:hAnsi="Verdana"/>
                <w:color w:val="000000"/>
                <w:sz w:val="18"/>
                <w:szCs w:val="18"/>
              </w:rPr>
            </w:pPr>
            <w:r>
              <w:rPr>
                <w:rFonts w:ascii="Verdana" w:hAnsi="Verdana"/>
                <w:color w:val="000000"/>
                <w:sz w:val="18"/>
                <w:szCs w:val="18"/>
              </w:rPr>
              <w:t>22</w:t>
            </w:r>
          </w:p>
        </w:tc>
      </w:tr>
      <w:tr w:rsidR="00ED30AE" w14:paraId="5E6C99D8" w14:textId="77777777" w:rsidTr="002C252D">
        <w:tc>
          <w:tcPr>
            <w:tcW w:w="3969" w:type="dxa"/>
            <w:shd w:val="clear" w:color="auto" w:fill="auto"/>
          </w:tcPr>
          <w:p w14:paraId="3DCA2438" w14:textId="7BFD7FBF" w:rsidR="00ED30AE" w:rsidRPr="00ED30AE" w:rsidRDefault="00ED30AE" w:rsidP="00EB3FA6">
            <w:pPr>
              <w:spacing w:before="40" w:after="40" w:line="320" w:lineRule="atLeast"/>
              <w:rPr>
                <w:rFonts w:ascii="Verdana" w:hAnsi="Verdana"/>
                <w:b/>
                <w:bCs/>
                <w:color w:val="000000"/>
                <w:sz w:val="18"/>
                <w:szCs w:val="18"/>
              </w:rPr>
            </w:pPr>
            <w:r w:rsidRPr="00ED30AE">
              <w:rPr>
                <w:rFonts w:ascii="Verdana" w:hAnsi="Verdana"/>
                <w:b/>
                <w:bCs/>
                <w:color w:val="000000"/>
                <w:sz w:val="18"/>
                <w:szCs w:val="18"/>
              </w:rPr>
              <w:t>Totals</w:t>
            </w:r>
          </w:p>
        </w:tc>
        <w:tc>
          <w:tcPr>
            <w:tcW w:w="1417" w:type="dxa"/>
            <w:vAlign w:val="center"/>
          </w:tcPr>
          <w:p w14:paraId="0EDC5E53" w14:textId="26C1C73D" w:rsidR="00ED30AE" w:rsidRPr="00ED30AE" w:rsidRDefault="00ED30AE" w:rsidP="00ED30AE">
            <w:pPr>
              <w:spacing w:before="40" w:after="40" w:line="320" w:lineRule="atLeast"/>
              <w:jc w:val="center"/>
              <w:rPr>
                <w:rFonts w:ascii="Verdana" w:hAnsi="Verdana"/>
                <w:b/>
                <w:bCs/>
                <w:color w:val="000000"/>
                <w:sz w:val="18"/>
                <w:szCs w:val="18"/>
              </w:rPr>
            </w:pPr>
            <w:r>
              <w:rPr>
                <w:rFonts w:ascii="Verdana" w:hAnsi="Verdana"/>
                <w:b/>
                <w:bCs/>
                <w:color w:val="000000"/>
                <w:sz w:val="18"/>
                <w:szCs w:val="18"/>
              </w:rPr>
              <w:t>102</w:t>
            </w:r>
          </w:p>
        </w:tc>
        <w:tc>
          <w:tcPr>
            <w:tcW w:w="1418" w:type="dxa"/>
            <w:vAlign w:val="center"/>
          </w:tcPr>
          <w:p w14:paraId="371B51CC" w14:textId="3301D3B9" w:rsidR="00ED30AE" w:rsidRPr="00ED30AE" w:rsidRDefault="00ED30AE" w:rsidP="00ED30AE">
            <w:pPr>
              <w:spacing w:before="40" w:after="40" w:line="320" w:lineRule="atLeast"/>
              <w:jc w:val="center"/>
              <w:rPr>
                <w:rFonts w:ascii="Verdana" w:hAnsi="Verdana"/>
                <w:b/>
                <w:bCs/>
                <w:color w:val="000000"/>
                <w:sz w:val="18"/>
                <w:szCs w:val="18"/>
              </w:rPr>
            </w:pPr>
            <w:r>
              <w:rPr>
                <w:rFonts w:ascii="Verdana" w:hAnsi="Verdana"/>
                <w:b/>
                <w:bCs/>
                <w:color w:val="000000"/>
                <w:sz w:val="18"/>
                <w:szCs w:val="18"/>
              </w:rPr>
              <w:t>137</w:t>
            </w:r>
          </w:p>
        </w:tc>
        <w:tc>
          <w:tcPr>
            <w:tcW w:w="1417" w:type="dxa"/>
            <w:vAlign w:val="center"/>
          </w:tcPr>
          <w:p w14:paraId="2E1DC911" w14:textId="1109BE99" w:rsidR="00ED30AE" w:rsidRPr="00ED30AE" w:rsidRDefault="00ED30AE" w:rsidP="00ED30AE">
            <w:pPr>
              <w:spacing w:before="40" w:after="40" w:line="320" w:lineRule="atLeast"/>
              <w:jc w:val="center"/>
              <w:rPr>
                <w:rFonts w:ascii="Verdana" w:hAnsi="Verdana"/>
                <w:b/>
                <w:bCs/>
                <w:color w:val="000000"/>
                <w:sz w:val="18"/>
                <w:szCs w:val="18"/>
              </w:rPr>
            </w:pPr>
            <w:r>
              <w:rPr>
                <w:rFonts w:ascii="Verdana" w:hAnsi="Verdana"/>
                <w:b/>
                <w:bCs/>
                <w:color w:val="000000"/>
                <w:sz w:val="18"/>
                <w:szCs w:val="18"/>
              </w:rPr>
              <w:t>168</w:t>
            </w:r>
          </w:p>
        </w:tc>
        <w:tc>
          <w:tcPr>
            <w:tcW w:w="1418" w:type="dxa"/>
            <w:vAlign w:val="center"/>
          </w:tcPr>
          <w:p w14:paraId="47B74F5E" w14:textId="5E5054C7" w:rsidR="00ED30AE" w:rsidRPr="00ED30AE" w:rsidRDefault="00ED30AE" w:rsidP="00ED30AE">
            <w:pPr>
              <w:spacing w:before="40" w:after="40" w:line="320" w:lineRule="atLeast"/>
              <w:jc w:val="center"/>
              <w:rPr>
                <w:rFonts w:ascii="Verdana" w:hAnsi="Verdana"/>
                <w:b/>
                <w:bCs/>
                <w:color w:val="000000"/>
                <w:sz w:val="18"/>
                <w:szCs w:val="18"/>
              </w:rPr>
            </w:pPr>
            <w:r>
              <w:rPr>
                <w:rFonts w:ascii="Verdana" w:hAnsi="Verdana"/>
                <w:b/>
                <w:bCs/>
                <w:color w:val="000000"/>
                <w:sz w:val="18"/>
                <w:szCs w:val="18"/>
              </w:rPr>
              <w:t>1</w:t>
            </w:r>
            <w:r w:rsidR="002C252D">
              <w:rPr>
                <w:rFonts w:ascii="Verdana" w:hAnsi="Verdana"/>
                <w:b/>
                <w:bCs/>
                <w:color w:val="000000"/>
                <w:sz w:val="18"/>
                <w:szCs w:val="18"/>
              </w:rPr>
              <w:t>83</w:t>
            </w:r>
          </w:p>
        </w:tc>
      </w:tr>
      <w:tr w:rsidR="00BC654E" w:rsidRPr="00BC654E" w14:paraId="5BD5C88F" w14:textId="77777777" w:rsidTr="00477744">
        <w:tc>
          <w:tcPr>
            <w:tcW w:w="9639" w:type="dxa"/>
            <w:gridSpan w:val="5"/>
            <w:shd w:val="clear" w:color="auto" w:fill="auto"/>
          </w:tcPr>
          <w:p w14:paraId="1B064D72" w14:textId="7FCE43E4" w:rsidR="00BC654E" w:rsidRPr="00BC654E" w:rsidRDefault="00BC654E" w:rsidP="00BC654E">
            <w:pPr>
              <w:spacing w:before="40" w:after="40" w:line="240" w:lineRule="auto"/>
              <w:rPr>
                <w:rFonts w:ascii="Verdana" w:hAnsi="Verdana"/>
                <w:i/>
                <w:iCs/>
                <w:color w:val="000000"/>
                <w:sz w:val="18"/>
                <w:szCs w:val="18"/>
              </w:rPr>
            </w:pPr>
            <w:r w:rsidRPr="00BC654E">
              <w:rPr>
                <w:rFonts w:ascii="Verdana" w:hAnsi="Verdana"/>
                <w:i/>
                <w:iCs/>
                <w:color w:val="000000"/>
                <w:sz w:val="18"/>
                <w:szCs w:val="18"/>
              </w:rPr>
              <w:t>Source: etfSA.co.za (Dece</w:t>
            </w:r>
            <w:r>
              <w:rPr>
                <w:rFonts w:ascii="Verdana" w:hAnsi="Verdana"/>
                <w:i/>
                <w:iCs/>
                <w:color w:val="000000"/>
                <w:sz w:val="18"/>
                <w:szCs w:val="18"/>
              </w:rPr>
              <w:t>mber 2022)</w:t>
            </w:r>
          </w:p>
        </w:tc>
      </w:tr>
    </w:tbl>
    <w:p w14:paraId="73AACCD4" w14:textId="5649B8B2" w:rsidR="00ED30AE" w:rsidRDefault="00905468" w:rsidP="00BC654E">
      <w:pPr>
        <w:spacing w:before="240" w:after="0" w:line="340" w:lineRule="atLeast"/>
        <w:jc w:val="both"/>
        <w:rPr>
          <w:rFonts w:ascii="Verdana" w:hAnsi="Verdana"/>
          <w:sz w:val="21"/>
          <w:szCs w:val="21"/>
        </w:rPr>
      </w:pPr>
      <w:r>
        <w:rPr>
          <w:rFonts w:ascii="Verdana" w:hAnsi="Verdana"/>
          <w:sz w:val="21"/>
          <w:szCs w:val="21"/>
        </w:rPr>
        <w:t>Part of the growth in the number of ETP products available to local investors was the introduction by the JSE of two new categories for Exchange Traded Products in October 2022.  These were:</w:t>
      </w:r>
    </w:p>
    <w:p w14:paraId="3FC1AAE1" w14:textId="15D0DF9D" w:rsidR="006666EF" w:rsidRPr="002C05CF" w:rsidRDefault="006666EF" w:rsidP="00BC654E">
      <w:pPr>
        <w:spacing w:after="0" w:line="240" w:lineRule="auto"/>
        <w:jc w:val="both"/>
        <w:rPr>
          <w:rFonts w:ascii="Verdana" w:hAnsi="Verdana"/>
          <w:b/>
          <w:sz w:val="20"/>
          <w:szCs w:val="20"/>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
        <w:gridCol w:w="4820"/>
      </w:tblGrid>
      <w:tr w:rsidR="00905468" w:rsidRPr="00892847" w14:paraId="6807ADCE" w14:textId="77777777" w:rsidTr="00AB320C">
        <w:tc>
          <w:tcPr>
            <w:tcW w:w="4962" w:type="dxa"/>
          </w:tcPr>
          <w:p w14:paraId="04650194" w14:textId="50C700C0" w:rsidR="000A6521" w:rsidRDefault="00905468" w:rsidP="00BC654E">
            <w:pPr>
              <w:spacing w:before="80" w:after="160" w:line="340" w:lineRule="atLeast"/>
              <w:jc w:val="both"/>
              <w:rPr>
                <w:rFonts w:ascii="Verdana" w:hAnsi="Verdana"/>
                <w:sz w:val="21"/>
                <w:szCs w:val="21"/>
              </w:rPr>
            </w:pPr>
            <w:r>
              <w:rPr>
                <w:rFonts w:ascii="Verdana" w:hAnsi="Verdana"/>
                <w:b/>
                <w:bCs/>
                <w:sz w:val="21"/>
                <w:szCs w:val="21"/>
              </w:rPr>
              <w:t>Actively Managed Exchange Traded Funds (AMETFs)</w:t>
            </w:r>
            <w:r>
              <w:rPr>
                <w:rFonts w:ascii="Verdana" w:hAnsi="Verdana"/>
                <w:sz w:val="21"/>
                <w:szCs w:val="21"/>
              </w:rPr>
              <w:t xml:space="preserve"> – these allowed issuers </w:t>
            </w:r>
            <w:r w:rsidR="002C05CF">
              <w:rPr>
                <w:rFonts w:ascii="Verdana" w:hAnsi="Verdana"/>
                <w:sz w:val="21"/>
                <w:szCs w:val="21"/>
              </w:rPr>
              <w:t>and portfolio</w:t>
            </w:r>
            <w:r>
              <w:rPr>
                <w:rFonts w:ascii="Verdana" w:hAnsi="Verdana"/>
                <w:sz w:val="21"/>
                <w:szCs w:val="21"/>
              </w:rPr>
              <w:t xml:space="preserve"> managers to use actively managed strategies to pr</w:t>
            </w:r>
            <w:r w:rsidR="002C05CF">
              <w:rPr>
                <w:rFonts w:ascii="Verdana" w:hAnsi="Verdana"/>
                <w:sz w:val="21"/>
                <w:szCs w:val="21"/>
              </w:rPr>
              <w:t>ovide</w:t>
            </w:r>
            <w:r>
              <w:rPr>
                <w:rFonts w:ascii="Verdana" w:hAnsi="Verdana"/>
                <w:sz w:val="21"/>
                <w:szCs w:val="21"/>
              </w:rPr>
              <w:t xml:space="preserve"> a return for the investor, instead of passively tracking an index, or other type of asset.  The listing requirements for these products require that the manager must publish details of the portfolio constituents and hold these exact assets.  Net Asset Values (NAVs) of the fund have to be published on a regular basis (typically daily).</w:t>
            </w:r>
          </w:p>
          <w:p w14:paraId="0FA14F97" w14:textId="46F9938C" w:rsidR="00905468" w:rsidRPr="00905468" w:rsidRDefault="000A6521" w:rsidP="00BC654E">
            <w:pPr>
              <w:spacing w:before="80" w:after="160" w:line="340" w:lineRule="atLeast"/>
              <w:jc w:val="both"/>
              <w:rPr>
                <w:rFonts w:ascii="Verdana" w:hAnsi="Verdana"/>
                <w:sz w:val="21"/>
                <w:szCs w:val="21"/>
              </w:rPr>
            </w:pPr>
            <w:r>
              <w:rPr>
                <w:rFonts w:ascii="Verdana" w:hAnsi="Verdana"/>
                <w:b/>
                <w:bCs/>
                <w:sz w:val="21"/>
                <w:szCs w:val="21"/>
              </w:rPr>
              <w:t>Actively Managed Certificates (AMCs)</w:t>
            </w:r>
            <w:r>
              <w:rPr>
                <w:rFonts w:ascii="Verdana" w:hAnsi="Verdana"/>
                <w:sz w:val="21"/>
                <w:szCs w:val="21"/>
              </w:rPr>
              <w:t xml:space="preserve"> – these are non-interest paying </w:t>
            </w:r>
            <w:r w:rsidR="002C05CF">
              <w:rPr>
                <w:rFonts w:ascii="Verdana" w:hAnsi="Verdana"/>
                <w:sz w:val="21"/>
                <w:szCs w:val="21"/>
              </w:rPr>
              <w:t xml:space="preserve">debt </w:t>
            </w:r>
            <w:r>
              <w:rPr>
                <w:rFonts w:ascii="Verdana" w:hAnsi="Verdana"/>
                <w:sz w:val="21"/>
                <w:szCs w:val="21"/>
              </w:rPr>
              <w:t xml:space="preserve">instruments - similar to ETNs, where the investor </w:t>
            </w:r>
            <w:r w:rsidR="002C05CF">
              <w:rPr>
                <w:rFonts w:ascii="Verdana" w:hAnsi="Verdana"/>
                <w:sz w:val="21"/>
                <w:szCs w:val="21"/>
              </w:rPr>
              <w:t>a</w:t>
            </w:r>
            <w:r w:rsidR="00BC654E">
              <w:rPr>
                <w:rFonts w:ascii="Verdana" w:hAnsi="Verdana"/>
                <w:sz w:val="21"/>
                <w:szCs w:val="21"/>
              </w:rPr>
              <w:t>cc</w:t>
            </w:r>
            <w:r w:rsidR="002C05CF">
              <w:rPr>
                <w:rFonts w:ascii="Verdana" w:hAnsi="Verdana"/>
                <w:sz w:val="21"/>
                <w:szCs w:val="21"/>
              </w:rPr>
              <w:t>esses</w:t>
            </w:r>
            <w:r>
              <w:rPr>
                <w:rFonts w:ascii="Verdana" w:hAnsi="Verdana"/>
                <w:sz w:val="21"/>
                <w:szCs w:val="21"/>
              </w:rPr>
              <w:t xml:space="preserve"> the performance of a basket of securities that are actively managed according to a specific mandate.  The AMC must reference a </w:t>
            </w:r>
            <w:r w:rsidR="006C4164">
              <w:rPr>
                <w:rFonts w:ascii="Verdana" w:hAnsi="Verdana"/>
                <w:sz w:val="21"/>
                <w:szCs w:val="21"/>
              </w:rPr>
              <w:t>portfolio</w:t>
            </w:r>
            <w:r>
              <w:rPr>
                <w:rFonts w:ascii="Verdana" w:hAnsi="Verdana"/>
                <w:sz w:val="21"/>
                <w:szCs w:val="21"/>
              </w:rPr>
              <w:t xml:space="preserve"> that is actively managed by an independent portfolio manager. </w:t>
            </w:r>
          </w:p>
        </w:tc>
        <w:tc>
          <w:tcPr>
            <w:tcW w:w="283" w:type="dxa"/>
          </w:tcPr>
          <w:p w14:paraId="3A771904" w14:textId="5B21C3D3" w:rsidR="00905468" w:rsidRPr="00892847" w:rsidRDefault="000A6521" w:rsidP="00BC654E">
            <w:pPr>
              <w:spacing w:before="80" w:after="160" w:line="340" w:lineRule="atLeast"/>
              <w:jc w:val="both"/>
              <w:rPr>
                <w:rFonts w:ascii="Verdana" w:hAnsi="Verdana"/>
                <w:sz w:val="21"/>
                <w:szCs w:val="21"/>
              </w:rPr>
            </w:pPr>
            <w:r w:rsidRPr="00C72345">
              <w:rPr>
                <w:rFonts w:ascii="Verdana" w:hAnsi="Verdana"/>
                <w:noProof/>
                <w:sz w:val="21"/>
                <w:szCs w:val="21"/>
              </w:rPr>
              <mc:AlternateContent>
                <mc:Choice Requires="wps">
                  <w:drawing>
                    <wp:anchor distT="0" distB="0" distL="114300" distR="114300" simplePos="0" relativeHeight="251689984" behindDoc="0" locked="0" layoutInCell="1" allowOverlap="1" wp14:anchorId="09A3B81E" wp14:editId="685AA5BF">
                      <wp:simplePos x="0" y="0"/>
                      <wp:positionH relativeFrom="column">
                        <wp:posOffset>31115</wp:posOffset>
                      </wp:positionH>
                      <wp:positionV relativeFrom="paragraph">
                        <wp:posOffset>168910</wp:posOffset>
                      </wp:positionV>
                      <wp:extent cx="31750" cy="4559300"/>
                      <wp:effectExtent l="0" t="0" r="25400" b="31750"/>
                      <wp:wrapNone/>
                      <wp:docPr id="3" name="Straight Connector 3"/>
                      <wp:cNvGraphicFramePr/>
                      <a:graphic xmlns:a="http://schemas.openxmlformats.org/drawingml/2006/main">
                        <a:graphicData uri="http://schemas.microsoft.com/office/word/2010/wordprocessingShape">
                          <wps:wsp>
                            <wps:cNvCnPr/>
                            <wps:spPr>
                              <a:xfrm>
                                <a:off x="0" y="0"/>
                                <a:ext cx="31750" cy="45593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2A8C7" id="Straight Connector 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3.3pt" to="4.95pt,3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" strokecolor="#c00000" strokeweight=".5pt">
                      <v:stroke joinstyle="miter"/>
                    </v:line>
                  </w:pict>
                </mc:Fallback>
              </mc:AlternateContent>
            </w:r>
          </w:p>
        </w:tc>
        <w:tc>
          <w:tcPr>
            <w:tcW w:w="4820" w:type="dxa"/>
          </w:tcPr>
          <w:p w14:paraId="1C507D59" w14:textId="1DD85D08" w:rsidR="000A6521" w:rsidRDefault="000A6521" w:rsidP="00BC654E">
            <w:pPr>
              <w:spacing w:before="80" w:after="160" w:line="340" w:lineRule="atLeast"/>
              <w:jc w:val="both"/>
              <w:rPr>
                <w:rFonts w:ascii="Verdana" w:hAnsi="Verdana"/>
                <w:sz w:val="21"/>
                <w:szCs w:val="21"/>
              </w:rPr>
            </w:pPr>
            <w:r>
              <w:rPr>
                <w:rFonts w:ascii="Verdana" w:hAnsi="Verdana"/>
                <w:sz w:val="21"/>
                <w:szCs w:val="21"/>
              </w:rPr>
              <w:t>The issuer of the AMC l</w:t>
            </w:r>
            <w:r w:rsidR="00B2533D">
              <w:rPr>
                <w:rFonts w:ascii="Verdana" w:hAnsi="Verdana"/>
                <w:sz w:val="21"/>
                <w:szCs w:val="21"/>
              </w:rPr>
              <w:t>end</w:t>
            </w:r>
            <w:r>
              <w:rPr>
                <w:rFonts w:ascii="Verdana" w:hAnsi="Verdana"/>
                <w:sz w:val="21"/>
                <w:szCs w:val="21"/>
              </w:rPr>
              <w:t>s its balance sheet to the product, but the investment performance is delivered by the strategy of the independent portfolio manager.</w:t>
            </w:r>
          </w:p>
          <w:p w14:paraId="6C19C1CF" w14:textId="5C5B2937" w:rsidR="000A6521" w:rsidRDefault="000A6521" w:rsidP="00BC654E">
            <w:pPr>
              <w:spacing w:before="80" w:after="160" w:line="340" w:lineRule="atLeast"/>
              <w:jc w:val="both"/>
              <w:rPr>
                <w:rFonts w:ascii="Verdana" w:hAnsi="Verdana"/>
                <w:sz w:val="21"/>
                <w:szCs w:val="21"/>
              </w:rPr>
            </w:pPr>
            <w:r>
              <w:rPr>
                <w:rFonts w:ascii="Verdana" w:hAnsi="Verdana"/>
                <w:sz w:val="21"/>
                <w:szCs w:val="21"/>
              </w:rPr>
              <w:t xml:space="preserve">AMCs have already gained some </w:t>
            </w:r>
            <w:r w:rsidR="00B2533D">
              <w:rPr>
                <w:rFonts w:ascii="Verdana" w:hAnsi="Verdana"/>
                <w:sz w:val="21"/>
                <w:szCs w:val="21"/>
              </w:rPr>
              <w:t xml:space="preserve">traction </w:t>
            </w:r>
            <w:r>
              <w:rPr>
                <w:rFonts w:ascii="Verdana" w:hAnsi="Verdana"/>
                <w:sz w:val="21"/>
                <w:szCs w:val="21"/>
              </w:rPr>
              <w:t>and there are 22 such products, listed on the JSE, despite this category of the JSE listing requirements only be</w:t>
            </w:r>
            <w:r w:rsidR="00BC654E">
              <w:rPr>
                <w:rFonts w:ascii="Verdana" w:hAnsi="Verdana"/>
                <w:sz w:val="21"/>
                <w:szCs w:val="21"/>
              </w:rPr>
              <w:t>ing</w:t>
            </w:r>
            <w:r>
              <w:rPr>
                <w:rFonts w:ascii="Verdana" w:hAnsi="Verdana"/>
                <w:sz w:val="21"/>
                <w:szCs w:val="21"/>
              </w:rPr>
              <w:t xml:space="preserve"> </w:t>
            </w:r>
            <w:r w:rsidR="00B2533D">
              <w:rPr>
                <w:rFonts w:ascii="Verdana" w:hAnsi="Verdana"/>
                <w:sz w:val="21"/>
                <w:szCs w:val="21"/>
              </w:rPr>
              <w:t>introduced</w:t>
            </w:r>
            <w:r>
              <w:rPr>
                <w:rFonts w:ascii="Verdana" w:hAnsi="Verdana"/>
                <w:sz w:val="21"/>
                <w:szCs w:val="21"/>
              </w:rPr>
              <w:t xml:space="preserve"> in October 202</w:t>
            </w:r>
            <w:r w:rsidR="00B2533D">
              <w:rPr>
                <w:rFonts w:ascii="Verdana" w:hAnsi="Verdana"/>
                <w:sz w:val="21"/>
                <w:szCs w:val="21"/>
              </w:rPr>
              <w:t>2</w:t>
            </w:r>
            <w:r>
              <w:rPr>
                <w:rFonts w:ascii="Verdana" w:hAnsi="Verdana"/>
                <w:sz w:val="21"/>
                <w:szCs w:val="21"/>
              </w:rPr>
              <w:t xml:space="preserve">. </w:t>
            </w:r>
          </w:p>
          <w:p w14:paraId="3CF5AA3A" w14:textId="77777777" w:rsidR="000A6521" w:rsidRDefault="000A6521" w:rsidP="00BC654E">
            <w:pPr>
              <w:spacing w:before="80" w:after="160" w:line="340" w:lineRule="atLeast"/>
              <w:jc w:val="both"/>
              <w:rPr>
                <w:rFonts w:ascii="Verdana" w:hAnsi="Verdana"/>
                <w:sz w:val="21"/>
                <w:szCs w:val="21"/>
              </w:rPr>
            </w:pPr>
            <w:r>
              <w:rPr>
                <w:rFonts w:ascii="Verdana" w:hAnsi="Verdana"/>
                <w:sz w:val="21"/>
                <w:szCs w:val="21"/>
              </w:rPr>
              <w:t xml:space="preserve">The conversion of 14 actively managed ETNs to AMCs by Union Bank of Switzerland, helped get the AMC category off to a flying start.  In addition, UBS have listed 5 new AMCs, all operated by independent asset managers. </w:t>
            </w:r>
          </w:p>
          <w:p w14:paraId="06077B09" w14:textId="1F9AE05C" w:rsidR="000A6521" w:rsidRPr="00905468" w:rsidRDefault="000A6521" w:rsidP="00BC654E">
            <w:pPr>
              <w:spacing w:before="80" w:after="160" w:line="340" w:lineRule="atLeast"/>
              <w:jc w:val="both"/>
              <w:rPr>
                <w:rFonts w:ascii="Verdana" w:hAnsi="Verdana"/>
                <w:sz w:val="21"/>
                <w:szCs w:val="21"/>
              </w:rPr>
            </w:pPr>
            <w:r>
              <w:rPr>
                <w:rFonts w:ascii="Verdana" w:hAnsi="Verdana"/>
                <w:sz w:val="21"/>
                <w:szCs w:val="21"/>
              </w:rPr>
              <w:t xml:space="preserve">Standard Bank have </w:t>
            </w:r>
            <w:r w:rsidR="00B2533D">
              <w:rPr>
                <w:rFonts w:ascii="Verdana" w:hAnsi="Verdana"/>
                <w:sz w:val="21"/>
                <w:szCs w:val="21"/>
              </w:rPr>
              <w:t xml:space="preserve">also </w:t>
            </w:r>
            <w:r>
              <w:rPr>
                <w:rFonts w:ascii="Verdana" w:hAnsi="Verdana"/>
                <w:sz w:val="21"/>
                <w:szCs w:val="21"/>
              </w:rPr>
              <w:t xml:space="preserve">recently listed 3 AMCs, all with different portfolio managers. </w:t>
            </w:r>
          </w:p>
        </w:tc>
      </w:tr>
    </w:tbl>
    <w:p w14:paraId="79A07EBE" w14:textId="108DC3B4" w:rsidR="000A6521" w:rsidRDefault="000A6521" w:rsidP="00BC654E">
      <w:pPr>
        <w:spacing w:before="80" w:after="80" w:line="340" w:lineRule="atLeast"/>
        <w:jc w:val="both"/>
        <w:rPr>
          <w:rFonts w:ascii="Verdana" w:hAnsi="Verdana"/>
          <w:b/>
          <w:color w:val="C00000"/>
          <w:sz w:val="24"/>
          <w:szCs w:val="24"/>
        </w:rPr>
      </w:pPr>
      <w:r>
        <w:rPr>
          <w:rFonts w:ascii="Verdana" w:hAnsi="Verdana"/>
          <w:sz w:val="21"/>
          <w:szCs w:val="21"/>
        </w:rPr>
        <w:t xml:space="preserve">The continued growth in the number of ETPs that are listing on the JSE, particularly now that actively managed portfolios are also accommodated as </w:t>
      </w:r>
      <w:r w:rsidR="00BC654E">
        <w:rPr>
          <w:rFonts w:ascii="Verdana" w:hAnsi="Verdana"/>
          <w:sz w:val="21"/>
          <w:szCs w:val="21"/>
        </w:rPr>
        <w:t>E</w:t>
      </w:r>
      <w:r>
        <w:rPr>
          <w:rFonts w:ascii="Verdana" w:hAnsi="Verdana"/>
          <w:sz w:val="21"/>
          <w:szCs w:val="21"/>
        </w:rPr>
        <w:t xml:space="preserve">xchange </w:t>
      </w:r>
      <w:r w:rsidR="00BC654E">
        <w:rPr>
          <w:rFonts w:ascii="Verdana" w:hAnsi="Verdana"/>
          <w:sz w:val="21"/>
          <w:szCs w:val="21"/>
        </w:rPr>
        <w:t>T</w:t>
      </w:r>
      <w:r>
        <w:rPr>
          <w:rFonts w:ascii="Verdana" w:hAnsi="Verdana"/>
          <w:sz w:val="21"/>
          <w:szCs w:val="21"/>
        </w:rPr>
        <w:t xml:space="preserve">raded </w:t>
      </w:r>
      <w:r w:rsidR="00BC654E">
        <w:rPr>
          <w:rFonts w:ascii="Verdana" w:hAnsi="Verdana"/>
          <w:sz w:val="21"/>
          <w:szCs w:val="21"/>
        </w:rPr>
        <w:t>P</w:t>
      </w:r>
      <w:r>
        <w:rPr>
          <w:rFonts w:ascii="Verdana" w:hAnsi="Verdana"/>
          <w:sz w:val="21"/>
          <w:szCs w:val="21"/>
        </w:rPr>
        <w:t>roducts, indicates that the listing of index tracking and portfolio products is finding increasing favour with local investors.  Further expansion of the number a</w:t>
      </w:r>
      <w:r w:rsidR="00B2533D">
        <w:rPr>
          <w:rFonts w:ascii="Verdana" w:hAnsi="Verdana"/>
          <w:sz w:val="21"/>
          <w:szCs w:val="21"/>
        </w:rPr>
        <w:t>n</w:t>
      </w:r>
      <w:r>
        <w:rPr>
          <w:rFonts w:ascii="Verdana" w:hAnsi="Verdana"/>
          <w:sz w:val="21"/>
          <w:szCs w:val="21"/>
        </w:rPr>
        <w:t xml:space="preserve">d variety of </w:t>
      </w:r>
      <w:r w:rsidR="00BC654E">
        <w:rPr>
          <w:rFonts w:ascii="Verdana" w:hAnsi="Verdana"/>
          <w:sz w:val="21"/>
          <w:szCs w:val="21"/>
        </w:rPr>
        <w:t>E</w:t>
      </w:r>
      <w:r>
        <w:rPr>
          <w:rFonts w:ascii="Verdana" w:hAnsi="Verdana"/>
          <w:sz w:val="21"/>
          <w:szCs w:val="21"/>
        </w:rPr>
        <w:t>xchange listed products can be expected</w:t>
      </w:r>
      <w:r w:rsidR="00B2533D">
        <w:rPr>
          <w:rFonts w:ascii="Verdana" w:hAnsi="Verdana"/>
          <w:sz w:val="21"/>
          <w:szCs w:val="21"/>
        </w:rPr>
        <w:t xml:space="preserve"> in future</w:t>
      </w:r>
      <w:r>
        <w:rPr>
          <w:rFonts w:ascii="Verdana" w:hAnsi="Verdana"/>
          <w:sz w:val="21"/>
          <w:szCs w:val="21"/>
        </w:rPr>
        <w:t xml:space="preserve">. </w:t>
      </w:r>
      <w:r>
        <w:rPr>
          <w:rFonts w:ascii="Verdana" w:hAnsi="Verdana"/>
          <w:b/>
          <w:color w:val="C00000"/>
          <w:sz w:val="24"/>
          <w:szCs w:val="24"/>
        </w:rPr>
        <w:br w:type="page"/>
      </w:r>
    </w:p>
    <w:p w14:paraId="4DB1A2E1" w14:textId="77777777" w:rsidR="00227D20" w:rsidRPr="00C72A43" w:rsidRDefault="00227D20" w:rsidP="00C72A43">
      <w:pPr>
        <w:spacing w:after="0" w:line="240" w:lineRule="auto"/>
        <w:jc w:val="both"/>
        <w:rPr>
          <w:rFonts w:ascii="Verdana" w:hAnsi="Verdana"/>
          <w:b/>
          <w:color w:val="C00000"/>
          <w:sz w:val="16"/>
          <w:szCs w:val="16"/>
        </w:rPr>
      </w:pPr>
    </w:p>
    <w:p w14:paraId="0F2A783F" w14:textId="60AF132D" w:rsidR="004F60D3" w:rsidRPr="0012529E" w:rsidRDefault="004F60D3" w:rsidP="0012529E">
      <w:pPr>
        <w:spacing w:after="0" w:line="240" w:lineRule="auto"/>
        <w:jc w:val="center"/>
        <w:rPr>
          <w:rFonts w:ascii="Verdana" w:hAnsi="Verdana"/>
          <w:b/>
          <w:caps/>
          <w:color w:val="C00000"/>
          <w:sz w:val="24"/>
          <w:szCs w:val="24"/>
        </w:rPr>
      </w:pPr>
      <w:r w:rsidRPr="0012529E">
        <w:rPr>
          <w:rFonts w:ascii="Verdana" w:hAnsi="Verdana"/>
          <w:b/>
          <w:caps/>
          <w:color w:val="C00000"/>
          <w:sz w:val="24"/>
          <w:szCs w:val="24"/>
        </w:rPr>
        <w:t>New Capital Raised</w:t>
      </w:r>
      <w:r w:rsidR="00F8317A">
        <w:rPr>
          <w:rFonts w:ascii="Verdana" w:hAnsi="Verdana"/>
          <w:b/>
          <w:caps/>
          <w:color w:val="C00000"/>
          <w:sz w:val="24"/>
          <w:szCs w:val="24"/>
        </w:rPr>
        <w:t xml:space="preserve"> </w:t>
      </w:r>
      <w:r w:rsidR="005F3966">
        <w:rPr>
          <w:rFonts w:ascii="Verdana" w:hAnsi="Verdana"/>
          <w:b/>
          <w:caps/>
          <w:color w:val="C00000"/>
          <w:sz w:val="24"/>
          <w:szCs w:val="24"/>
        </w:rPr>
        <w:t>-</w:t>
      </w:r>
      <w:r w:rsidR="00F8317A">
        <w:rPr>
          <w:rFonts w:ascii="Verdana" w:hAnsi="Verdana"/>
          <w:b/>
          <w:caps/>
          <w:color w:val="C00000"/>
          <w:sz w:val="24"/>
          <w:szCs w:val="24"/>
        </w:rPr>
        <w:t xml:space="preserve"> ISSUING HOUSES</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
        <w:gridCol w:w="4820"/>
      </w:tblGrid>
      <w:tr w:rsidR="00892847" w:rsidRPr="00C72345" w14:paraId="254E5817" w14:textId="77777777" w:rsidTr="005269C6">
        <w:tc>
          <w:tcPr>
            <w:tcW w:w="4962" w:type="dxa"/>
          </w:tcPr>
          <w:p w14:paraId="65176C81" w14:textId="1DF96C8C" w:rsidR="00CD73C2" w:rsidRDefault="0012529E" w:rsidP="00C72A43">
            <w:pPr>
              <w:spacing w:before="80" w:after="160" w:line="340" w:lineRule="atLeast"/>
              <w:jc w:val="both"/>
              <w:rPr>
                <w:rFonts w:ascii="Verdana" w:hAnsi="Verdana"/>
                <w:sz w:val="21"/>
                <w:szCs w:val="21"/>
              </w:rPr>
            </w:pPr>
            <w:r>
              <w:rPr>
                <w:rFonts w:ascii="Verdana" w:hAnsi="Verdana"/>
                <w:sz w:val="21"/>
                <w:szCs w:val="21"/>
              </w:rPr>
              <w:t>In addition to the increase in the number of ETPs listed on the JSE, there was also an increase in the net capital raised by the ETP issuers, either through IPO listings of new products, or fr</w:t>
            </w:r>
            <w:r w:rsidR="00F8317A">
              <w:rPr>
                <w:rFonts w:ascii="Verdana" w:hAnsi="Verdana"/>
                <w:sz w:val="21"/>
                <w:szCs w:val="21"/>
              </w:rPr>
              <w:t>om</w:t>
            </w:r>
            <w:r>
              <w:rPr>
                <w:rFonts w:ascii="Verdana" w:hAnsi="Verdana"/>
                <w:sz w:val="21"/>
                <w:szCs w:val="21"/>
              </w:rPr>
              <w:t xml:space="preserve"> further issues of ETPs already listed on the Exchange.  All Exchange Traded Products are open-ended, w</w:t>
            </w:r>
            <w:r w:rsidR="00B42190">
              <w:rPr>
                <w:rFonts w:ascii="Verdana" w:hAnsi="Verdana"/>
                <w:sz w:val="21"/>
                <w:szCs w:val="21"/>
              </w:rPr>
              <w:t>hich</w:t>
            </w:r>
            <w:r>
              <w:rPr>
                <w:rFonts w:ascii="Verdana" w:hAnsi="Verdana"/>
                <w:sz w:val="21"/>
                <w:szCs w:val="21"/>
              </w:rPr>
              <w:t xml:space="preserve"> enables securities to be listed or delisted on t</w:t>
            </w:r>
            <w:r w:rsidR="00B42190">
              <w:rPr>
                <w:rFonts w:ascii="Verdana" w:hAnsi="Verdana"/>
                <w:sz w:val="21"/>
                <w:szCs w:val="21"/>
              </w:rPr>
              <w:t>h</w:t>
            </w:r>
            <w:r>
              <w:rPr>
                <w:rFonts w:ascii="Verdana" w:hAnsi="Verdana"/>
                <w:sz w:val="21"/>
                <w:szCs w:val="21"/>
              </w:rPr>
              <w:t xml:space="preserve">e JSE, in order to cater for market demands for the products.  This open-ended nature of exchange traded products ensures that the ETFs, ETNs and AMCs trade at their net asset value and not at discounts or premiums due to excess market demand for the product. </w:t>
            </w:r>
          </w:p>
          <w:p w14:paraId="7532BB2D" w14:textId="75B62646" w:rsidR="0012529E" w:rsidRPr="00D04BC6" w:rsidRDefault="0012529E" w:rsidP="00C72A43">
            <w:pPr>
              <w:spacing w:before="80" w:after="160" w:line="340" w:lineRule="atLeast"/>
              <w:jc w:val="both"/>
              <w:rPr>
                <w:rFonts w:ascii="Verdana" w:hAnsi="Verdana"/>
                <w:sz w:val="21"/>
                <w:szCs w:val="21"/>
              </w:rPr>
            </w:pPr>
            <w:r>
              <w:rPr>
                <w:rFonts w:ascii="Verdana" w:hAnsi="Verdana"/>
                <w:sz w:val="21"/>
                <w:szCs w:val="21"/>
              </w:rPr>
              <w:t xml:space="preserve">The capital raising by the ETP issuers had two distinct outcomes.  </w:t>
            </w:r>
          </w:p>
        </w:tc>
        <w:tc>
          <w:tcPr>
            <w:tcW w:w="283" w:type="dxa"/>
          </w:tcPr>
          <w:p w14:paraId="3643B113" w14:textId="1FFF3838" w:rsidR="00892847" w:rsidRPr="00892847" w:rsidRDefault="00892847" w:rsidP="00C72A43">
            <w:pPr>
              <w:spacing w:before="80" w:after="160" w:line="340" w:lineRule="atLeast"/>
              <w:jc w:val="both"/>
              <w:rPr>
                <w:rFonts w:ascii="Verdana" w:hAnsi="Verdana"/>
                <w:sz w:val="21"/>
                <w:szCs w:val="21"/>
              </w:rPr>
            </w:pPr>
            <w:r w:rsidRPr="00C72345">
              <w:rPr>
                <w:rFonts w:ascii="Verdana" w:hAnsi="Verdana"/>
                <w:noProof/>
                <w:sz w:val="21"/>
                <w:szCs w:val="21"/>
              </w:rPr>
              <mc:AlternateContent>
                <mc:Choice Requires="wps">
                  <w:drawing>
                    <wp:anchor distT="0" distB="0" distL="114300" distR="114300" simplePos="0" relativeHeight="251685888" behindDoc="0" locked="0" layoutInCell="1" allowOverlap="1" wp14:anchorId="1D1C7704" wp14:editId="29DF8079">
                      <wp:simplePos x="0" y="0"/>
                      <wp:positionH relativeFrom="column">
                        <wp:posOffset>37465</wp:posOffset>
                      </wp:positionH>
                      <wp:positionV relativeFrom="paragraph">
                        <wp:posOffset>173355</wp:posOffset>
                      </wp:positionV>
                      <wp:extent cx="6350" cy="3886200"/>
                      <wp:effectExtent l="0" t="0" r="31750" b="19050"/>
                      <wp:wrapNone/>
                      <wp:docPr id="10" name="Straight Connector 10"/>
                      <wp:cNvGraphicFramePr/>
                      <a:graphic xmlns:a="http://schemas.openxmlformats.org/drawingml/2006/main">
                        <a:graphicData uri="http://schemas.microsoft.com/office/word/2010/wordprocessingShape">
                          <wps:wsp>
                            <wps:cNvCnPr/>
                            <wps:spPr>
                              <a:xfrm>
                                <a:off x="0" y="0"/>
                                <a:ext cx="6350" cy="38862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E7715" id="Straight Connector 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13.65pt" to="3.45pt,3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" strokecolor="#c00000" strokeweight=".5pt">
                      <v:stroke joinstyle="miter"/>
                    </v:line>
                  </w:pict>
                </mc:Fallback>
              </mc:AlternateContent>
            </w:r>
          </w:p>
        </w:tc>
        <w:tc>
          <w:tcPr>
            <w:tcW w:w="4820" w:type="dxa"/>
          </w:tcPr>
          <w:p w14:paraId="2E44E37F" w14:textId="35468F49" w:rsidR="00B42190" w:rsidRDefault="00B42190" w:rsidP="00C72A43">
            <w:pPr>
              <w:spacing w:before="80" w:after="160" w:line="340" w:lineRule="atLeast"/>
              <w:jc w:val="both"/>
              <w:rPr>
                <w:rFonts w:ascii="Verdana" w:hAnsi="Verdana"/>
                <w:sz w:val="21"/>
                <w:szCs w:val="21"/>
              </w:rPr>
            </w:pPr>
            <w:r>
              <w:rPr>
                <w:rFonts w:ascii="Verdana" w:hAnsi="Verdana"/>
                <w:sz w:val="21"/>
                <w:szCs w:val="21"/>
              </w:rPr>
              <w:t xml:space="preserve">Some ETP issuing houses , namely Satrix, Sygnia Itrix and CoreShares, consistently raised new capital </w:t>
            </w:r>
            <w:r w:rsidR="00F8317A">
              <w:rPr>
                <w:rFonts w:ascii="Verdana" w:hAnsi="Verdana"/>
                <w:sz w:val="21"/>
                <w:szCs w:val="21"/>
              </w:rPr>
              <w:t xml:space="preserve">mainly </w:t>
            </w:r>
            <w:r>
              <w:rPr>
                <w:rFonts w:ascii="Verdana" w:hAnsi="Verdana"/>
                <w:sz w:val="21"/>
                <w:szCs w:val="21"/>
              </w:rPr>
              <w:t>by additional issues of ETPs already listed on the JSE, to meet market demand for their particular products.  The issue of AMCs later in the year by Union Bank of Switzerland and Standard Bank, also brought new capital into the market.</w:t>
            </w:r>
          </w:p>
          <w:p w14:paraId="685523E1" w14:textId="412D1873" w:rsidR="00B42190" w:rsidRPr="00892847" w:rsidRDefault="00B42190" w:rsidP="00C72A43">
            <w:pPr>
              <w:spacing w:before="80" w:after="160" w:line="340" w:lineRule="atLeast"/>
              <w:jc w:val="both"/>
              <w:rPr>
                <w:rFonts w:ascii="Verdana" w:hAnsi="Verdana"/>
                <w:sz w:val="21"/>
                <w:szCs w:val="21"/>
              </w:rPr>
            </w:pPr>
            <w:r>
              <w:rPr>
                <w:rFonts w:ascii="Verdana" w:hAnsi="Verdana"/>
                <w:sz w:val="21"/>
                <w:szCs w:val="21"/>
              </w:rPr>
              <w:t xml:space="preserve">These positive capital </w:t>
            </w:r>
            <w:r w:rsidR="00F8317A">
              <w:rPr>
                <w:rFonts w:ascii="Verdana" w:hAnsi="Verdana"/>
                <w:sz w:val="21"/>
                <w:szCs w:val="21"/>
              </w:rPr>
              <w:t xml:space="preserve">gains </w:t>
            </w:r>
            <w:r>
              <w:rPr>
                <w:rFonts w:ascii="Verdana" w:hAnsi="Verdana"/>
                <w:sz w:val="21"/>
                <w:szCs w:val="21"/>
              </w:rPr>
              <w:t>were largely offset by delisting of ETPs by the issuers of commodity backed ETPs, namely Absa Capital, under the NewGold brand and by Standard Bank</w:t>
            </w:r>
            <w:r w:rsidR="00F8317A">
              <w:rPr>
                <w:rFonts w:ascii="Verdana" w:hAnsi="Verdana"/>
                <w:sz w:val="21"/>
                <w:szCs w:val="21"/>
              </w:rPr>
              <w:t>, under the 1nvest brand</w:t>
            </w:r>
            <w:r>
              <w:rPr>
                <w:rFonts w:ascii="Verdana" w:hAnsi="Verdana"/>
                <w:sz w:val="21"/>
                <w:szCs w:val="21"/>
              </w:rPr>
              <w:t xml:space="preserve">.  Also, Investec </w:t>
            </w:r>
            <w:r w:rsidR="00C72A43">
              <w:rPr>
                <w:rFonts w:ascii="Verdana" w:hAnsi="Verdana"/>
                <w:sz w:val="21"/>
                <w:szCs w:val="21"/>
              </w:rPr>
              <w:t>Capital</w:t>
            </w:r>
            <w:r>
              <w:rPr>
                <w:rFonts w:ascii="Verdana" w:hAnsi="Verdana"/>
                <w:sz w:val="21"/>
                <w:szCs w:val="21"/>
              </w:rPr>
              <w:t xml:space="preserve"> delisted its two ETNs covering the JSE Top 40 and SWIX Top 40 indices, as these notes reached their maturity date. </w:t>
            </w:r>
          </w:p>
        </w:tc>
      </w:tr>
    </w:tbl>
    <w:p w14:paraId="0751233E" w14:textId="47525F10" w:rsidR="00227D20" w:rsidRDefault="00B42190" w:rsidP="00F8317A">
      <w:pPr>
        <w:spacing w:after="0" w:line="320" w:lineRule="atLeast"/>
        <w:rPr>
          <w:rFonts w:ascii="Verdana" w:hAnsi="Verdana"/>
          <w:color w:val="000000"/>
          <w:sz w:val="21"/>
          <w:szCs w:val="21"/>
        </w:rPr>
      </w:pPr>
      <w:r>
        <w:rPr>
          <w:rFonts w:ascii="Verdana" w:hAnsi="Verdana"/>
          <w:sz w:val="21"/>
          <w:szCs w:val="21"/>
        </w:rPr>
        <w:t xml:space="preserve">As shown in Table </w:t>
      </w:r>
      <w:r w:rsidR="00F8317A">
        <w:rPr>
          <w:rFonts w:ascii="Verdana" w:hAnsi="Verdana"/>
          <w:sz w:val="21"/>
          <w:szCs w:val="21"/>
        </w:rPr>
        <w:t>B</w:t>
      </w:r>
      <w:r>
        <w:rPr>
          <w:rFonts w:ascii="Verdana" w:hAnsi="Verdana"/>
          <w:sz w:val="21"/>
          <w:szCs w:val="21"/>
        </w:rPr>
        <w:t xml:space="preserve">, the overall impact was for a net R1 281,7 million new capital being attracted into the industry. </w:t>
      </w:r>
    </w:p>
    <w:p w14:paraId="6F06752B" w14:textId="4AD36E51" w:rsidR="00290F56" w:rsidRDefault="00290F56" w:rsidP="00F8317A">
      <w:pPr>
        <w:spacing w:after="0" w:line="320" w:lineRule="atLeast"/>
        <w:rPr>
          <w:rFonts w:ascii="Verdana" w:hAnsi="Verdana"/>
          <w:b/>
          <w:bCs/>
          <w:color w:val="000000"/>
          <w:sz w:val="21"/>
          <w:szCs w:val="21"/>
        </w:rPr>
      </w:pPr>
    </w:p>
    <w:p w14:paraId="2C3C0373" w14:textId="633579B6" w:rsidR="00B42190" w:rsidRPr="00B42190" w:rsidRDefault="00B42190" w:rsidP="00F8317A">
      <w:pPr>
        <w:spacing w:after="120" w:line="320" w:lineRule="atLeast"/>
        <w:rPr>
          <w:rFonts w:ascii="Verdana" w:hAnsi="Verdana"/>
          <w:b/>
          <w:bCs/>
          <w:color w:val="000000"/>
          <w:sz w:val="21"/>
          <w:szCs w:val="21"/>
        </w:rPr>
      </w:pPr>
      <w:r w:rsidRPr="00B42190">
        <w:rPr>
          <w:rFonts w:ascii="Verdana" w:hAnsi="Verdana"/>
          <w:b/>
          <w:bCs/>
          <w:color w:val="000000"/>
          <w:sz w:val="21"/>
          <w:szCs w:val="21"/>
        </w:rPr>
        <w:t xml:space="preserve">Table </w:t>
      </w:r>
      <w:r w:rsidR="00F8317A">
        <w:rPr>
          <w:rFonts w:ascii="Verdana" w:hAnsi="Verdana"/>
          <w:b/>
          <w:bCs/>
          <w:color w:val="000000"/>
          <w:sz w:val="21"/>
          <w:szCs w:val="21"/>
        </w:rPr>
        <w:t>B</w:t>
      </w:r>
    </w:p>
    <w:tbl>
      <w:tblPr>
        <w:tblW w:w="765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3"/>
        <w:gridCol w:w="1843"/>
      </w:tblGrid>
      <w:tr w:rsidR="004F60D3" w:rsidRPr="00AB6CBE" w14:paraId="374698FD" w14:textId="77777777" w:rsidTr="006666EF">
        <w:tc>
          <w:tcPr>
            <w:tcW w:w="7654" w:type="dxa"/>
            <w:gridSpan w:val="3"/>
            <w:shd w:val="clear" w:color="auto" w:fill="C00000"/>
          </w:tcPr>
          <w:p w14:paraId="5C8361AA" w14:textId="070C4642" w:rsidR="001D53A8" w:rsidRPr="003B4F95" w:rsidRDefault="00C72A43" w:rsidP="00C72A43">
            <w:pPr>
              <w:spacing w:before="40" w:after="40" w:line="300" w:lineRule="atLeast"/>
              <w:jc w:val="center"/>
              <w:rPr>
                <w:rFonts w:ascii="Verdana" w:hAnsi="Verdana"/>
                <w:b/>
                <w:color w:val="FFFFFF"/>
                <w:sz w:val="18"/>
                <w:szCs w:val="18"/>
              </w:rPr>
            </w:pPr>
            <w:r>
              <w:rPr>
                <w:rFonts w:ascii="Verdana" w:hAnsi="Verdana"/>
                <w:b/>
                <w:color w:val="FFFFFF"/>
                <w:sz w:val="18"/>
                <w:szCs w:val="18"/>
              </w:rPr>
              <w:t xml:space="preserve">Net </w:t>
            </w:r>
            <w:r w:rsidR="004F60D3">
              <w:rPr>
                <w:rFonts w:ascii="Verdana" w:hAnsi="Verdana"/>
                <w:b/>
                <w:color w:val="FFFFFF"/>
                <w:sz w:val="18"/>
                <w:szCs w:val="18"/>
              </w:rPr>
              <w:t xml:space="preserve">New Capital Raised / </w:t>
            </w:r>
            <w:r>
              <w:rPr>
                <w:rFonts w:ascii="Verdana" w:hAnsi="Verdana"/>
                <w:b/>
                <w:color w:val="FFFFFF"/>
                <w:sz w:val="18"/>
                <w:szCs w:val="18"/>
              </w:rPr>
              <w:t>(</w:t>
            </w:r>
            <w:r w:rsidR="004F60D3">
              <w:rPr>
                <w:rFonts w:ascii="Verdana" w:hAnsi="Verdana"/>
                <w:b/>
                <w:color w:val="FFFFFF"/>
                <w:sz w:val="18"/>
                <w:szCs w:val="18"/>
              </w:rPr>
              <w:t>Redeemed</w:t>
            </w:r>
            <w:r>
              <w:rPr>
                <w:rFonts w:ascii="Verdana" w:hAnsi="Verdana"/>
                <w:b/>
                <w:color w:val="FFFFFF"/>
                <w:sz w:val="18"/>
                <w:szCs w:val="18"/>
              </w:rPr>
              <w:t>)</w:t>
            </w:r>
            <w:r w:rsidR="001D53A8">
              <w:rPr>
                <w:rFonts w:ascii="Verdana" w:hAnsi="Verdana"/>
                <w:b/>
                <w:color w:val="FFFFFF"/>
                <w:sz w:val="18"/>
                <w:szCs w:val="18"/>
              </w:rPr>
              <w:t xml:space="preserve"> - South African ETP</w:t>
            </w:r>
            <w:r w:rsidR="004F60D3">
              <w:rPr>
                <w:rFonts w:ascii="Verdana" w:hAnsi="Verdana"/>
                <w:b/>
                <w:color w:val="FFFFFF"/>
                <w:sz w:val="18"/>
                <w:szCs w:val="18"/>
              </w:rPr>
              <w:t xml:space="preserve"> Issuing House</w:t>
            </w:r>
            <w:r w:rsidR="001D53A8">
              <w:rPr>
                <w:rFonts w:ascii="Verdana" w:hAnsi="Verdana"/>
                <w:b/>
                <w:color w:val="FFFFFF"/>
                <w:sz w:val="18"/>
                <w:szCs w:val="18"/>
              </w:rPr>
              <w:t>s</w:t>
            </w:r>
            <w:r>
              <w:rPr>
                <w:rFonts w:ascii="Verdana" w:hAnsi="Verdana"/>
                <w:b/>
                <w:color w:val="FFFFFF"/>
                <w:sz w:val="18"/>
                <w:szCs w:val="18"/>
              </w:rPr>
              <w:t xml:space="preserve"> - </w:t>
            </w:r>
            <w:r w:rsidR="001D53A8">
              <w:rPr>
                <w:rFonts w:ascii="Verdana" w:hAnsi="Verdana"/>
                <w:b/>
                <w:color w:val="FFFFFF"/>
                <w:sz w:val="18"/>
                <w:szCs w:val="18"/>
              </w:rPr>
              <w:t>2022</w:t>
            </w:r>
          </w:p>
        </w:tc>
      </w:tr>
      <w:tr w:rsidR="004F60D3" w:rsidRPr="00AB6CBE" w14:paraId="5703AD4C" w14:textId="77777777" w:rsidTr="00C72A43">
        <w:trPr>
          <w:trHeight w:val="360"/>
        </w:trPr>
        <w:tc>
          <w:tcPr>
            <w:tcW w:w="5811" w:type="dxa"/>
            <w:gridSpan w:val="2"/>
            <w:shd w:val="clear" w:color="auto" w:fill="4C4C4C"/>
          </w:tcPr>
          <w:p w14:paraId="2A6800C5" w14:textId="127D1062" w:rsidR="004F60D3" w:rsidRPr="003B4F95" w:rsidRDefault="004F60D3" w:rsidP="00C12C3D">
            <w:pPr>
              <w:spacing w:before="40" w:after="40" w:line="300" w:lineRule="atLeast"/>
              <w:rPr>
                <w:rFonts w:ascii="Verdana" w:hAnsi="Verdana"/>
                <w:b/>
                <w:color w:val="FFFFFF"/>
                <w:sz w:val="18"/>
                <w:szCs w:val="18"/>
              </w:rPr>
            </w:pPr>
            <w:r>
              <w:rPr>
                <w:rFonts w:ascii="Verdana" w:hAnsi="Verdana"/>
                <w:b/>
                <w:color w:val="FFFFFF"/>
                <w:sz w:val="18"/>
                <w:szCs w:val="18"/>
              </w:rPr>
              <w:t xml:space="preserve">Issuing </w:t>
            </w:r>
            <w:r w:rsidR="001D53A8">
              <w:rPr>
                <w:rFonts w:ascii="Verdana" w:hAnsi="Verdana"/>
                <w:b/>
                <w:color w:val="FFFFFF"/>
                <w:sz w:val="18"/>
                <w:szCs w:val="18"/>
              </w:rPr>
              <w:t>House</w:t>
            </w:r>
          </w:p>
        </w:tc>
        <w:tc>
          <w:tcPr>
            <w:tcW w:w="1843" w:type="dxa"/>
            <w:shd w:val="clear" w:color="auto" w:fill="4C4C4C"/>
            <w:vAlign w:val="center"/>
          </w:tcPr>
          <w:p w14:paraId="72F25DC1" w14:textId="211D93B5" w:rsidR="004F60D3" w:rsidRPr="003B4F95" w:rsidRDefault="001D53A8" w:rsidP="00C12C3D">
            <w:pPr>
              <w:spacing w:before="40" w:after="40" w:line="300" w:lineRule="atLeast"/>
              <w:jc w:val="right"/>
              <w:rPr>
                <w:rFonts w:ascii="Verdana" w:hAnsi="Verdana"/>
                <w:b/>
                <w:color w:val="FFFFFF"/>
                <w:sz w:val="18"/>
                <w:szCs w:val="18"/>
              </w:rPr>
            </w:pPr>
            <w:r>
              <w:rPr>
                <w:rFonts w:ascii="Verdana" w:hAnsi="Verdana"/>
                <w:b/>
                <w:color w:val="FFFFFF"/>
                <w:sz w:val="18"/>
                <w:szCs w:val="18"/>
              </w:rPr>
              <w:t xml:space="preserve">Total Capital </w:t>
            </w:r>
            <w:r w:rsidR="004F60D3">
              <w:rPr>
                <w:rFonts w:ascii="Verdana" w:hAnsi="Verdana"/>
                <w:b/>
                <w:color w:val="FFFFFF"/>
                <w:sz w:val="18"/>
                <w:szCs w:val="18"/>
              </w:rPr>
              <w:t>(R million)</w:t>
            </w:r>
          </w:p>
        </w:tc>
      </w:tr>
      <w:tr w:rsidR="00C72A43" w:rsidRPr="00AB6CBE" w14:paraId="3223E5DF" w14:textId="77777777" w:rsidTr="00C72A43">
        <w:tc>
          <w:tcPr>
            <w:tcW w:w="708" w:type="dxa"/>
            <w:shd w:val="clear" w:color="auto" w:fill="auto"/>
          </w:tcPr>
          <w:p w14:paraId="18474ADB" w14:textId="77777777" w:rsidR="00C72A43" w:rsidRPr="00DD1C15" w:rsidRDefault="00C72A43" w:rsidP="00C72A43">
            <w:pPr>
              <w:pStyle w:val="ListParagraph"/>
              <w:numPr>
                <w:ilvl w:val="0"/>
                <w:numId w:val="21"/>
              </w:numPr>
              <w:spacing w:before="40" w:after="40" w:line="280" w:lineRule="atLeast"/>
              <w:ind w:left="357" w:hanging="357"/>
              <w:rPr>
                <w:rFonts w:ascii="Verdana" w:hAnsi="Verdana"/>
                <w:color w:val="000000"/>
                <w:sz w:val="18"/>
                <w:szCs w:val="18"/>
              </w:rPr>
            </w:pPr>
          </w:p>
        </w:tc>
        <w:tc>
          <w:tcPr>
            <w:tcW w:w="5103" w:type="dxa"/>
            <w:shd w:val="clear" w:color="auto" w:fill="auto"/>
          </w:tcPr>
          <w:p w14:paraId="020F720E" w14:textId="3826ED14" w:rsidR="00C72A43" w:rsidRDefault="00C72A43" w:rsidP="00C72A43">
            <w:pPr>
              <w:spacing w:before="40" w:after="40" w:line="280" w:lineRule="atLeast"/>
              <w:rPr>
                <w:rFonts w:ascii="Verdana" w:hAnsi="Verdana"/>
                <w:color w:val="000000"/>
                <w:sz w:val="18"/>
                <w:szCs w:val="18"/>
              </w:rPr>
            </w:pPr>
            <w:r>
              <w:rPr>
                <w:rFonts w:ascii="Verdana" w:hAnsi="Verdana"/>
                <w:color w:val="000000"/>
                <w:sz w:val="18"/>
                <w:szCs w:val="18"/>
              </w:rPr>
              <w:t>Satrix Managers (ETFs)</w:t>
            </w:r>
          </w:p>
        </w:tc>
        <w:tc>
          <w:tcPr>
            <w:tcW w:w="1843" w:type="dxa"/>
            <w:vAlign w:val="center"/>
          </w:tcPr>
          <w:p w14:paraId="259722EF" w14:textId="5BFC16AF" w:rsidR="00C72A43" w:rsidRDefault="00C72A43" w:rsidP="00C72A43">
            <w:pPr>
              <w:spacing w:before="40" w:after="40" w:line="280" w:lineRule="atLeast"/>
              <w:jc w:val="right"/>
              <w:rPr>
                <w:rFonts w:ascii="Verdana" w:hAnsi="Verdana"/>
                <w:color w:val="000000"/>
                <w:sz w:val="18"/>
                <w:szCs w:val="18"/>
              </w:rPr>
            </w:pPr>
            <w:r>
              <w:rPr>
                <w:rFonts w:ascii="Verdana" w:hAnsi="Verdana"/>
                <w:color w:val="000000"/>
                <w:sz w:val="18"/>
                <w:szCs w:val="18"/>
              </w:rPr>
              <w:t>3 271,9</w:t>
            </w:r>
          </w:p>
        </w:tc>
      </w:tr>
      <w:tr w:rsidR="00227D20" w:rsidRPr="00AB6CBE" w14:paraId="7A009D60" w14:textId="77777777" w:rsidTr="00C72A43">
        <w:tc>
          <w:tcPr>
            <w:tcW w:w="708" w:type="dxa"/>
            <w:shd w:val="clear" w:color="auto" w:fill="auto"/>
          </w:tcPr>
          <w:p w14:paraId="5D288FEC" w14:textId="77777777" w:rsidR="00227D20" w:rsidRPr="00DD1C15" w:rsidRDefault="00227D20" w:rsidP="00C72A43">
            <w:pPr>
              <w:pStyle w:val="ListParagraph"/>
              <w:numPr>
                <w:ilvl w:val="0"/>
                <w:numId w:val="21"/>
              </w:numPr>
              <w:spacing w:before="40" w:after="40" w:line="280" w:lineRule="atLeast"/>
              <w:ind w:left="357" w:hanging="357"/>
              <w:rPr>
                <w:rFonts w:ascii="Verdana" w:hAnsi="Verdana"/>
                <w:color w:val="000000"/>
                <w:sz w:val="18"/>
                <w:szCs w:val="18"/>
              </w:rPr>
            </w:pPr>
          </w:p>
        </w:tc>
        <w:tc>
          <w:tcPr>
            <w:tcW w:w="5103" w:type="dxa"/>
            <w:shd w:val="clear" w:color="auto" w:fill="auto"/>
          </w:tcPr>
          <w:p w14:paraId="782627DF" w14:textId="295FD4A2" w:rsidR="00227D20" w:rsidRDefault="00227D20" w:rsidP="00C72A43">
            <w:pPr>
              <w:spacing w:before="40" w:after="40" w:line="280" w:lineRule="atLeast"/>
              <w:rPr>
                <w:rFonts w:ascii="Verdana" w:hAnsi="Verdana"/>
                <w:color w:val="000000"/>
                <w:sz w:val="18"/>
                <w:szCs w:val="18"/>
              </w:rPr>
            </w:pPr>
            <w:r>
              <w:rPr>
                <w:rFonts w:ascii="Verdana" w:hAnsi="Verdana"/>
                <w:color w:val="000000"/>
                <w:sz w:val="18"/>
                <w:szCs w:val="18"/>
              </w:rPr>
              <w:t>Sygnia Itrix (ETFs)</w:t>
            </w:r>
          </w:p>
        </w:tc>
        <w:tc>
          <w:tcPr>
            <w:tcW w:w="1843" w:type="dxa"/>
            <w:vAlign w:val="center"/>
          </w:tcPr>
          <w:p w14:paraId="6AD49FBA" w14:textId="6DF10E51" w:rsidR="00227D20" w:rsidRDefault="00C72A43" w:rsidP="00C72A43">
            <w:pPr>
              <w:spacing w:before="40" w:after="40" w:line="280" w:lineRule="atLeast"/>
              <w:jc w:val="right"/>
              <w:rPr>
                <w:rFonts w:ascii="Verdana" w:hAnsi="Verdana"/>
                <w:color w:val="000000"/>
                <w:sz w:val="18"/>
                <w:szCs w:val="18"/>
              </w:rPr>
            </w:pPr>
            <w:r>
              <w:rPr>
                <w:rFonts w:ascii="Verdana" w:hAnsi="Verdana"/>
                <w:color w:val="000000"/>
                <w:sz w:val="18"/>
                <w:szCs w:val="18"/>
              </w:rPr>
              <w:t>3 229,6</w:t>
            </w:r>
          </w:p>
        </w:tc>
      </w:tr>
      <w:tr w:rsidR="001118CB" w:rsidRPr="00AB6CBE" w14:paraId="01CC63DD" w14:textId="77777777" w:rsidTr="00C72A43">
        <w:tc>
          <w:tcPr>
            <w:tcW w:w="708" w:type="dxa"/>
            <w:shd w:val="clear" w:color="auto" w:fill="auto"/>
          </w:tcPr>
          <w:p w14:paraId="23B0DFDA" w14:textId="77777777" w:rsidR="001118CB" w:rsidRPr="00DD1C15" w:rsidRDefault="001118CB" w:rsidP="00C72A43">
            <w:pPr>
              <w:pStyle w:val="ListParagraph"/>
              <w:numPr>
                <w:ilvl w:val="0"/>
                <w:numId w:val="21"/>
              </w:numPr>
              <w:spacing w:before="40" w:after="40" w:line="280" w:lineRule="atLeast"/>
              <w:ind w:left="357" w:hanging="357"/>
              <w:rPr>
                <w:rFonts w:ascii="Verdana" w:hAnsi="Verdana"/>
                <w:color w:val="000000"/>
                <w:sz w:val="18"/>
                <w:szCs w:val="18"/>
              </w:rPr>
            </w:pPr>
          </w:p>
        </w:tc>
        <w:tc>
          <w:tcPr>
            <w:tcW w:w="5103" w:type="dxa"/>
            <w:shd w:val="clear" w:color="auto" w:fill="auto"/>
          </w:tcPr>
          <w:p w14:paraId="538884A9" w14:textId="764901A4" w:rsidR="001118CB" w:rsidRDefault="001118CB" w:rsidP="00C72A43">
            <w:pPr>
              <w:spacing w:before="40" w:after="40" w:line="280" w:lineRule="atLeast"/>
              <w:rPr>
                <w:rFonts w:ascii="Verdana" w:hAnsi="Verdana"/>
                <w:color w:val="000000"/>
                <w:sz w:val="18"/>
                <w:szCs w:val="18"/>
              </w:rPr>
            </w:pPr>
            <w:r>
              <w:rPr>
                <w:rFonts w:ascii="Verdana" w:hAnsi="Verdana"/>
                <w:color w:val="000000"/>
                <w:sz w:val="18"/>
                <w:szCs w:val="18"/>
              </w:rPr>
              <w:t>CoreShares (ETFs)</w:t>
            </w:r>
          </w:p>
        </w:tc>
        <w:tc>
          <w:tcPr>
            <w:tcW w:w="1843" w:type="dxa"/>
            <w:vAlign w:val="center"/>
          </w:tcPr>
          <w:p w14:paraId="375638C3" w14:textId="2C2E98C8" w:rsidR="001118CB" w:rsidRDefault="00C72A43" w:rsidP="00C72A43">
            <w:pPr>
              <w:spacing w:before="40" w:after="40" w:line="280" w:lineRule="atLeast"/>
              <w:jc w:val="right"/>
              <w:rPr>
                <w:rFonts w:ascii="Verdana" w:hAnsi="Verdana"/>
                <w:color w:val="000000"/>
                <w:sz w:val="18"/>
                <w:szCs w:val="18"/>
              </w:rPr>
            </w:pPr>
            <w:r>
              <w:rPr>
                <w:rFonts w:ascii="Verdana" w:hAnsi="Verdana"/>
                <w:color w:val="000000"/>
                <w:sz w:val="18"/>
                <w:szCs w:val="18"/>
              </w:rPr>
              <w:t>1 261,1</w:t>
            </w:r>
          </w:p>
        </w:tc>
      </w:tr>
      <w:tr w:rsidR="00C72A43" w:rsidRPr="00AB6CBE" w14:paraId="0FD2AD27" w14:textId="77777777" w:rsidTr="00C72A43">
        <w:tc>
          <w:tcPr>
            <w:tcW w:w="708" w:type="dxa"/>
            <w:shd w:val="clear" w:color="auto" w:fill="auto"/>
          </w:tcPr>
          <w:p w14:paraId="766293D2" w14:textId="77777777" w:rsidR="00C72A43" w:rsidRPr="00DD1C15" w:rsidRDefault="00C72A43" w:rsidP="00C72A43">
            <w:pPr>
              <w:pStyle w:val="ListParagraph"/>
              <w:numPr>
                <w:ilvl w:val="0"/>
                <w:numId w:val="21"/>
              </w:numPr>
              <w:spacing w:before="40" w:after="40" w:line="280" w:lineRule="atLeast"/>
              <w:ind w:left="357" w:hanging="357"/>
              <w:rPr>
                <w:rFonts w:ascii="Verdana" w:hAnsi="Verdana"/>
                <w:color w:val="000000"/>
                <w:sz w:val="18"/>
                <w:szCs w:val="18"/>
              </w:rPr>
            </w:pPr>
          </w:p>
        </w:tc>
        <w:tc>
          <w:tcPr>
            <w:tcW w:w="5103" w:type="dxa"/>
            <w:shd w:val="clear" w:color="auto" w:fill="auto"/>
          </w:tcPr>
          <w:p w14:paraId="3ECDD839" w14:textId="21C4D74B" w:rsidR="00C72A43" w:rsidRDefault="00C72A43" w:rsidP="00C72A43">
            <w:pPr>
              <w:spacing w:before="40" w:after="40" w:line="280" w:lineRule="atLeast"/>
              <w:rPr>
                <w:rFonts w:ascii="Verdana" w:hAnsi="Verdana"/>
                <w:color w:val="000000"/>
                <w:sz w:val="18"/>
                <w:szCs w:val="18"/>
              </w:rPr>
            </w:pPr>
            <w:r>
              <w:rPr>
                <w:rFonts w:ascii="Verdana" w:hAnsi="Verdana"/>
                <w:color w:val="000000"/>
                <w:sz w:val="18"/>
                <w:szCs w:val="18"/>
              </w:rPr>
              <w:t>Union Bank of Switzerland (AMCs)</w:t>
            </w:r>
          </w:p>
        </w:tc>
        <w:tc>
          <w:tcPr>
            <w:tcW w:w="1843" w:type="dxa"/>
            <w:vAlign w:val="center"/>
          </w:tcPr>
          <w:p w14:paraId="79ECE323" w14:textId="0851A409" w:rsidR="00C72A43" w:rsidRDefault="00C72A43" w:rsidP="00C72A43">
            <w:pPr>
              <w:spacing w:before="40" w:after="40" w:line="280" w:lineRule="atLeast"/>
              <w:jc w:val="right"/>
              <w:rPr>
                <w:rFonts w:ascii="Verdana" w:hAnsi="Verdana"/>
                <w:color w:val="000000"/>
                <w:sz w:val="18"/>
                <w:szCs w:val="18"/>
              </w:rPr>
            </w:pPr>
            <w:r>
              <w:rPr>
                <w:rFonts w:ascii="Verdana" w:hAnsi="Verdana"/>
                <w:color w:val="000000"/>
                <w:sz w:val="18"/>
                <w:szCs w:val="18"/>
              </w:rPr>
              <w:t>525,0</w:t>
            </w:r>
          </w:p>
        </w:tc>
      </w:tr>
      <w:tr w:rsidR="001118CB" w:rsidRPr="00AB6CBE" w14:paraId="6F58AECD" w14:textId="77777777" w:rsidTr="00C72A43">
        <w:tc>
          <w:tcPr>
            <w:tcW w:w="708" w:type="dxa"/>
            <w:shd w:val="clear" w:color="auto" w:fill="auto"/>
          </w:tcPr>
          <w:p w14:paraId="39033FAD" w14:textId="77777777" w:rsidR="001118CB" w:rsidRPr="00DD1C15" w:rsidRDefault="001118CB" w:rsidP="00C72A43">
            <w:pPr>
              <w:pStyle w:val="ListParagraph"/>
              <w:numPr>
                <w:ilvl w:val="0"/>
                <w:numId w:val="21"/>
              </w:numPr>
              <w:spacing w:before="40" w:after="40" w:line="280" w:lineRule="atLeast"/>
              <w:ind w:left="357" w:hanging="357"/>
              <w:rPr>
                <w:rFonts w:ascii="Verdana" w:hAnsi="Verdana"/>
                <w:color w:val="000000"/>
                <w:sz w:val="18"/>
                <w:szCs w:val="18"/>
              </w:rPr>
            </w:pPr>
          </w:p>
        </w:tc>
        <w:tc>
          <w:tcPr>
            <w:tcW w:w="5103" w:type="dxa"/>
            <w:shd w:val="clear" w:color="auto" w:fill="auto"/>
          </w:tcPr>
          <w:p w14:paraId="4CAE9A1A" w14:textId="443E149C" w:rsidR="001118CB" w:rsidRDefault="00C72A43" w:rsidP="00C72A43">
            <w:pPr>
              <w:spacing w:before="40" w:after="40" w:line="280" w:lineRule="atLeast"/>
              <w:rPr>
                <w:rFonts w:ascii="Verdana" w:hAnsi="Verdana"/>
                <w:color w:val="000000"/>
                <w:sz w:val="18"/>
                <w:szCs w:val="18"/>
              </w:rPr>
            </w:pPr>
            <w:r>
              <w:rPr>
                <w:rFonts w:ascii="Verdana" w:hAnsi="Verdana"/>
                <w:color w:val="000000"/>
                <w:sz w:val="18"/>
                <w:szCs w:val="18"/>
              </w:rPr>
              <w:t>Standard Bank</w:t>
            </w:r>
            <w:r w:rsidR="001118CB">
              <w:rPr>
                <w:rFonts w:ascii="Verdana" w:hAnsi="Verdana"/>
                <w:color w:val="000000"/>
                <w:sz w:val="18"/>
                <w:szCs w:val="18"/>
              </w:rPr>
              <w:t xml:space="preserve"> (</w:t>
            </w:r>
            <w:r>
              <w:rPr>
                <w:rFonts w:ascii="Verdana" w:hAnsi="Verdana"/>
                <w:color w:val="000000"/>
                <w:sz w:val="18"/>
                <w:szCs w:val="18"/>
              </w:rPr>
              <w:t>AMC</w:t>
            </w:r>
            <w:r w:rsidR="001118CB">
              <w:rPr>
                <w:rFonts w:ascii="Verdana" w:hAnsi="Verdana"/>
                <w:color w:val="000000"/>
                <w:sz w:val="18"/>
                <w:szCs w:val="18"/>
              </w:rPr>
              <w:t>s)</w:t>
            </w:r>
          </w:p>
        </w:tc>
        <w:tc>
          <w:tcPr>
            <w:tcW w:w="1843" w:type="dxa"/>
            <w:vAlign w:val="center"/>
          </w:tcPr>
          <w:p w14:paraId="615AB182" w14:textId="5A13F275" w:rsidR="001118CB" w:rsidRDefault="00C72A43" w:rsidP="00C72A43">
            <w:pPr>
              <w:spacing w:before="40" w:after="40" w:line="280" w:lineRule="atLeast"/>
              <w:jc w:val="right"/>
              <w:rPr>
                <w:rFonts w:ascii="Verdana" w:hAnsi="Verdana"/>
                <w:color w:val="000000"/>
                <w:sz w:val="18"/>
                <w:szCs w:val="18"/>
              </w:rPr>
            </w:pPr>
            <w:r>
              <w:rPr>
                <w:rFonts w:ascii="Verdana" w:hAnsi="Verdana"/>
                <w:color w:val="000000"/>
                <w:sz w:val="18"/>
                <w:szCs w:val="18"/>
              </w:rPr>
              <w:t>300,0</w:t>
            </w:r>
          </w:p>
        </w:tc>
      </w:tr>
      <w:tr w:rsidR="001118CB" w:rsidRPr="00AB6CBE" w14:paraId="0331B35F" w14:textId="77777777" w:rsidTr="00C72A43">
        <w:tc>
          <w:tcPr>
            <w:tcW w:w="708" w:type="dxa"/>
            <w:shd w:val="clear" w:color="auto" w:fill="auto"/>
          </w:tcPr>
          <w:p w14:paraId="52C7CDE6" w14:textId="77777777" w:rsidR="001118CB" w:rsidRPr="00DD1C15" w:rsidRDefault="001118CB" w:rsidP="00C72A43">
            <w:pPr>
              <w:pStyle w:val="ListParagraph"/>
              <w:numPr>
                <w:ilvl w:val="0"/>
                <w:numId w:val="21"/>
              </w:numPr>
              <w:spacing w:before="40" w:after="40" w:line="280" w:lineRule="atLeast"/>
              <w:ind w:left="357" w:hanging="357"/>
              <w:rPr>
                <w:rFonts w:ascii="Verdana" w:hAnsi="Verdana"/>
                <w:color w:val="000000"/>
                <w:sz w:val="18"/>
                <w:szCs w:val="18"/>
              </w:rPr>
            </w:pPr>
          </w:p>
        </w:tc>
        <w:tc>
          <w:tcPr>
            <w:tcW w:w="5103" w:type="dxa"/>
            <w:shd w:val="clear" w:color="auto" w:fill="auto"/>
          </w:tcPr>
          <w:p w14:paraId="5632D27C" w14:textId="2F21E559" w:rsidR="001118CB" w:rsidRDefault="001118CB" w:rsidP="00C72A43">
            <w:pPr>
              <w:spacing w:before="40" w:after="40" w:line="280" w:lineRule="atLeast"/>
              <w:rPr>
                <w:rFonts w:ascii="Verdana" w:hAnsi="Verdana"/>
                <w:color w:val="000000"/>
                <w:sz w:val="18"/>
                <w:szCs w:val="18"/>
              </w:rPr>
            </w:pPr>
            <w:r>
              <w:rPr>
                <w:rFonts w:ascii="Verdana" w:hAnsi="Verdana"/>
                <w:color w:val="000000"/>
                <w:sz w:val="18"/>
                <w:szCs w:val="18"/>
              </w:rPr>
              <w:t>FNB (ET</w:t>
            </w:r>
            <w:r w:rsidR="00C72A43">
              <w:rPr>
                <w:rFonts w:ascii="Verdana" w:hAnsi="Verdana"/>
                <w:color w:val="000000"/>
                <w:sz w:val="18"/>
                <w:szCs w:val="18"/>
              </w:rPr>
              <w:t>F</w:t>
            </w:r>
            <w:r>
              <w:rPr>
                <w:rFonts w:ascii="Verdana" w:hAnsi="Verdana"/>
                <w:color w:val="000000"/>
                <w:sz w:val="18"/>
                <w:szCs w:val="18"/>
              </w:rPr>
              <w:t>s)</w:t>
            </w:r>
          </w:p>
        </w:tc>
        <w:tc>
          <w:tcPr>
            <w:tcW w:w="1843" w:type="dxa"/>
            <w:vAlign w:val="center"/>
          </w:tcPr>
          <w:p w14:paraId="76C1C865" w14:textId="3F05F264" w:rsidR="001118CB" w:rsidRDefault="00C72A43" w:rsidP="00C72A43">
            <w:pPr>
              <w:spacing w:before="40" w:after="40" w:line="280" w:lineRule="atLeast"/>
              <w:jc w:val="right"/>
              <w:rPr>
                <w:rFonts w:ascii="Verdana" w:hAnsi="Verdana"/>
                <w:color w:val="000000"/>
                <w:sz w:val="18"/>
                <w:szCs w:val="18"/>
              </w:rPr>
            </w:pPr>
            <w:r>
              <w:rPr>
                <w:rFonts w:ascii="Verdana" w:hAnsi="Verdana"/>
                <w:color w:val="000000"/>
                <w:sz w:val="18"/>
                <w:szCs w:val="18"/>
              </w:rPr>
              <w:t>234,1</w:t>
            </w:r>
          </w:p>
        </w:tc>
      </w:tr>
      <w:tr w:rsidR="00C72A43" w:rsidRPr="00AB6CBE" w14:paraId="77CF19AC" w14:textId="77777777" w:rsidTr="00C72A43">
        <w:tc>
          <w:tcPr>
            <w:tcW w:w="708" w:type="dxa"/>
            <w:shd w:val="clear" w:color="auto" w:fill="auto"/>
          </w:tcPr>
          <w:p w14:paraId="2CBC87E0" w14:textId="77777777" w:rsidR="00C72A43" w:rsidRPr="00DD1C15" w:rsidRDefault="00C72A43" w:rsidP="00C72A43">
            <w:pPr>
              <w:pStyle w:val="ListParagraph"/>
              <w:numPr>
                <w:ilvl w:val="0"/>
                <w:numId w:val="21"/>
              </w:numPr>
              <w:spacing w:before="40" w:after="40" w:line="280" w:lineRule="atLeast"/>
              <w:ind w:left="357" w:hanging="357"/>
              <w:rPr>
                <w:rFonts w:ascii="Verdana" w:hAnsi="Verdana"/>
                <w:color w:val="000000"/>
                <w:sz w:val="18"/>
                <w:szCs w:val="18"/>
              </w:rPr>
            </w:pPr>
          </w:p>
        </w:tc>
        <w:tc>
          <w:tcPr>
            <w:tcW w:w="5103" w:type="dxa"/>
            <w:shd w:val="clear" w:color="auto" w:fill="auto"/>
          </w:tcPr>
          <w:p w14:paraId="57B56AD3" w14:textId="6567DD15" w:rsidR="00C72A43" w:rsidRDefault="00C72A43" w:rsidP="00C72A43">
            <w:pPr>
              <w:spacing w:before="40" w:after="40" w:line="280" w:lineRule="atLeast"/>
              <w:rPr>
                <w:rFonts w:ascii="Verdana" w:hAnsi="Verdana"/>
                <w:color w:val="000000"/>
                <w:sz w:val="18"/>
                <w:szCs w:val="18"/>
              </w:rPr>
            </w:pPr>
            <w:r>
              <w:rPr>
                <w:rFonts w:ascii="Verdana" w:hAnsi="Verdana"/>
                <w:color w:val="000000"/>
                <w:sz w:val="18"/>
                <w:szCs w:val="18"/>
              </w:rPr>
              <w:t>FNB (ETNs)</w:t>
            </w:r>
          </w:p>
        </w:tc>
        <w:tc>
          <w:tcPr>
            <w:tcW w:w="1843" w:type="dxa"/>
            <w:vAlign w:val="center"/>
          </w:tcPr>
          <w:p w14:paraId="65D0014F" w14:textId="437958BD" w:rsidR="00C72A43" w:rsidRDefault="00C72A43" w:rsidP="00C72A43">
            <w:pPr>
              <w:spacing w:before="40" w:after="40" w:line="280" w:lineRule="atLeast"/>
              <w:jc w:val="right"/>
              <w:rPr>
                <w:rFonts w:ascii="Verdana" w:hAnsi="Verdana"/>
                <w:color w:val="000000"/>
                <w:sz w:val="18"/>
                <w:szCs w:val="18"/>
              </w:rPr>
            </w:pPr>
            <w:r>
              <w:rPr>
                <w:rFonts w:ascii="Verdana" w:hAnsi="Verdana"/>
                <w:color w:val="000000"/>
                <w:sz w:val="18"/>
                <w:szCs w:val="18"/>
              </w:rPr>
              <w:t>200,0</w:t>
            </w:r>
          </w:p>
        </w:tc>
      </w:tr>
      <w:tr w:rsidR="001118CB" w:rsidRPr="00AB6CBE" w14:paraId="033417FA" w14:textId="77777777" w:rsidTr="00C72A43">
        <w:tc>
          <w:tcPr>
            <w:tcW w:w="708" w:type="dxa"/>
            <w:shd w:val="clear" w:color="auto" w:fill="auto"/>
          </w:tcPr>
          <w:p w14:paraId="6986F1F2" w14:textId="77777777" w:rsidR="001118CB" w:rsidRPr="00DD1C15" w:rsidRDefault="001118CB" w:rsidP="00C72A43">
            <w:pPr>
              <w:pStyle w:val="ListParagraph"/>
              <w:numPr>
                <w:ilvl w:val="0"/>
                <w:numId w:val="21"/>
              </w:numPr>
              <w:spacing w:before="40" w:after="40" w:line="280" w:lineRule="atLeast"/>
              <w:ind w:left="357" w:hanging="357"/>
              <w:rPr>
                <w:rFonts w:ascii="Verdana" w:hAnsi="Verdana"/>
                <w:color w:val="000000"/>
                <w:sz w:val="18"/>
                <w:szCs w:val="18"/>
              </w:rPr>
            </w:pPr>
          </w:p>
        </w:tc>
        <w:tc>
          <w:tcPr>
            <w:tcW w:w="5103" w:type="dxa"/>
            <w:shd w:val="clear" w:color="auto" w:fill="auto"/>
          </w:tcPr>
          <w:p w14:paraId="78FCB145" w14:textId="70E2C833" w:rsidR="001118CB" w:rsidRDefault="001118CB" w:rsidP="00C72A43">
            <w:pPr>
              <w:spacing w:before="40" w:after="40" w:line="280" w:lineRule="atLeast"/>
              <w:rPr>
                <w:rFonts w:ascii="Verdana" w:hAnsi="Verdana"/>
                <w:color w:val="000000"/>
                <w:sz w:val="18"/>
                <w:szCs w:val="18"/>
              </w:rPr>
            </w:pPr>
            <w:r>
              <w:rPr>
                <w:rFonts w:ascii="Verdana" w:hAnsi="Verdana"/>
                <w:color w:val="000000"/>
                <w:sz w:val="18"/>
                <w:szCs w:val="18"/>
              </w:rPr>
              <w:t>Cloud Atlas (ETFs)</w:t>
            </w:r>
          </w:p>
        </w:tc>
        <w:tc>
          <w:tcPr>
            <w:tcW w:w="1843" w:type="dxa"/>
            <w:vAlign w:val="center"/>
          </w:tcPr>
          <w:p w14:paraId="11299489" w14:textId="146B207E" w:rsidR="001118CB" w:rsidRDefault="00C72A43" w:rsidP="00C72A43">
            <w:pPr>
              <w:spacing w:before="40" w:after="40" w:line="280" w:lineRule="atLeast"/>
              <w:jc w:val="right"/>
              <w:rPr>
                <w:rFonts w:ascii="Verdana" w:hAnsi="Verdana"/>
                <w:color w:val="000000"/>
                <w:sz w:val="18"/>
                <w:szCs w:val="18"/>
              </w:rPr>
            </w:pPr>
            <w:r>
              <w:rPr>
                <w:rFonts w:ascii="Verdana" w:hAnsi="Verdana"/>
                <w:color w:val="000000"/>
                <w:sz w:val="18"/>
                <w:szCs w:val="18"/>
              </w:rPr>
              <w:t>0,3</w:t>
            </w:r>
          </w:p>
        </w:tc>
      </w:tr>
      <w:tr w:rsidR="00C72A43" w:rsidRPr="00AB6CBE" w14:paraId="75F458D1" w14:textId="77777777" w:rsidTr="00C72A43">
        <w:tc>
          <w:tcPr>
            <w:tcW w:w="708" w:type="dxa"/>
            <w:shd w:val="clear" w:color="auto" w:fill="auto"/>
          </w:tcPr>
          <w:p w14:paraId="5424D5D5" w14:textId="77777777" w:rsidR="00C72A43" w:rsidRPr="00DD1C15" w:rsidRDefault="00C72A43" w:rsidP="00C72A43">
            <w:pPr>
              <w:pStyle w:val="ListParagraph"/>
              <w:numPr>
                <w:ilvl w:val="0"/>
                <w:numId w:val="21"/>
              </w:numPr>
              <w:spacing w:before="40" w:after="40" w:line="280" w:lineRule="atLeast"/>
              <w:ind w:left="357" w:hanging="357"/>
              <w:rPr>
                <w:rFonts w:ascii="Verdana" w:hAnsi="Verdana"/>
                <w:color w:val="000000"/>
                <w:sz w:val="18"/>
                <w:szCs w:val="18"/>
              </w:rPr>
            </w:pPr>
          </w:p>
        </w:tc>
        <w:tc>
          <w:tcPr>
            <w:tcW w:w="5103" w:type="dxa"/>
            <w:shd w:val="clear" w:color="auto" w:fill="auto"/>
          </w:tcPr>
          <w:p w14:paraId="242C380E" w14:textId="1AD457D6" w:rsidR="00C72A43" w:rsidRDefault="00C72A43" w:rsidP="00C72A43">
            <w:pPr>
              <w:spacing w:before="40" w:after="40" w:line="280" w:lineRule="atLeast"/>
              <w:rPr>
                <w:rFonts w:ascii="Verdana" w:hAnsi="Verdana"/>
                <w:color w:val="000000"/>
                <w:sz w:val="18"/>
                <w:szCs w:val="18"/>
              </w:rPr>
            </w:pPr>
            <w:r>
              <w:rPr>
                <w:rFonts w:ascii="Verdana" w:hAnsi="Verdana"/>
                <w:color w:val="000000"/>
                <w:sz w:val="18"/>
                <w:szCs w:val="18"/>
              </w:rPr>
              <w:t>Absa Capital (NewWave ETNs)</w:t>
            </w:r>
          </w:p>
        </w:tc>
        <w:tc>
          <w:tcPr>
            <w:tcW w:w="1843" w:type="dxa"/>
            <w:vAlign w:val="center"/>
          </w:tcPr>
          <w:p w14:paraId="4F6F253C" w14:textId="1224E8A5" w:rsidR="00C72A43" w:rsidRDefault="00C72A43" w:rsidP="00C72A43">
            <w:pPr>
              <w:spacing w:before="40" w:after="40" w:line="280" w:lineRule="atLeast"/>
              <w:jc w:val="right"/>
              <w:rPr>
                <w:rFonts w:ascii="Verdana" w:hAnsi="Verdana"/>
                <w:color w:val="000000"/>
                <w:sz w:val="18"/>
                <w:szCs w:val="18"/>
              </w:rPr>
            </w:pPr>
            <w:r>
              <w:rPr>
                <w:rFonts w:ascii="Verdana" w:hAnsi="Verdana"/>
                <w:color w:val="000000"/>
                <w:sz w:val="18"/>
                <w:szCs w:val="18"/>
              </w:rPr>
              <w:t>(227,9)</w:t>
            </w:r>
          </w:p>
        </w:tc>
      </w:tr>
      <w:tr w:rsidR="001118CB" w:rsidRPr="00AB6CBE" w14:paraId="16D91074" w14:textId="77777777" w:rsidTr="00C72A43">
        <w:tc>
          <w:tcPr>
            <w:tcW w:w="708" w:type="dxa"/>
            <w:shd w:val="clear" w:color="auto" w:fill="auto"/>
          </w:tcPr>
          <w:p w14:paraId="045BDB9F" w14:textId="77777777" w:rsidR="001118CB" w:rsidRPr="00DD1C15" w:rsidRDefault="001118CB" w:rsidP="00C72A43">
            <w:pPr>
              <w:pStyle w:val="ListParagraph"/>
              <w:numPr>
                <w:ilvl w:val="0"/>
                <w:numId w:val="21"/>
              </w:numPr>
              <w:spacing w:before="40" w:after="40" w:line="280" w:lineRule="atLeast"/>
              <w:ind w:left="357" w:hanging="357"/>
              <w:rPr>
                <w:rFonts w:ascii="Verdana" w:hAnsi="Verdana"/>
                <w:color w:val="000000"/>
                <w:sz w:val="18"/>
                <w:szCs w:val="18"/>
              </w:rPr>
            </w:pPr>
          </w:p>
        </w:tc>
        <w:tc>
          <w:tcPr>
            <w:tcW w:w="5103" w:type="dxa"/>
            <w:shd w:val="clear" w:color="auto" w:fill="auto"/>
          </w:tcPr>
          <w:p w14:paraId="53050D8C" w14:textId="38278DE9" w:rsidR="001118CB" w:rsidRDefault="001118CB" w:rsidP="00C72A43">
            <w:pPr>
              <w:spacing w:before="40" w:after="40" w:line="280" w:lineRule="atLeast"/>
              <w:rPr>
                <w:rFonts w:ascii="Verdana" w:hAnsi="Verdana"/>
                <w:color w:val="000000"/>
                <w:sz w:val="18"/>
                <w:szCs w:val="18"/>
              </w:rPr>
            </w:pPr>
            <w:r>
              <w:rPr>
                <w:rFonts w:ascii="Verdana" w:hAnsi="Verdana"/>
                <w:color w:val="000000"/>
                <w:sz w:val="18"/>
                <w:szCs w:val="18"/>
              </w:rPr>
              <w:t>1nvest (ETFs)</w:t>
            </w:r>
          </w:p>
        </w:tc>
        <w:tc>
          <w:tcPr>
            <w:tcW w:w="1843" w:type="dxa"/>
            <w:vAlign w:val="center"/>
          </w:tcPr>
          <w:p w14:paraId="03E582D6" w14:textId="089CEB86" w:rsidR="001118CB" w:rsidRDefault="00C72A43" w:rsidP="00C72A43">
            <w:pPr>
              <w:spacing w:before="40" w:after="40" w:line="280" w:lineRule="atLeast"/>
              <w:jc w:val="right"/>
              <w:rPr>
                <w:rFonts w:ascii="Verdana" w:hAnsi="Verdana"/>
                <w:color w:val="000000"/>
                <w:sz w:val="18"/>
                <w:szCs w:val="18"/>
              </w:rPr>
            </w:pPr>
            <w:r>
              <w:rPr>
                <w:rFonts w:ascii="Verdana" w:hAnsi="Verdana"/>
                <w:color w:val="000000"/>
                <w:sz w:val="18"/>
                <w:szCs w:val="18"/>
              </w:rPr>
              <w:t>(1 673,4)</w:t>
            </w:r>
          </w:p>
        </w:tc>
      </w:tr>
      <w:tr w:rsidR="00C72A43" w:rsidRPr="00AB6CBE" w14:paraId="3EB767D8" w14:textId="77777777" w:rsidTr="00C72A43">
        <w:tc>
          <w:tcPr>
            <w:tcW w:w="708" w:type="dxa"/>
            <w:shd w:val="clear" w:color="auto" w:fill="auto"/>
          </w:tcPr>
          <w:p w14:paraId="3E50F4FD" w14:textId="77777777" w:rsidR="00C72A43" w:rsidRPr="00DD1C15" w:rsidRDefault="00C72A43" w:rsidP="00C72A43">
            <w:pPr>
              <w:pStyle w:val="ListParagraph"/>
              <w:numPr>
                <w:ilvl w:val="0"/>
                <w:numId w:val="21"/>
              </w:numPr>
              <w:spacing w:before="40" w:after="40" w:line="280" w:lineRule="atLeast"/>
              <w:ind w:left="357" w:hanging="357"/>
              <w:rPr>
                <w:rFonts w:ascii="Verdana" w:hAnsi="Verdana"/>
                <w:color w:val="000000"/>
                <w:sz w:val="18"/>
                <w:szCs w:val="18"/>
              </w:rPr>
            </w:pPr>
          </w:p>
        </w:tc>
        <w:tc>
          <w:tcPr>
            <w:tcW w:w="5103" w:type="dxa"/>
            <w:shd w:val="clear" w:color="auto" w:fill="auto"/>
          </w:tcPr>
          <w:p w14:paraId="42D36C65" w14:textId="7FE7BF18" w:rsidR="00C72A43" w:rsidRDefault="00C72A43" w:rsidP="00C72A43">
            <w:pPr>
              <w:spacing w:before="40" w:after="40" w:line="280" w:lineRule="atLeast"/>
              <w:rPr>
                <w:rFonts w:ascii="Verdana" w:hAnsi="Verdana"/>
                <w:color w:val="000000"/>
                <w:sz w:val="18"/>
                <w:szCs w:val="18"/>
              </w:rPr>
            </w:pPr>
            <w:r>
              <w:rPr>
                <w:rFonts w:ascii="Verdana" w:hAnsi="Verdana"/>
                <w:color w:val="000000"/>
                <w:sz w:val="18"/>
                <w:szCs w:val="18"/>
              </w:rPr>
              <w:t>Investec Capital (ETNs)</w:t>
            </w:r>
          </w:p>
        </w:tc>
        <w:tc>
          <w:tcPr>
            <w:tcW w:w="1843" w:type="dxa"/>
            <w:vAlign w:val="center"/>
          </w:tcPr>
          <w:p w14:paraId="43F23A67" w14:textId="66784C0D" w:rsidR="00C72A43" w:rsidRDefault="00C72A43" w:rsidP="00C72A43">
            <w:pPr>
              <w:spacing w:before="40" w:after="40" w:line="280" w:lineRule="atLeast"/>
              <w:jc w:val="right"/>
              <w:rPr>
                <w:rFonts w:ascii="Verdana" w:hAnsi="Verdana"/>
                <w:color w:val="000000"/>
                <w:sz w:val="18"/>
                <w:szCs w:val="18"/>
              </w:rPr>
            </w:pPr>
            <w:r>
              <w:rPr>
                <w:rFonts w:ascii="Verdana" w:hAnsi="Verdana"/>
                <w:color w:val="000000"/>
                <w:sz w:val="18"/>
                <w:szCs w:val="18"/>
              </w:rPr>
              <w:t>(2 377,3</w:t>
            </w:r>
            <w:r w:rsidR="00F8317A">
              <w:rPr>
                <w:rFonts w:ascii="Verdana" w:hAnsi="Verdana"/>
                <w:color w:val="000000"/>
                <w:sz w:val="18"/>
                <w:szCs w:val="18"/>
              </w:rPr>
              <w:t>)</w:t>
            </w:r>
          </w:p>
        </w:tc>
      </w:tr>
      <w:tr w:rsidR="001118CB" w:rsidRPr="00AB6CBE" w14:paraId="2F67B1D1" w14:textId="77777777" w:rsidTr="00C72A43">
        <w:tc>
          <w:tcPr>
            <w:tcW w:w="708" w:type="dxa"/>
            <w:shd w:val="clear" w:color="auto" w:fill="auto"/>
          </w:tcPr>
          <w:p w14:paraId="6FF74B0D" w14:textId="77777777" w:rsidR="001118CB" w:rsidRPr="00DD1C15" w:rsidRDefault="001118CB" w:rsidP="00C72A43">
            <w:pPr>
              <w:pStyle w:val="ListParagraph"/>
              <w:numPr>
                <w:ilvl w:val="0"/>
                <w:numId w:val="21"/>
              </w:numPr>
              <w:spacing w:before="40" w:after="40" w:line="280" w:lineRule="atLeast"/>
              <w:ind w:left="357" w:hanging="357"/>
              <w:rPr>
                <w:rFonts w:ascii="Verdana" w:hAnsi="Verdana"/>
                <w:color w:val="000000"/>
                <w:sz w:val="18"/>
                <w:szCs w:val="18"/>
              </w:rPr>
            </w:pPr>
          </w:p>
        </w:tc>
        <w:tc>
          <w:tcPr>
            <w:tcW w:w="5103" w:type="dxa"/>
            <w:shd w:val="clear" w:color="auto" w:fill="auto"/>
          </w:tcPr>
          <w:p w14:paraId="7D072A5B" w14:textId="44F99F68" w:rsidR="001118CB" w:rsidRDefault="001118CB" w:rsidP="00C72A43">
            <w:pPr>
              <w:spacing w:before="40" w:after="40" w:line="280" w:lineRule="atLeast"/>
              <w:rPr>
                <w:rFonts w:ascii="Verdana" w:hAnsi="Verdana"/>
                <w:color w:val="000000"/>
                <w:sz w:val="18"/>
                <w:szCs w:val="18"/>
              </w:rPr>
            </w:pPr>
            <w:r>
              <w:rPr>
                <w:rFonts w:ascii="Verdana" w:hAnsi="Verdana"/>
                <w:color w:val="000000"/>
                <w:sz w:val="18"/>
                <w:szCs w:val="18"/>
              </w:rPr>
              <w:t>Absa Capital (NewFunds</w:t>
            </w:r>
            <w:r w:rsidR="00227D20">
              <w:rPr>
                <w:rFonts w:ascii="Verdana" w:hAnsi="Verdana"/>
                <w:color w:val="000000"/>
                <w:sz w:val="18"/>
                <w:szCs w:val="18"/>
              </w:rPr>
              <w:t xml:space="preserve"> ETFs</w:t>
            </w:r>
            <w:r>
              <w:rPr>
                <w:rFonts w:ascii="Verdana" w:hAnsi="Verdana"/>
                <w:color w:val="000000"/>
                <w:sz w:val="18"/>
                <w:szCs w:val="18"/>
              </w:rPr>
              <w:t>, NewGold ETFs)</w:t>
            </w:r>
          </w:p>
        </w:tc>
        <w:tc>
          <w:tcPr>
            <w:tcW w:w="1843" w:type="dxa"/>
            <w:vAlign w:val="center"/>
          </w:tcPr>
          <w:p w14:paraId="16F0CFFC" w14:textId="0A03DD74" w:rsidR="001118CB" w:rsidRDefault="00C72A43" w:rsidP="00C72A43">
            <w:pPr>
              <w:spacing w:before="40" w:after="40" w:line="280" w:lineRule="atLeast"/>
              <w:jc w:val="right"/>
              <w:rPr>
                <w:rFonts w:ascii="Verdana" w:hAnsi="Verdana"/>
                <w:color w:val="000000"/>
                <w:sz w:val="18"/>
                <w:szCs w:val="18"/>
              </w:rPr>
            </w:pPr>
            <w:r>
              <w:rPr>
                <w:rFonts w:ascii="Verdana" w:hAnsi="Verdana"/>
                <w:color w:val="000000"/>
                <w:sz w:val="18"/>
                <w:szCs w:val="18"/>
              </w:rPr>
              <w:t>(3 461,7)</w:t>
            </w:r>
          </w:p>
        </w:tc>
      </w:tr>
      <w:tr w:rsidR="001118CB" w:rsidRPr="00DD1C15" w14:paraId="37C1C93E" w14:textId="77777777" w:rsidTr="00C72A43">
        <w:tc>
          <w:tcPr>
            <w:tcW w:w="5811" w:type="dxa"/>
            <w:gridSpan w:val="2"/>
            <w:shd w:val="clear" w:color="auto" w:fill="auto"/>
          </w:tcPr>
          <w:p w14:paraId="0BD42997" w14:textId="77777777" w:rsidR="001118CB" w:rsidRPr="00DD1C15" w:rsidRDefault="001118CB" w:rsidP="00C72A43">
            <w:pPr>
              <w:spacing w:before="40" w:after="40" w:line="280" w:lineRule="atLeast"/>
              <w:rPr>
                <w:rFonts w:ascii="Verdana" w:hAnsi="Verdana"/>
                <w:b/>
                <w:bCs/>
                <w:color w:val="000000"/>
                <w:sz w:val="18"/>
                <w:szCs w:val="18"/>
              </w:rPr>
            </w:pPr>
            <w:r>
              <w:rPr>
                <w:rFonts w:ascii="Verdana" w:hAnsi="Verdana"/>
                <w:b/>
                <w:bCs/>
                <w:color w:val="000000"/>
                <w:sz w:val="18"/>
                <w:szCs w:val="18"/>
              </w:rPr>
              <w:t>Total</w:t>
            </w:r>
          </w:p>
        </w:tc>
        <w:tc>
          <w:tcPr>
            <w:tcW w:w="1843" w:type="dxa"/>
            <w:vAlign w:val="center"/>
          </w:tcPr>
          <w:p w14:paraId="654C3608" w14:textId="3F2EF3C1" w:rsidR="001118CB" w:rsidRPr="00DD1C15" w:rsidRDefault="00C72A43" w:rsidP="00C72A43">
            <w:pPr>
              <w:spacing w:before="40" w:after="40" w:line="280" w:lineRule="atLeast"/>
              <w:jc w:val="right"/>
              <w:rPr>
                <w:rFonts w:ascii="Verdana" w:hAnsi="Verdana"/>
                <w:b/>
                <w:bCs/>
                <w:color w:val="000000"/>
                <w:sz w:val="18"/>
                <w:szCs w:val="18"/>
              </w:rPr>
            </w:pPr>
            <w:r>
              <w:rPr>
                <w:rFonts w:ascii="Verdana" w:hAnsi="Verdana"/>
                <w:b/>
                <w:bCs/>
                <w:color w:val="000000"/>
                <w:sz w:val="18"/>
                <w:szCs w:val="18"/>
              </w:rPr>
              <w:t>1 281,7</w:t>
            </w:r>
          </w:p>
        </w:tc>
      </w:tr>
      <w:tr w:rsidR="001118CB" w:rsidRPr="006015AB" w14:paraId="0965F958" w14:textId="77777777" w:rsidTr="006666EF">
        <w:trPr>
          <w:trHeight w:val="217"/>
        </w:trPr>
        <w:tc>
          <w:tcPr>
            <w:tcW w:w="7654" w:type="dxa"/>
            <w:gridSpan w:val="3"/>
            <w:shd w:val="clear" w:color="auto" w:fill="auto"/>
            <w:vAlign w:val="center"/>
          </w:tcPr>
          <w:p w14:paraId="20521E6D" w14:textId="2967C11D" w:rsidR="001118CB" w:rsidRPr="006015AB" w:rsidRDefault="001118CB" w:rsidP="001118CB">
            <w:pPr>
              <w:spacing w:after="40" w:line="280" w:lineRule="atLeast"/>
              <w:rPr>
                <w:rFonts w:ascii="Verdana" w:hAnsi="Verdana"/>
                <w:i/>
                <w:color w:val="000000"/>
                <w:sz w:val="14"/>
                <w:szCs w:val="14"/>
              </w:rPr>
            </w:pPr>
            <w:r w:rsidRPr="006015AB">
              <w:rPr>
                <w:rFonts w:ascii="Verdana" w:hAnsi="Verdana"/>
                <w:i/>
                <w:color w:val="000000"/>
                <w:sz w:val="14"/>
                <w:szCs w:val="14"/>
              </w:rPr>
              <w:t>Source: etfSA.co.za Quarterly S</w:t>
            </w:r>
            <w:r>
              <w:rPr>
                <w:rFonts w:ascii="Verdana" w:hAnsi="Verdana"/>
                <w:i/>
                <w:color w:val="000000"/>
                <w:sz w:val="14"/>
                <w:szCs w:val="14"/>
              </w:rPr>
              <w:t xml:space="preserve">ecurities in Issue and New Capital Raised Survey </w:t>
            </w:r>
            <w:r w:rsidR="00C72A43">
              <w:rPr>
                <w:rFonts w:ascii="Verdana" w:hAnsi="Verdana"/>
                <w:i/>
                <w:color w:val="000000"/>
                <w:sz w:val="14"/>
                <w:szCs w:val="14"/>
              </w:rPr>
              <w:t>December</w:t>
            </w:r>
            <w:r>
              <w:rPr>
                <w:rFonts w:ascii="Verdana" w:hAnsi="Verdana"/>
                <w:i/>
                <w:color w:val="000000"/>
                <w:sz w:val="14"/>
                <w:szCs w:val="14"/>
              </w:rPr>
              <w:t xml:space="preserve"> 2022).</w:t>
            </w:r>
          </w:p>
        </w:tc>
      </w:tr>
    </w:tbl>
    <w:p w14:paraId="2D0237FD" w14:textId="77777777" w:rsidR="00B42190" w:rsidRDefault="00B42190">
      <w:pPr>
        <w:rPr>
          <w:rFonts w:ascii="Verdana" w:hAnsi="Verdana"/>
          <w:sz w:val="21"/>
          <w:szCs w:val="21"/>
        </w:rPr>
      </w:pPr>
      <w:r>
        <w:rPr>
          <w:rFonts w:ascii="Verdana" w:hAnsi="Verdana"/>
          <w:sz w:val="21"/>
          <w:szCs w:val="21"/>
        </w:rPr>
        <w:br w:type="page"/>
      </w:r>
    </w:p>
    <w:p w14:paraId="50C287EA" w14:textId="7373A19D" w:rsidR="005F3966" w:rsidRPr="0012529E" w:rsidRDefault="005F3966" w:rsidP="005F3966">
      <w:pPr>
        <w:spacing w:after="120" w:line="240" w:lineRule="auto"/>
        <w:jc w:val="center"/>
        <w:rPr>
          <w:rFonts w:ascii="Verdana" w:hAnsi="Verdana"/>
          <w:b/>
          <w:caps/>
          <w:color w:val="C00000"/>
          <w:sz w:val="24"/>
          <w:szCs w:val="24"/>
        </w:rPr>
      </w:pPr>
      <w:r w:rsidRPr="0012529E">
        <w:rPr>
          <w:rFonts w:ascii="Verdana" w:hAnsi="Verdana"/>
          <w:b/>
          <w:caps/>
          <w:color w:val="C00000"/>
          <w:sz w:val="24"/>
          <w:szCs w:val="24"/>
        </w:rPr>
        <w:lastRenderedPageBreak/>
        <w:t>New Capital Raised</w:t>
      </w:r>
      <w:r>
        <w:rPr>
          <w:rFonts w:ascii="Verdana" w:hAnsi="Verdana"/>
          <w:b/>
          <w:caps/>
          <w:color w:val="C00000"/>
          <w:sz w:val="24"/>
          <w:szCs w:val="24"/>
        </w:rPr>
        <w:t xml:space="preserve"> </w:t>
      </w:r>
      <w:r>
        <w:rPr>
          <w:rFonts w:ascii="Verdana" w:hAnsi="Verdana"/>
          <w:b/>
          <w:caps/>
          <w:color w:val="C00000"/>
          <w:sz w:val="24"/>
          <w:szCs w:val="24"/>
        </w:rPr>
        <w:t>– INDIVIDUAL PRODUCTS</w:t>
      </w:r>
    </w:p>
    <w:p w14:paraId="7BB8FD68" w14:textId="231268EA" w:rsidR="00EB5A7B" w:rsidRPr="00C72A43" w:rsidRDefault="00C72A43" w:rsidP="005F3966">
      <w:pPr>
        <w:spacing w:after="60" w:line="240" w:lineRule="auto"/>
        <w:jc w:val="both"/>
        <w:rPr>
          <w:rFonts w:ascii="Verdana" w:hAnsi="Verdana"/>
          <w:b/>
          <w:bCs/>
          <w:sz w:val="21"/>
          <w:szCs w:val="21"/>
        </w:rPr>
      </w:pPr>
      <w:r>
        <w:rPr>
          <w:rFonts w:ascii="Verdana" w:hAnsi="Verdana"/>
          <w:b/>
          <w:bCs/>
          <w:sz w:val="21"/>
          <w:szCs w:val="21"/>
        </w:rPr>
        <w:t xml:space="preserve">Table </w:t>
      </w:r>
      <w:r w:rsidR="005F3966">
        <w:rPr>
          <w:rFonts w:ascii="Verdana" w:hAnsi="Verdana"/>
          <w:b/>
          <w:bCs/>
          <w:sz w:val="21"/>
          <w:szCs w:val="21"/>
        </w:rPr>
        <w:t>C</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1134"/>
        <w:gridCol w:w="3686"/>
        <w:gridCol w:w="1275"/>
      </w:tblGrid>
      <w:tr w:rsidR="00EB5A7B" w:rsidRPr="00AB6CBE" w14:paraId="78894AEC" w14:textId="7E80F0C1" w:rsidTr="00DC5064">
        <w:tc>
          <w:tcPr>
            <w:tcW w:w="9922" w:type="dxa"/>
            <w:gridSpan w:val="4"/>
            <w:shd w:val="clear" w:color="auto" w:fill="C00000"/>
          </w:tcPr>
          <w:p w14:paraId="76AFAFF0" w14:textId="77777777" w:rsidR="00C72A43" w:rsidRDefault="00C72A43" w:rsidP="005F3966">
            <w:pPr>
              <w:spacing w:before="40" w:after="40" w:line="280" w:lineRule="atLeast"/>
              <w:jc w:val="center"/>
              <w:rPr>
                <w:rFonts w:ascii="Verdana" w:hAnsi="Verdana"/>
                <w:b/>
                <w:color w:val="FFFFFF"/>
                <w:sz w:val="18"/>
                <w:szCs w:val="18"/>
              </w:rPr>
            </w:pPr>
            <w:r>
              <w:rPr>
                <w:rFonts w:ascii="Verdana" w:hAnsi="Verdana"/>
                <w:b/>
                <w:color w:val="FFFFFF"/>
                <w:sz w:val="18"/>
                <w:szCs w:val="18"/>
              </w:rPr>
              <w:t xml:space="preserve">Capital Raised / (Redeemed) for </w:t>
            </w:r>
            <w:r w:rsidR="00EB5A7B">
              <w:rPr>
                <w:rFonts w:ascii="Verdana" w:hAnsi="Verdana"/>
                <w:b/>
                <w:color w:val="FFFFFF"/>
                <w:sz w:val="18"/>
                <w:szCs w:val="18"/>
              </w:rPr>
              <w:t>Individual E</w:t>
            </w:r>
            <w:r>
              <w:rPr>
                <w:rFonts w:ascii="Verdana" w:hAnsi="Verdana"/>
                <w:b/>
                <w:color w:val="FFFFFF"/>
                <w:sz w:val="18"/>
                <w:szCs w:val="18"/>
              </w:rPr>
              <w:t xml:space="preserve">xchange Traded Products </w:t>
            </w:r>
          </w:p>
          <w:p w14:paraId="33A1241C" w14:textId="47648784" w:rsidR="00EB5A7B" w:rsidRDefault="00EB5A7B" w:rsidP="005F3966">
            <w:pPr>
              <w:spacing w:before="40" w:after="40" w:line="280" w:lineRule="atLeast"/>
              <w:jc w:val="center"/>
              <w:rPr>
                <w:rFonts w:ascii="Verdana" w:hAnsi="Verdana"/>
                <w:b/>
                <w:color w:val="FFFFFF"/>
                <w:sz w:val="18"/>
                <w:szCs w:val="18"/>
              </w:rPr>
            </w:pPr>
            <w:r>
              <w:rPr>
                <w:rFonts w:ascii="Verdana" w:hAnsi="Verdana"/>
                <w:b/>
                <w:color w:val="FFFFFF"/>
                <w:sz w:val="18"/>
                <w:szCs w:val="18"/>
              </w:rPr>
              <w:t>2022</w:t>
            </w:r>
          </w:p>
        </w:tc>
      </w:tr>
      <w:tr w:rsidR="00EB5A7B" w:rsidRPr="00AB6CBE" w14:paraId="546D651F" w14:textId="47F313B9" w:rsidTr="00EB5A7B">
        <w:trPr>
          <w:trHeight w:val="360"/>
        </w:trPr>
        <w:tc>
          <w:tcPr>
            <w:tcW w:w="3827" w:type="dxa"/>
            <w:shd w:val="clear" w:color="auto" w:fill="4C4C4C"/>
          </w:tcPr>
          <w:p w14:paraId="460C4209" w14:textId="725B390F" w:rsidR="00EB5A7B" w:rsidRPr="003B4F95" w:rsidRDefault="00C72A43" w:rsidP="005F3966">
            <w:pPr>
              <w:spacing w:before="40" w:after="40" w:line="280" w:lineRule="atLeast"/>
              <w:rPr>
                <w:rFonts w:ascii="Verdana" w:hAnsi="Verdana"/>
                <w:b/>
                <w:color w:val="FFFFFF"/>
                <w:sz w:val="18"/>
                <w:szCs w:val="18"/>
              </w:rPr>
            </w:pPr>
            <w:r>
              <w:rPr>
                <w:rFonts w:ascii="Verdana" w:hAnsi="Verdana"/>
                <w:b/>
                <w:color w:val="FFFFFF"/>
                <w:sz w:val="18"/>
                <w:szCs w:val="18"/>
              </w:rPr>
              <w:t>ETP</w:t>
            </w:r>
          </w:p>
        </w:tc>
        <w:tc>
          <w:tcPr>
            <w:tcW w:w="1134" w:type="dxa"/>
            <w:tcBorders>
              <w:right w:val="single" w:sz="18" w:space="0" w:color="auto"/>
            </w:tcBorders>
            <w:shd w:val="clear" w:color="auto" w:fill="4C4C4C"/>
            <w:vAlign w:val="center"/>
          </w:tcPr>
          <w:p w14:paraId="5F4E2850" w14:textId="28FCF885" w:rsidR="00EB5A7B" w:rsidRPr="003B4F95" w:rsidRDefault="00EB5A7B" w:rsidP="005F3966">
            <w:pPr>
              <w:spacing w:before="40" w:after="40" w:line="280" w:lineRule="atLeast"/>
              <w:jc w:val="right"/>
              <w:rPr>
                <w:rFonts w:ascii="Verdana" w:hAnsi="Verdana"/>
                <w:b/>
                <w:color w:val="FFFFFF"/>
                <w:sz w:val="18"/>
                <w:szCs w:val="18"/>
              </w:rPr>
            </w:pPr>
            <w:r>
              <w:rPr>
                <w:rFonts w:ascii="Verdana" w:hAnsi="Verdana"/>
                <w:b/>
                <w:color w:val="FFFFFF"/>
                <w:sz w:val="18"/>
                <w:szCs w:val="18"/>
              </w:rPr>
              <w:t>Amount (Rm)</w:t>
            </w:r>
          </w:p>
        </w:tc>
        <w:tc>
          <w:tcPr>
            <w:tcW w:w="3686" w:type="dxa"/>
            <w:tcBorders>
              <w:left w:val="single" w:sz="18" w:space="0" w:color="auto"/>
            </w:tcBorders>
            <w:shd w:val="clear" w:color="auto" w:fill="4C4C4C"/>
          </w:tcPr>
          <w:p w14:paraId="7ACF73C4" w14:textId="4FCD5362" w:rsidR="00EB5A7B" w:rsidRDefault="00EB5A7B" w:rsidP="005F3966">
            <w:pPr>
              <w:spacing w:before="40" w:after="40" w:line="280" w:lineRule="atLeast"/>
              <w:rPr>
                <w:rFonts w:ascii="Verdana" w:hAnsi="Verdana"/>
                <w:b/>
                <w:color w:val="FFFFFF"/>
                <w:sz w:val="18"/>
                <w:szCs w:val="18"/>
              </w:rPr>
            </w:pPr>
            <w:r>
              <w:rPr>
                <w:rFonts w:ascii="Verdana" w:hAnsi="Verdana"/>
                <w:b/>
                <w:color w:val="FFFFFF"/>
                <w:sz w:val="18"/>
                <w:szCs w:val="18"/>
              </w:rPr>
              <w:t>ET</w:t>
            </w:r>
            <w:r w:rsidR="00C72A43">
              <w:rPr>
                <w:rFonts w:ascii="Verdana" w:hAnsi="Verdana"/>
                <w:b/>
                <w:color w:val="FFFFFF"/>
                <w:sz w:val="18"/>
                <w:szCs w:val="18"/>
              </w:rPr>
              <w:t>P</w:t>
            </w:r>
          </w:p>
        </w:tc>
        <w:tc>
          <w:tcPr>
            <w:tcW w:w="1275" w:type="dxa"/>
            <w:shd w:val="clear" w:color="auto" w:fill="4C4C4C"/>
            <w:vAlign w:val="center"/>
          </w:tcPr>
          <w:p w14:paraId="534879F8" w14:textId="2FF99815" w:rsidR="00EB5A7B" w:rsidRDefault="00EB5A7B" w:rsidP="005F3966">
            <w:pPr>
              <w:spacing w:before="40" w:after="40" w:line="280" w:lineRule="atLeast"/>
              <w:jc w:val="right"/>
              <w:rPr>
                <w:rFonts w:ascii="Verdana" w:hAnsi="Verdana"/>
                <w:b/>
                <w:color w:val="FFFFFF"/>
                <w:sz w:val="18"/>
                <w:szCs w:val="18"/>
              </w:rPr>
            </w:pPr>
            <w:r>
              <w:rPr>
                <w:rFonts w:ascii="Verdana" w:hAnsi="Verdana"/>
                <w:b/>
                <w:color w:val="FFFFFF"/>
                <w:sz w:val="18"/>
                <w:szCs w:val="18"/>
              </w:rPr>
              <w:t>Amount (Rm)</w:t>
            </w:r>
          </w:p>
        </w:tc>
      </w:tr>
      <w:tr w:rsidR="00EB5A7B" w:rsidRPr="00AB6CBE" w14:paraId="1FBEF623" w14:textId="1E7C102A" w:rsidTr="00EB5A7B">
        <w:tc>
          <w:tcPr>
            <w:tcW w:w="3827" w:type="dxa"/>
            <w:shd w:val="clear" w:color="auto" w:fill="auto"/>
          </w:tcPr>
          <w:p w14:paraId="5B95038B" w14:textId="40ED34F9" w:rsidR="00EB5A7B" w:rsidRDefault="00EB5A7B" w:rsidP="005F3966">
            <w:pPr>
              <w:spacing w:before="40" w:after="40" w:line="280" w:lineRule="atLeast"/>
              <w:rPr>
                <w:rFonts w:ascii="Verdana" w:hAnsi="Verdana"/>
                <w:color w:val="000000"/>
                <w:sz w:val="18"/>
                <w:szCs w:val="18"/>
              </w:rPr>
            </w:pPr>
            <w:r w:rsidRPr="00E923F2">
              <w:rPr>
                <w:rFonts w:ascii="Verdana" w:hAnsi="Verdana"/>
                <w:color w:val="000000"/>
                <w:sz w:val="18"/>
                <w:szCs w:val="18"/>
              </w:rPr>
              <w:t>Sygnia Itrix Emerging Markets 50 ETF</w:t>
            </w:r>
          </w:p>
        </w:tc>
        <w:tc>
          <w:tcPr>
            <w:tcW w:w="1134" w:type="dxa"/>
            <w:tcBorders>
              <w:right w:val="single" w:sz="18" w:space="0" w:color="auto"/>
            </w:tcBorders>
            <w:vAlign w:val="center"/>
          </w:tcPr>
          <w:p w14:paraId="7EB5CE79" w14:textId="5356E7E8" w:rsidR="00EB5A7B" w:rsidRDefault="00EB5A7B" w:rsidP="005F3966">
            <w:pPr>
              <w:spacing w:before="40" w:after="40" w:line="280" w:lineRule="atLeast"/>
              <w:jc w:val="right"/>
              <w:rPr>
                <w:rFonts w:ascii="Verdana" w:hAnsi="Verdana"/>
                <w:color w:val="000000"/>
                <w:sz w:val="18"/>
                <w:szCs w:val="18"/>
              </w:rPr>
            </w:pPr>
            <w:r>
              <w:rPr>
                <w:rFonts w:ascii="Verdana" w:hAnsi="Verdana"/>
                <w:color w:val="000000"/>
                <w:sz w:val="18"/>
                <w:szCs w:val="18"/>
              </w:rPr>
              <w:t>1</w:t>
            </w:r>
            <w:r w:rsidR="00833166">
              <w:rPr>
                <w:rFonts w:ascii="Verdana" w:hAnsi="Verdana"/>
                <w:color w:val="000000"/>
                <w:sz w:val="18"/>
                <w:szCs w:val="18"/>
              </w:rPr>
              <w:t> 149,2</w:t>
            </w:r>
          </w:p>
        </w:tc>
        <w:tc>
          <w:tcPr>
            <w:tcW w:w="3686" w:type="dxa"/>
            <w:tcBorders>
              <w:left w:val="single" w:sz="18" w:space="0" w:color="auto"/>
            </w:tcBorders>
          </w:tcPr>
          <w:p w14:paraId="25AB209C" w14:textId="21613600" w:rsidR="00EB5A7B" w:rsidRDefault="00833166" w:rsidP="005F3966">
            <w:pPr>
              <w:spacing w:before="40" w:after="40" w:line="280" w:lineRule="atLeast"/>
              <w:rPr>
                <w:rFonts w:ascii="Verdana" w:hAnsi="Verdana"/>
                <w:color w:val="000000"/>
                <w:sz w:val="18"/>
                <w:szCs w:val="18"/>
              </w:rPr>
            </w:pPr>
            <w:r>
              <w:rPr>
                <w:rFonts w:ascii="Verdana" w:hAnsi="Verdana"/>
                <w:color w:val="000000"/>
                <w:sz w:val="18"/>
                <w:szCs w:val="18"/>
              </w:rPr>
              <w:t>NewGold Platinum ETF</w:t>
            </w:r>
          </w:p>
        </w:tc>
        <w:tc>
          <w:tcPr>
            <w:tcW w:w="1275" w:type="dxa"/>
          </w:tcPr>
          <w:p w14:paraId="1884D268" w14:textId="5CC1E96C" w:rsidR="00EB5A7B" w:rsidRDefault="00833166" w:rsidP="005F3966">
            <w:pPr>
              <w:spacing w:before="40" w:after="40" w:line="280" w:lineRule="atLeast"/>
              <w:jc w:val="right"/>
              <w:rPr>
                <w:rFonts w:ascii="Verdana" w:hAnsi="Verdana"/>
                <w:color w:val="000000"/>
                <w:sz w:val="18"/>
                <w:szCs w:val="18"/>
              </w:rPr>
            </w:pPr>
            <w:r>
              <w:rPr>
                <w:rFonts w:ascii="Verdana" w:hAnsi="Verdana"/>
                <w:color w:val="000000"/>
                <w:sz w:val="18"/>
                <w:szCs w:val="18"/>
              </w:rPr>
              <w:t>(1 725,9)</w:t>
            </w:r>
          </w:p>
        </w:tc>
      </w:tr>
      <w:tr w:rsidR="00C12C3D" w:rsidRPr="00AB6CBE" w14:paraId="2D538DFE" w14:textId="3A88ADA2" w:rsidTr="00EB5A7B">
        <w:tc>
          <w:tcPr>
            <w:tcW w:w="3827" w:type="dxa"/>
            <w:shd w:val="clear" w:color="auto" w:fill="auto"/>
          </w:tcPr>
          <w:p w14:paraId="70F1F02B" w14:textId="28BACBF9" w:rsidR="00C12C3D" w:rsidRDefault="00833166" w:rsidP="005F3966">
            <w:pPr>
              <w:spacing w:before="40" w:after="40" w:line="280" w:lineRule="atLeast"/>
              <w:rPr>
                <w:rFonts w:ascii="Verdana" w:hAnsi="Verdana"/>
                <w:color w:val="000000"/>
                <w:sz w:val="18"/>
                <w:szCs w:val="18"/>
              </w:rPr>
            </w:pPr>
            <w:r>
              <w:rPr>
                <w:rFonts w:ascii="Verdana" w:hAnsi="Verdana"/>
                <w:color w:val="000000"/>
                <w:sz w:val="18"/>
                <w:szCs w:val="18"/>
              </w:rPr>
              <w:t>CoreShares Wealth GOVI</w:t>
            </w:r>
            <w:r w:rsidR="005F3966">
              <w:rPr>
                <w:rFonts w:ascii="Verdana" w:hAnsi="Verdana"/>
                <w:color w:val="000000"/>
                <w:sz w:val="18"/>
                <w:szCs w:val="18"/>
              </w:rPr>
              <w:t xml:space="preserve"> </w:t>
            </w:r>
            <w:r>
              <w:rPr>
                <w:rFonts w:ascii="Verdana" w:hAnsi="Verdana"/>
                <w:color w:val="000000"/>
                <w:sz w:val="18"/>
                <w:szCs w:val="18"/>
              </w:rPr>
              <w:t>ETF</w:t>
            </w:r>
          </w:p>
        </w:tc>
        <w:tc>
          <w:tcPr>
            <w:tcW w:w="1134" w:type="dxa"/>
            <w:tcBorders>
              <w:right w:val="single" w:sz="18" w:space="0" w:color="auto"/>
            </w:tcBorders>
            <w:vAlign w:val="center"/>
          </w:tcPr>
          <w:p w14:paraId="0C978EF2" w14:textId="042F8ED3" w:rsidR="00C12C3D" w:rsidRDefault="00833166" w:rsidP="005F3966">
            <w:pPr>
              <w:spacing w:before="40" w:after="40" w:line="280" w:lineRule="atLeast"/>
              <w:jc w:val="right"/>
              <w:rPr>
                <w:rFonts w:ascii="Verdana" w:hAnsi="Verdana"/>
                <w:color w:val="000000"/>
                <w:sz w:val="18"/>
                <w:szCs w:val="18"/>
              </w:rPr>
            </w:pPr>
            <w:r>
              <w:rPr>
                <w:rFonts w:ascii="Verdana" w:hAnsi="Verdana"/>
                <w:color w:val="000000"/>
                <w:sz w:val="18"/>
                <w:szCs w:val="18"/>
              </w:rPr>
              <w:t>839,7</w:t>
            </w:r>
          </w:p>
        </w:tc>
        <w:tc>
          <w:tcPr>
            <w:tcW w:w="3686" w:type="dxa"/>
            <w:tcBorders>
              <w:left w:val="single" w:sz="18" w:space="0" w:color="auto"/>
            </w:tcBorders>
          </w:tcPr>
          <w:p w14:paraId="1D277BB6" w14:textId="1A51723F" w:rsidR="00C12C3D" w:rsidRDefault="00833166" w:rsidP="005F3966">
            <w:pPr>
              <w:spacing w:before="40" w:after="40" w:line="280" w:lineRule="atLeast"/>
              <w:rPr>
                <w:rFonts w:ascii="Verdana" w:hAnsi="Verdana"/>
                <w:color w:val="000000"/>
                <w:sz w:val="18"/>
                <w:szCs w:val="18"/>
              </w:rPr>
            </w:pPr>
            <w:r>
              <w:rPr>
                <w:rFonts w:ascii="Verdana" w:hAnsi="Verdana"/>
                <w:color w:val="000000"/>
                <w:sz w:val="18"/>
                <w:szCs w:val="18"/>
              </w:rPr>
              <w:t>Absa NewGold ETF</w:t>
            </w:r>
          </w:p>
        </w:tc>
        <w:tc>
          <w:tcPr>
            <w:tcW w:w="1275" w:type="dxa"/>
          </w:tcPr>
          <w:p w14:paraId="2879EF21" w14:textId="30ABF4B5" w:rsidR="00C12C3D" w:rsidRDefault="00833166" w:rsidP="005F3966">
            <w:pPr>
              <w:spacing w:before="40" w:after="40" w:line="280" w:lineRule="atLeast"/>
              <w:jc w:val="right"/>
              <w:rPr>
                <w:rFonts w:ascii="Verdana" w:hAnsi="Verdana"/>
                <w:color w:val="000000"/>
                <w:sz w:val="18"/>
                <w:szCs w:val="18"/>
              </w:rPr>
            </w:pPr>
            <w:r>
              <w:rPr>
                <w:rFonts w:ascii="Verdana" w:hAnsi="Verdana"/>
                <w:color w:val="000000"/>
                <w:sz w:val="18"/>
                <w:szCs w:val="18"/>
              </w:rPr>
              <w:t>(1 449,2)</w:t>
            </w:r>
          </w:p>
        </w:tc>
      </w:tr>
      <w:tr w:rsidR="00C12C3D" w:rsidRPr="00AB6CBE" w14:paraId="09DF947B" w14:textId="68D77F35" w:rsidTr="00EB5A7B">
        <w:tc>
          <w:tcPr>
            <w:tcW w:w="3827" w:type="dxa"/>
            <w:shd w:val="clear" w:color="auto" w:fill="auto"/>
          </w:tcPr>
          <w:p w14:paraId="670641D1" w14:textId="03332E16" w:rsidR="00C12C3D" w:rsidRDefault="00833166" w:rsidP="005F3966">
            <w:pPr>
              <w:spacing w:before="40" w:after="40" w:line="280" w:lineRule="atLeast"/>
              <w:rPr>
                <w:rFonts w:ascii="Verdana" w:hAnsi="Verdana"/>
                <w:color w:val="000000"/>
                <w:sz w:val="18"/>
                <w:szCs w:val="18"/>
              </w:rPr>
            </w:pPr>
            <w:r>
              <w:rPr>
                <w:rFonts w:ascii="Verdana" w:hAnsi="Verdana"/>
                <w:color w:val="000000"/>
                <w:sz w:val="18"/>
                <w:szCs w:val="18"/>
              </w:rPr>
              <w:t>Satrix S&amp;P 500 ETF</w:t>
            </w:r>
          </w:p>
        </w:tc>
        <w:tc>
          <w:tcPr>
            <w:tcW w:w="1134" w:type="dxa"/>
            <w:tcBorders>
              <w:right w:val="single" w:sz="18" w:space="0" w:color="auto"/>
            </w:tcBorders>
            <w:vAlign w:val="center"/>
          </w:tcPr>
          <w:p w14:paraId="7617CB4F" w14:textId="285655B7" w:rsidR="00C12C3D" w:rsidRDefault="00833166" w:rsidP="005F3966">
            <w:pPr>
              <w:spacing w:before="40" w:after="40" w:line="280" w:lineRule="atLeast"/>
              <w:jc w:val="right"/>
              <w:rPr>
                <w:rFonts w:ascii="Verdana" w:hAnsi="Verdana"/>
                <w:color w:val="000000"/>
                <w:sz w:val="18"/>
                <w:szCs w:val="18"/>
              </w:rPr>
            </w:pPr>
            <w:r>
              <w:rPr>
                <w:rFonts w:ascii="Verdana" w:hAnsi="Verdana"/>
                <w:color w:val="000000"/>
                <w:sz w:val="18"/>
                <w:szCs w:val="18"/>
              </w:rPr>
              <w:t>815,1</w:t>
            </w:r>
          </w:p>
        </w:tc>
        <w:tc>
          <w:tcPr>
            <w:tcW w:w="3686" w:type="dxa"/>
            <w:tcBorders>
              <w:left w:val="single" w:sz="18" w:space="0" w:color="auto"/>
            </w:tcBorders>
          </w:tcPr>
          <w:p w14:paraId="37A6F2CB" w14:textId="4756D830" w:rsidR="00C12C3D" w:rsidRDefault="00833166" w:rsidP="005F3966">
            <w:pPr>
              <w:spacing w:before="40" w:after="40" w:line="280" w:lineRule="atLeast"/>
              <w:rPr>
                <w:rFonts w:ascii="Verdana" w:hAnsi="Verdana"/>
                <w:color w:val="000000"/>
                <w:sz w:val="18"/>
                <w:szCs w:val="18"/>
              </w:rPr>
            </w:pPr>
            <w:r>
              <w:rPr>
                <w:rFonts w:ascii="Verdana" w:hAnsi="Verdana"/>
                <w:color w:val="000000"/>
                <w:sz w:val="18"/>
                <w:szCs w:val="18"/>
              </w:rPr>
              <w:t>Investec SWIX Top 40 ETN</w:t>
            </w:r>
          </w:p>
        </w:tc>
        <w:tc>
          <w:tcPr>
            <w:tcW w:w="1275" w:type="dxa"/>
          </w:tcPr>
          <w:p w14:paraId="2E37F344" w14:textId="38F81E2C" w:rsidR="00C12C3D" w:rsidRDefault="00833166" w:rsidP="005F3966">
            <w:pPr>
              <w:spacing w:before="40" w:after="40" w:line="280" w:lineRule="atLeast"/>
              <w:jc w:val="right"/>
              <w:rPr>
                <w:rFonts w:ascii="Verdana" w:hAnsi="Verdana"/>
                <w:color w:val="000000"/>
                <w:sz w:val="18"/>
                <w:szCs w:val="18"/>
              </w:rPr>
            </w:pPr>
            <w:r>
              <w:rPr>
                <w:rFonts w:ascii="Verdana" w:hAnsi="Verdana"/>
                <w:color w:val="000000"/>
                <w:sz w:val="18"/>
                <w:szCs w:val="18"/>
              </w:rPr>
              <w:t>(1 277,7)</w:t>
            </w:r>
          </w:p>
        </w:tc>
      </w:tr>
      <w:tr w:rsidR="00EB5A7B" w:rsidRPr="00E923F2" w14:paraId="649B47D5" w14:textId="337C3778" w:rsidTr="00EB5A7B">
        <w:tc>
          <w:tcPr>
            <w:tcW w:w="3827" w:type="dxa"/>
            <w:shd w:val="clear" w:color="auto" w:fill="auto"/>
          </w:tcPr>
          <w:p w14:paraId="7FD34E6E" w14:textId="5EC0E139" w:rsidR="00EB5A7B" w:rsidRPr="00E923F2" w:rsidRDefault="00833166" w:rsidP="005F3966">
            <w:pPr>
              <w:spacing w:before="40" w:after="40" w:line="280" w:lineRule="atLeast"/>
              <w:rPr>
                <w:rFonts w:ascii="Verdana" w:hAnsi="Verdana"/>
                <w:color w:val="000000"/>
                <w:sz w:val="18"/>
                <w:szCs w:val="18"/>
                <w:lang w:val="fr-FR"/>
              </w:rPr>
            </w:pPr>
            <w:r>
              <w:rPr>
                <w:rFonts w:ascii="Verdana" w:hAnsi="Verdana"/>
                <w:color w:val="000000"/>
                <w:sz w:val="18"/>
                <w:szCs w:val="18"/>
                <w:lang w:val="fr-FR"/>
              </w:rPr>
              <w:t>Satrix 40 ETF</w:t>
            </w:r>
          </w:p>
        </w:tc>
        <w:tc>
          <w:tcPr>
            <w:tcW w:w="1134" w:type="dxa"/>
            <w:tcBorders>
              <w:right w:val="single" w:sz="18" w:space="0" w:color="auto"/>
            </w:tcBorders>
            <w:vAlign w:val="center"/>
          </w:tcPr>
          <w:p w14:paraId="6874D1A3" w14:textId="0EA08156" w:rsidR="00EB5A7B" w:rsidRPr="00E923F2" w:rsidRDefault="00833166" w:rsidP="005F3966">
            <w:pPr>
              <w:spacing w:before="40" w:after="40" w:line="280" w:lineRule="atLeast"/>
              <w:jc w:val="right"/>
              <w:rPr>
                <w:rFonts w:ascii="Verdana" w:hAnsi="Verdana"/>
                <w:color w:val="000000"/>
                <w:sz w:val="18"/>
                <w:szCs w:val="18"/>
                <w:lang w:val="fr-FR"/>
              </w:rPr>
            </w:pPr>
            <w:r>
              <w:rPr>
                <w:rFonts w:ascii="Verdana" w:hAnsi="Verdana"/>
                <w:color w:val="000000"/>
                <w:sz w:val="18"/>
                <w:szCs w:val="18"/>
                <w:lang w:val="fr-FR"/>
              </w:rPr>
              <w:t>718,2</w:t>
            </w:r>
          </w:p>
        </w:tc>
        <w:tc>
          <w:tcPr>
            <w:tcW w:w="3686" w:type="dxa"/>
            <w:tcBorders>
              <w:left w:val="single" w:sz="18" w:space="0" w:color="auto"/>
            </w:tcBorders>
          </w:tcPr>
          <w:p w14:paraId="68726CAB" w14:textId="35F0855C" w:rsidR="00EB5A7B" w:rsidRDefault="006C4164" w:rsidP="005F3966">
            <w:pPr>
              <w:spacing w:before="40" w:after="40" w:line="280" w:lineRule="atLeast"/>
              <w:rPr>
                <w:rFonts w:ascii="Verdana" w:hAnsi="Verdana"/>
                <w:color w:val="000000"/>
                <w:sz w:val="18"/>
                <w:szCs w:val="18"/>
                <w:lang w:val="fr-FR"/>
              </w:rPr>
            </w:pPr>
            <w:r>
              <w:rPr>
                <w:rFonts w:ascii="Verdana" w:hAnsi="Verdana"/>
                <w:color w:val="000000"/>
                <w:sz w:val="18"/>
                <w:szCs w:val="18"/>
              </w:rPr>
              <w:t xml:space="preserve">Investec  </w:t>
            </w:r>
            <w:r w:rsidR="00833166">
              <w:rPr>
                <w:rFonts w:ascii="Verdana" w:hAnsi="Verdana"/>
                <w:color w:val="000000"/>
                <w:sz w:val="18"/>
                <w:szCs w:val="18"/>
                <w:lang w:val="fr-FR"/>
              </w:rPr>
              <w:t>Top 40 ETN</w:t>
            </w:r>
          </w:p>
        </w:tc>
        <w:tc>
          <w:tcPr>
            <w:tcW w:w="1275" w:type="dxa"/>
          </w:tcPr>
          <w:p w14:paraId="3F68C02C" w14:textId="1CA0270D" w:rsidR="00EB5A7B" w:rsidRDefault="00833166" w:rsidP="005F3966">
            <w:pPr>
              <w:spacing w:before="40" w:after="40" w:line="280" w:lineRule="atLeast"/>
              <w:jc w:val="right"/>
              <w:rPr>
                <w:rFonts w:ascii="Verdana" w:hAnsi="Verdana"/>
                <w:color w:val="000000"/>
                <w:sz w:val="18"/>
                <w:szCs w:val="18"/>
                <w:lang w:val="fr-FR"/>
              </w:rPr>
            </w:pPr>
            <w:r>
              <w:rPr>
                <w:rFonts w:ascii="Verdana" w:hAnsi="Verdana"/>
                <w:color w:val="000000"/>
                <w:sz w:val="18"/>
                <w:szCs w:val="18"/>
                <w:lang w:val="fr-FR"/>
              </w:rPr>
              <w:t>(1 095,6)</w:t>
            </w:r>
          </w:p>
        </w:tc>
      </w:tr>
      <w:tr w:rsidR="00EB5A7B" w:rsidRPr="00E923F2" w14:paraId="143E6D45" w14:textId="30A14010" w:rsidTr="00EB5A7B">
        <w:tc>
          <w:tcPr>
            <w:tcW w:w="3827" w:type="dxa"/>
            <w:shd w:val="clear" w:color="auto" w:fill="auto"/>
          </w:tcPr>
          <w:p w14:paraId="041CE568" w14:textId="4E353FE1" w:rsidR="00EB5A7B" w:rsidRPr="00833166" w:rsidRDefault="00833166" w:rsidP="005F3966">
            <w:pPr>
              <w:spacing w:before="40" w:after="40" w:line="280" w:lineRule="atLeast"/>
              <w:rPr>
                <w:rFonts w:ascii="Verdana" w:hAnsi="Verdana"/>
                <w:color w:val="000000"/>
                <w:sz w:val="18"/>
                <w:szCs w:val="18"/>
              </w:rPr>
            </w:pPr>
            <w:r w:rsidRPr="00833166">
              <w:rPr>
                <w:rFonts w:ascii="Verdana" w:hAnsi="Verdana"/>
                <w:color w:val="000000"/>
                <w:sz w:val="18"/>
                <w:szCs w:val="18"/>
              </w:rPr>
              <w:t>Sygnia Itrix S&amp;P Global 1200 ES</w:t>
            </w:r>
            <w:r>
              <w:rPr>
                <w:rFonts w:ascii="Verdana" w:hAnsi="Verdana"/>
                <w:color w:val="000000"/>
                <w:sz w:val="18"/>
                <w:szCs w:val="18"/>
              </w:rPr>
              <w:t>G</w:t>
            </w:r>
          </w:p>
        </w:tc>
        <w:tc>
          <w:tcPr>
            <w:tcW w:w="1134" w:type="dxa"/>
            <w:tcBorders>
              <w:right w:val="single" w:sz="18" w:space="0" w:color="auto"/>
            </w:tcBorders>
            <w:vAlign w:val="center"/>
          </w:tcPr>
          <w:p w14:paraId="6399898A" w14:textId="150162BC" w:rsidR="00EB5A7B" w:rsidRPr="00833166" w:rsidRDefault="00833166" w:rsidP="005F3966">
            <w:pPr>
              <w:spacing w:before="40" w:after="40" w:line="280" w:lineRule="atLeast"/>
              <w:jc w:val="right"/>
              <w:rPr>
                <w:rFonts w:ascii="Verdana" w:hAnsi="Verdana"/>
                <w:color w:val="000000"/>
                <w:sz w:val="18"/>
                <w:szCs w:val="18"/>
              </w:rPr>
            </w:pPr>
            <w:r>
              <w:rPr>
                <w:rFonts w:ascii="Verdana" w:hAnsi="Verdana"/>
                <w:color w:val="000000"/>
                <w:sz w:val="18"/>
                <w:szCs w:val="18"/>
              </w:rPr>
              <w:t>658,9</w:t>
            </w:r>
          </w:p>
        </w:tc>
        <w:tc>
          <w:tcPr>
            <w:tcW w:w="3686" w:type="dxa"/>
            <w:tcBorders>
              <w:left w:val="single" w:sz="18" w:space="0" w:color="auto"/>
            </w:tcBorders>
          </w:tcPr>
          <w:p w14:paraId="414F2687" w14:textId="44CE2906" w:rsidR="00EB5A7B" w:rsidRDefault="00833166" w:rsidP="005F3966">
            <w:pPr>
              <w:spacing w:before="40" w:after="40" w:line="280" w:lineRule="atLeast"/>
              <w:rPr>
                <w:rFonts w:ascii="Verdana" w:hAnsi="Verdana"/>
                <w:color w:val="000000"/>
                <w:sz w:val="18"/>
                <w:szCs w:val="18"/>
              </w:rPr>
            </w:pPr>
            <w:r>
              <w:rPr>
                <w:rFonts w:ascii="Verdana" w:hAnsi="Verdana"/>
                <w:color w:val="000000"/>
                <w:sz w:val="18"/>
                <w:szCs w:val="18"/>
              </w:rPr>
              <w:t>1nvest Palladium ET</w:t>
            </w:r>
            <w:r w:rsidR="005F3966">
              <w:rPr>
                <w:rFonts w:ascii="Verdana" w:hAnsi="Verdana"/>
                <w:color w:val="000000"/>
                <w:sz w:val="18"/>
                <w:szCs w:val="18"/>
              </w:rPr>
              <w:t>F</w:t>
            </w:r>
          </w:p>
        </w:tc>
        <w:tc>
          <w:tcPr>
            <w:tcW w:w="1275" w:type="dxa"/>
          </w:tcPr>
          <w:p w14:paraId="352364C1" w14:textId="00C575F4" w:rsidR="00EB5A7B" w:rsidRDefault="00833166" w:rsidP="005F3966">
            <w:pPr>
              <w:spacing w:before="40" w:after="40" w:line="280" w:lineRule="atLeast"/>
              <w:jc w:val="right"/>
              <w:rPr>
                <w:rFonts w:ascii="Verdana" w:hAnsi="Verdana"/>
                <w:color w:val="000000"/>
                <w:sz w:val="18"/>
                <w:szCs w:val="18"/>
              </w:rPr>
            </w:pPr>
            <w:r>
              <w:rPr>
                <w:rFonts w:ascii="Verdana" w:hAnsi="Verdana"/>
                <w:color w:val="000000"/>
                <w:sz w:val="18"/>
                <w:szCs w:val="18"/>
              </w:rPr>
              <w:t>(1 016,8)</w:t>
            </w:r>
          </w:p>
        </w:tc>
      </w:tr>
      <w:tr w:rsidR="00EB5A7B" w:rsidRPr="006015AB" w14:paraId="48B0DE1C" w14:textId="66C7BFCA" w:rsidTr="00A91E44">
        <w:trPr>
          <w:trHeight w:val="217"/>
        </w:trPr>
        <w:tc>
          <w:tcPr>
            <w:tcW w:w="9922" w:type="dxa"/>
            <w:gridSpan w:val="4"/>
            <w:shd w:val="clear" w:color="auto" w:fill="auto"/>
            <w:vAlign w:val="center"/>
          </w:tcPr>
          <w:p w14:paraId="18159242" w14:textId="207A2159" w:rsidR="00EB5A7B" w:rsidRPr="006015AB" w:rsidRDefault="00EB5A7B" w:rsidP="0009342B">
            <w:pPr>
              <w:spacing w:after="40" w:line="260" w:lineRule="atLeast"/>
              <w:rPr>
                <w:rFonts w:ascii="Verdana" w:hAnsi="Verdana"/>
                <w:i/>
                <w:color w:val="000000"/>
                <w:sz w:val="14"/>
                <w:szCs w:val="14"/>
              </w:rPr>
            </w:pPr>
            <w:r w:rsidRPr="006015AB">
              <w:rPr>
                <w:rFonts w:ascii="Verdana" w:hAnsi="Verdana"/>
                <w:i/>
                <w:color w:val="000000"/>
                <w:sz w:val="14"/>
                <w:szCs w:val="14"/>
              </w:rPr>
              <w:t>Source: etfSA.co.za Quarterly S</w:t>
            </w:r>
            <w:r>
              <w:rPr>
                <w:rFonts w:ascii="Verdana" w:hAnsi="Verdana"/>
                <w:i/>
                <w:color w:val="000000"/>
                <w:sz w:val="14"/>
                <w:szCs w:val="14"/>
              </w:rPr>
              <w:t xml:space="preserve">ecurities in Issue and New Capital Raised Survey </w:t>
            </w:r>
            <w:r w:rsidR="00833166">
              <w:rPr>
                <w:rFonts w:ascii="Verdana" w:hAnsi="Verdana"/>
                <w:i/>
                <w:color w:val="000000"/>
                <w:sz w:val="14"/>
                <w:szCs w:val="14"/>
              </w:rPr>
              <w:t>Dec</w:t>
            </w:r>
            <w:r>
              <w:rPr>
                <w:rFonts w:ascii="Verdana" w:hAnsi="Verdana"/>
                <w:i/>
                <w:color w:val="000000"/>
                <w:sz w:val="14"/>
                <w:szCs w:val="14"/>
              </w:rPr>
              <w:t>ember 2022).</w:t>
            </w:r>
          </w:p>
        </w:tc>
      </w:tr>
    </w:tbl>
    <w:p w14:paraId="3AA846C8" w14:textId="77777777" w:rsidR="00833166" w:rsidRPr="005F3966" w:rsidRDefault="00833166" w:rsidP="005F3966">
      <w:pPr>
        <w:spacing w:after="0" w:line="240" w:lineRule="auto"/>
        <w:rPr>
          <w:rFonts w:ascii="Verdana" w:hAnsi="Verdana"/>
          <w:sz w:val="16"/>
          <w:szCs w:val="16"/>
        </w:rPr>
      </w:pPr>
    </w:p>
    <w:p w14:paraId="2920492F" w14:textId="4AC4B973" w:rsidR="00833166" w:rsidRDefault="00833166" w:rsidP="005F3966">
      <w:pPr>
        <w:spacing w:after="0" w:line="320" w:lineRule="atLeast"/>
        <w:jc w:val="both"/>
        <w:rPr>
          <w:rFonts w:ascii="Verdana" w:hAnsi="Verdana"/>
          <w:sz w:val="21"/>
          <w:szCs w:val="21"/>
        </w:rPr>
      </w:pPr>
      <w:r>
        <w:rPr>
          <w:rFonts w:ascii="Verdana" w:hAnsi="Verdana"/>
          <w:sz w:val="21"/>
          <w:szCs w:val="21"/>
        </w:rPr>
        <w:t xml:space="preserve">Table </w:t>
      </w:r>
      <w:r w:rsidR="00CF407A">
        <w:rPr>
          <w:rFonts w:ascii="Verdana" w:hAnsi="Verdana"/>
          <w:sz w:val="21"/>
          <w:szCs w:val="21"/>
        </w:rPr>
        <w:t>C</w:t>
      </w:r>
      <w:r>
        <w:rPr>
          <w:rFonts w:ascii="Verdana" w:hAnsi="Verdana"/>
          <w:sz w:val="21"/>
          <w:szCs w:val="21"/>
        </w:rPr>
        <w:t xml:space="preserve"> demonstrates the sharp negative impact on the scale of the ETP industry arising from the delisting of a significant number of securities by the issuers of precious metal ET</w:t>
      </w:r>
      <w:r w:rsidR="005F3966">
        <w:rPr>
          <w:rFonts w:ascii="Verdana" w:hAnsi="Verdana"/>
          <w:sz w:val="21"/>
          <w:szCs w:val="21"/>
        </w:rPr>
        <w:t>F</w:t>
      </w:r>
      <w:r>
        <w:rPr>
          <w:rFonts w:ascii="Verdana" w:hAnsi="Verdana"/>
          <w:sz w:val="21"/>
          <w:szCs w:val="21"/>
        </w:rPr>
        <w:t xml:space="preserve">s. </w:t>
      </w:r>
      <w:r w:rsidR="005F3966">
        <w:rPr>
          <w:rFonts w:ascii="Verdana" w:hAnsi="Verdana"/>
          <w:sz w:val="21"/>
          <w:szCs w:val="21"/>
        </w:rPr>
        <w:t xml:space="preserve"> Most e</w:t>
      </w:r>
      <w:r>
        <w:rPr>
          <w:rFonts w:ascii="Verdana" w:hAnsi="Verdana"/>
          <w:sz w:val="21"/>
          <w:szCs w:val="21"/>
        </w:rPr>
        <w:t xml:space="preserve">quity tracking ETFs, listed foreign referenced and locally referenced indices, continued to attract new investor interest and </w:t>
      </w:r>
      <w:r w:rsidR="005F3966">
        <w:rPr>
          <w:rFonts w:ascii="Verdana" w:hAnsi="Verdana"/>
          <w:sz w:val="21"/>
          <w:szCs w:val="21"/>
        </w:rPr>
        <w:t xml:space="preserve">led </w:t>
      </w:r>
      <w:r>
        <w:rPr>
          <w:rFonts w:ascii="Verdana" w:hAnsi="Verdana"/>
          <w:sz w:val="21"/>
          <w:szCs w:val="21"/>
        </w:rPr>
        <w:t>to additional securities being listed.  It remains to be seen if the delistings of commodity ETPs will continue in 2023, or if this was more of a one</w:t>
      </w:r>
      <w:r w:rsidR="005F3966">
        <w:rPr>
          <w:rFonts w:ascii="Verdana" w:hAnsi="Verdana"/>
          <w:sz w:val="21"/>
          <w:szCs w:val="21"/>
        </w:rPr>
        <w:t>-</w:t>
      </w:r>
      <w:r>
        <w:rPr>
          <w:rFonts w:ascii="Verdana" w:hAnsi="Verdana"/>
          <w:sz w:val="21"/>
          <w:szCs w:val="21"/>
        </w:rPr>
        <w:t>off event.</w:t>
      </w:r>
    </w:p>
    <w:p w14:paraId="7AF34A1E" w14:textId="4995E925" w:rsidR="006015AB" w:rsidRDefault="003F5A9C" w:rsidP="005F3966">
      <w:pPr>
        <w:spacing w:before="240" w:after="120" w:line="320" w:lineRule="atLeast"/>
        <w:rPr>
          <w:rFonts w:ascii="Verdana" w:hAnsi="Verdana"/>
          <w:b/>
          <w:bCs/>
          <w:color w:val="C00000"/>
        </w:rPr>
      </w:pPr>
      <w:r w:rsidRPr="007A7050">
        <w:rPr>
          <w:rFonts w:ascii="Verdana" w:hAnsi="Verdana"/>
          <w:b/>
          <w:bCs/>
          <w:color w:val="C00000"/>
        </w:rPr>
        <w:t>Snapshot of the SA ETP Industry as at 3</w:t>
      </w:r>
      <w:r w:rsidR="008214E0">
        <w:rPr>
          <w:rFonts w:ascii="Verdana" w:hAnsi="Verdana"/>
          <w:b/>
          <w:bCs/>
          <w:color w:val="C00000"/>
        </w:rPr>
        <w:t>0</w:t>
      </w:r>
      <w:r w:rsidRPr="007A7050">
        <w:rPr>
          <w:rFonts w:ascii="Verdana" w:hAnsi="Verdana"/>
          <w:b/>
          <w:bCs/>
          <w:color w:val="C00000"/>
        </w:rPr>
        <w:t xml:space="preserve"> </w:t>
      </w:r>
      <w:r w:rsidR="006B3D57">
        <w:rPr>
          <w:rFonts w:ascii="Verdana" w:hAnsi="Verdana"/>
          <w:b/>
          <w:bCs/>
          <w:color w:val="C00000"/>
        </w:rPr>
        <w:t>Dece</w:t>
      </w:r>
      <w:r w:rsidR="00C47F84">
        <w:rPr>
          <w:rFonts w:ascii="Verdana" w:hAnsi="Verdana"/>
          <w:b/>
          <w:bCs/>
          <w:color w:val="C00000"/>
        </w:rPr>
        <w:t>mber</w:t>
      </w:r>
      <w:r w:rsidRPr="007A7050">
        <w:rPr>
          <w:rFonts w:ascii="Verdana" w:hAnsi="Verdana"/>
          <w:b/>
          <w:bCs/>
          <w:color w:val="C00000"/>
        </w:rPr>
        <w:t xml:space="preserve"> 20</w:t>
      </w:r>
      <w:r>
        <w:rPr>
          <w:rFonts w:ascii="Verdana" w:hAnsi="Verdana"/>
          <w:b/>
          <w:bCs/>
          <w:color w:val="C00000"/>
        </w:rPr>
        <w:t>2</w:t>
      </w:r>
      <w:r w:rsidR="00A143F4">
        <w:rPr>
          <w:rFonts w:ascii="Verdana" w:hAnsi="Verdana"/>
          <w:b/>
          <w:bCs/>
          <w:color w:val="C00000"/>
        </w:rPr>
        <w:t>2</w:t>
      </w:r>
    </w:p>
    <w:p w14:paraId="171E1872" w14:textId="2D85012D" w:rsidR="00833166" w:rsidRDefault="00833166" w:rsidP="005F3966">
      <w:pPr>
        <w:spacing w:before="120" w:after="120" w:line="320" w:lineRule="atLeast"/>
        <w:jc w:val="both"/>
        <w:rPr>
          <w:rFonts w:ascii="Verdana" w:hAnsi="Verdana"/>
          <w:color w:val="000000" w:themeColor="text1"/>
          <w:sz w:val="21"/>
          <w:szCs w:val="21"/>
        </w:rPr>
      </w:pPr>
      <w:r>
        <w:rPr>
          <w:rFonts w:ascii="Verdana" w:hAnsi="Verdana"/>
          <w:color w:val="000000" w:themeColor="text1"/>
          <w:sz w:val="21"/>
          <w:szCs w:val="21"/>
        </w:rPr>
        <w:t xml:space="preserve">Table </w:t>
      </w:r>
      <w:r w:rsidR="005F3966">
        <w:rPr>
          <w:rFonts w:ascii="Verdana" w:hAnsi="Verdana"/>
          <w:color w:val="000000" w:themeColor="text1"/>
          <w:sz w:val="21"/>
          <w:szCs w:val="21"/>
        </w:rPr>
        <w:t>D</w:t>
      </w:r>
      <w:r>
        <w:rPr>
          <w:rFonts w:ascii="Verdana" w:hAnsi="Verdana"/>
          <w:color w:val="000000" w:themeColor="text1"/>
          <w:sz w:val="21"/>
          <w:szCs w:val="21"/>
        </w:rPr>
        <w:t xml:space="preserve"> pr</w:t>
      </w:r>
      <w:r w:rsidR="005F3966">
        <w:rPr>
          <w:rFonts w:ascii="Verdana" w:hAnsi="Verdana"/>
          <w:color w:val="000000" w:themeColor="text1"/>
          <w:sz w:val="21"/>
          <w:szCs w:val="21"/>
        </w:rPr>
        <w:t>esents</w:t>
      </w:r>
      <w:r>
        <w:rPr>
          <w:rFonts w:ascii="Verdana" w:hAnsi="Verdana"/>
          <w:color w:val="000000" w:themeColor="text1"/>
          <w:sz w:val="21"/>
          <w:szCs w:val="21"/>
        </w:rPr>
        <w:t xml:space="preserve"> the total picture of the total Exchange Traded Product industry at the end of 2022.  The total number of ETPs in issue </w:t>
      </w:r>
      <w:r w:rsidR="005F3966">
        <w:rPr>
          <w:rFonts w:ascii="Verdana" w:hAnsi="Verdana"/>
          <w:color w:val="000000" w:themeColor="text1"/>
          <w:sz w:val="21"/>
          <w:szCs w:val="21"/>
        </w:rPr>
        <w:t xml:space="preserve">amounted to 183 </w:t>
      </w:r>
      <w:r>
        <w:rPr>
          <w:rFonts w:ascii="Verdana" w:hAnsi="Verdana"/>
          <w:color w:val="000000" w:themeColor="text1"/>
          <w:sz w:val="21"/>
          <w:szCs w:val="21"/>
        </w:rPr>
        <w:t xml:space="preserve">with a total market capitalisation of R129 310,9 million.  In accordance with the changes in the JSE listing instructions, the table now also reflects the Actively Managed Certificates (AMCs) in issue. </w:t>
      </w:r>
    </w:p>
    <w:p w14:paraId="1958CFA2" w14:textId="2B577625" w:rsidR="00833166" w:rsidRPr="00833166" w:rsidRDefault="00833166" w:rsidP="00833166">
      <w:pPr>
        <w:spacing w:before="120" w:after="120" w:line="320" w:lineRule="atLeast"/>
        <w:rPr>
          <w:rFonts w:ascii="Verdana" w:hAnsi="Verdana"/>
          <w:b/>
          <w:bCs/>
          <w:color w:val="000000" w:themeColor="text1"/>
          <w:sz w:val="21"/>
          <w:szCs w:val="21"/>
        </w:rPr>
      </w:pPr>
      <w:r>
        <w:rPr>
          <w:rFonts w:ascii="Verdana" w:hAnsi="Verdana"/>
          <w:b/>
          <w:bCs/>
          <w:color w:val="000000" w:themeColor="text1"/>
          <w:sz w:val="21"/>
          <w:szCs w:val="21"/>
        </w:rPr>
        <w:t xml:space="preserve">Table </w:t>
      </w:r>
      <w:r w:rsidR="005F3966">
        <w:rPr>
          <w:rFonts w:ascii="Verdana" w:hAnsi="Verdana"/>
          <w:b/>
          <w:bCs/>
          <w:color w:val="000000" w:themeColor="text1"/>
          <w:sz w:val="21"/>
          <w:szCs w:val="21"/>
        </w:rPr>
        <w:t>D</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
        <w:gridCol w:w="1560"/>
        <w:gridCol w:w="850"/>
        <w:gridCol w:w="851"/>
        <w:gridCol w:w="850"/>
        <w:gridCol w:w="1276"/>
        <w:gridCol w:w="992"/>
        <w:gridCol w:w="992"/>
        <w:gridCol w:w="1701"/>
      </w:tblGrid>
      <w:tr w:rsidR="006015AB" w:rsidRPr="00AB6CBE" w14:paraId="1D20FF11" w14:textId="77777777" w:rsidTr="00754CF9">
        <w:tc>
          <w:tcPr>
            <w:tcW w:w="10206" w:type="dxa"/>
            <w:gridSpan w:val="10"/>
            <w:shd w:val="clear" w:color="auto" w:fill="C00000"/>
            <w:vAlign w:val="center"/>
          </w:tcPr>
          <w:p w14:paraId="626F61D9" w14:textId="77777777" w:rsidR="006015AB" w:rsidRPr="003B4F95" w:rsidRDefault="006015AB" w:rsidP="00754CF9">
            <w:pPr>
              <w:spacing w:before="40" w:after="60" w:line="28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6609B2E6" w14:textId="4C41D6BC" w:rsidR="006015AB" w:rsidRPr="003B4F95" w:rsidRDefault="006015AB" w:rsidP="00754CF9">
            <w:pPr>
              <w:spacing w:before="40" w:after="60" w:line="280" w:lineRule="atLeast"/>
              <w:jc w:val="center"/>
              <w:rPr>
                <w:rFonts w:ascii="Verdana" w:hAnsi="Verdana"/>
                <w:b/>
                <w:color w:val="FFFFFF"/>
                <w:sz w:val="18"/>
                <w:szCs w:val="18"/>
              </w:rPr>
            </w:pPr>
            <w:r w:rsidRPr="003B4F95">
              <w:rPr>
                <w:rFonts w:ascii="Verdana" w:hAnsi="Verdana"/>
                <w:b/>
                <w:color w:val="FFFFFF"/>
                <w:sz w:val="18"/>
                <w:szCs w:val="18"/>
              </w:rPr>
              <w:t xml:space="preserve">(as at </w:t>
            </w:r>
            <w:r>
              <w:rPr>
                <w:rFonts w:ascii="Verdana" w:hAnsi="Verdana"/>
                <w:b/>
                <w:color w:val="FFFFFF"/>
                <w:sz w:val="18"/>
                <w:szCs w:val="18"/>
              </w:rPr>
              <w:t>3</w:t>
            </w:r>
            <w:r w:rsidR="008214E0">
              <w:rPr>
                <w:rFonts w:ascii="Verdana" w:hAnsi="Verdana"/>
                <w:b/>
                <w:color w:val="FFFFFF"/>
                <w:sz w:val="18"/>
                <w:szCs w:val="18"/>
              </w:rPr>
              <w:t>0</w:t>
            </w:r>
            <w:r>
              <w:rPr>
                <w:rFonts w:ascii="Verdana" w:hAnsi="Verdana"/>
                <w:b/>
                <w:color w:val="FFFFFF"/>
                <w:sz w:val="18"/>
                <w:szCs w:val="18"/>
              </w:rPr>
              <w:t xml:space="preserve"> </w:t>
            </w:r>
            <w:r w:rsidR="006B3D57">
              <w:rPr>
                <w:rFonts w:ascii="Verdana" w:hAnsi="Verdana"/>
                <w:b/>
                <w:color w:val="FFFFFF"/>
                <w:sz w:val="18"/>
                <w:szCs w:val="18"/>
              </w:rPr>
              <w:t>Dec</w:t>
            </w:r>
            <w:r w:rsidR="00C47F84">
              <w:rPr>
                <w:rFonts w:ascii="Verdana" w:hAnsi="Verdana"/>
                <w:b/>
                <w:color w:val="FFFFFF"/>
                <w:sz w:val="18"/>
                <w:szCs w:val="18"/>
              </w:rPr>
              <w:t>ember</w:t>
            </w:r>
            <w:r w:rsidRPr="003B4F95">
              <w:rPr>
                <w:rFonts w:ascii="Verdana" w:hAnsi="Verdana"/>
                <w:b/>
                <w:color w:val="FFFFFF"/>
                <w:sz w:val="18"/>
                <w:szCs w:val="18"/>
              </w:rPr>
              <w:t xml:space="preserve"> 20</w:t>
            </w:r>
            <w:r>
              <w:rPr>
                <w:rFonts w:ascii="Verdana" w:hAnsi="Verdana"/>
                <w:b/>
                <w:color w:val="FFFFFF"/>
                <w:sz w:val="18"/>
                <w:szCs w:val="18"/>
              </w:rPr>
              <w:t>2</w:t>
            </w:r>
            <w:r w:rsidR="004E53E1">
              <w:rPr>
                <w:rFonts w:ascii="Verdana" w:hAnsi="Verdana"/>
                <w:b/>
                <w:color w:val="FFFFFF"/>
                <w:sz w:val="18"/>
                <w:szCs w:val="18"/>
              </w:rPr>
              <w:t>2</w:t>
            </w:r>
            <w:r w:rsidRPr="003B4F95">
              <w:rPr>
                <w:rFonts w:ascii="Verdana" w:hAnsi="Verdana"/>
                <w:b/>
                <w:color w:val="FFFFFF"/>
                <w:sz w:val="18"/>
                <w:szCs w:val="18"/>
              </w:rPr>
              <w:t>)</w:t>
            </w:r>
          </w:p>
        </w:tc>
      </w:tr>
      <w:tr w:rsidR="006015AB" w:rsidRPr="00AB6CBE" w14:paraId="76BF6CAD" w14:textId="77777777" w:rsidTr="003B775C">
        <w:trPr>
          <w:trHeight w:val="311"/>
        </w:trPr>
        <w:tc>
          <w:tcPr>
            <w:tcW w:w="851" w:type="dxa"/>
            <w:vMerge w:val="restart"/>
            <w:shd w:val="clear" w:color="auto" w:fill="4C4C4C"/>
            <w:vAlign w:val="center"/>
          </w:tcPr>
          <w:p w14:paraId="15E5FD07" w14:textId="77777777" w:rsidR="006015AB" w:rsidRPr="003B4F95" w:rsidRDefault="006015AB" w:rsidP="00754CF9">
            <w:pPr>
              <w:spacing w:before="40" w:after="60" w:line="280" w:lineRule="atLeast"/>
              <w:rPr>
                <w:rFonts w:ascii="Verdana" w:hAnsi="Verdana"/>
                <w:b/>
                <w:color w:val="FFFFFF"/>
                <w:sz w:val="18"/>
                <w:szCs w:val="18"/>
              </w:rPr>
            </w:pPr>
          </w:p>
        </w:tc>
        <w:tc>
          <w:tcPr>
            <w:tcW w:w="1843" w:type="dxa"/>
            <w:gridSpan w:val="2"/>
            <w:vMerge w:val="restart"/>
            <w:shd w:val="clear" w:color="auto" w:fill="4C4C4C"/>
            <w:vAlign w:val="center"/>
          </w:tcPr>
          <w:p w14:paraId="3328C4D1" w14:textId="77777777" w:rsidR="006015AB" w:rsidRPr="003B4F95" w:rsidRDefault="006015AB" w:rsidP="00754CF9">
            <w:pPr>
              <w:spacing w:before="40" w:after="60" w:line="280" w:lineRule="atLeast"/>
              <w:rPr>
                <w:rFonts w:ascii="Verdana" w:hAnsi="Verdana"/>
                <w:b/>
                <w:color w:val="FFFFFF"/>
                <w:sz w:val="18"/>
                <w:szCs w:val="18"/>
              </w:rPr>
            </w:pPr>
            <w:r w:rsidRPr="003B4F95">
              <w:rPr>
                <w:rFonts w:ascii="Verdana" w:hAnsi="Verdana"/>
                <w:b/>
                <w:color w:val="FFFFFF"/>
                <w:sz w:val="18"/>
                <w:szCs w:val="18"/>
              </w:rPr>
              <w:t>Issuer</w:t>
            </w:r>
          </w:p>
        </w:tc>
        <w:tc>
          <w:tcPr>
            <w:tcW w:w="2551" w:type="dxa"/>
            <w:gridSpan w:val="3"/>
            <w:shd w:val="clear" w:color="auto" w:fill="4C4C4C"/>
            <w:vAlign w:val="center"/>
          </w:tcPr>
          <w:p w14:paraId="3E136682" w14:textId="77777777" w:rsidR="006015AB" w:rsidRPr="003B4F95" w:rsidRDefault="006015AB" w:rsidP="00754CF9">
            <w:pPr>
              <w:spacing w:before="40" w:after="60" w:line="280" w:lineRule="atLeast"/>
              <w:jc w:val="center"/>
              <w:rPr>
                <w:rFonts w:ascii="Verdana" w:hAnsi="Verdana"/>
                <w:b/>
                <w:color w:val="FFFFFF"/>
                <w:sz w:val="18"/>
                <w:szCs w:val="18"/>
              </w:rPr>
            </w:pPr>
            <w:r>
              <w:rPr>
                <w:rFonts w:ascii="Verdana" w:hAnsi="Verdana"/>
                <w:b/>
                <w:color w:val="FFFFFF"/>
                <w:sz w:val="18"/>
                <w:szCs w:val="18"/>
              </w:rPr>
              <w:t>Number of Products</w:t>
            </w:r>
          </w:p>
        </w:tc>
        <w:tc>
          <w:tcPr>
            <w:tcW w:w="3260" w:type="dxa"/>
            <w:gridSpan w:val="3"/>
            <w:shd w:val="clear" w:color="auto" w:fill="4C4C4C"/>
            <w:vAlign w:val="center"/>
          </w:tcPr>
          <w:p w14:paraId="0950683D" w14:textId="77777777" w:rsidR="006015AB" w:rsidRPr="003B4F95" w:rsidRDefault="006015AB" w:rsidP="00754CF9">
            <w:pPr>
              <w:spacing w:before="40" w:after="60" w:line="280" w:lineRule="atLeast"/>
              <w:jc w:val="center"/>
              <w:rPr>
                <w:rFonts w:ascii="Verdana" w:hAnsi="Verdana"/>
                <w:b/>
                <w:color w:val="FFFFFF"/>
                <w:sz w:val="18"/>
                <w:szCs w:val="18"/>
              </w:rPr>
            </w:pPr>
            <w:r w:rsidRPr="003B4F95">
              <w:rPr>
                <w:rFonts w:ascii="Verdana" w:hAnsi="Verdana"/>
                <w:b/>
                <w:color w:val="FFFFFF"/>
                <w:sz w:val="18"/>
                <w:szCs w:val="18"/>
              </w:rPr>
              <w:t>Value (Market Cap) of Shares in Issue (Rm)</w:t>
            </w:r>
          </w:p>
        </w:tc>
        <w:tc>
          <w:tcPr>
            <w:tcW w:w="1701" w:type="dxa"/>
            <w:vMerge w:val="restart"/>
            <w:shd w:val="clear" w:color="auto" w:fill="4C4C4C"/>
            <w:vAlign w:val="center"/>
          </w:tcPr>
          <w:p w14:paraId="6CBBABEC" w14:textId="77777777" w:rsidR="006015AB" w:rsidRPr="003B4F95" w:rsidRDefault="006015AB" w:rsidP="00D74A04">
            <w:pPr>
              <w:spacing w:before="40" w:after="60" w:line="320" w:lineRule="atLeast"/>
              <w:jc w:val="right"/>
              <w:rPr>
                <w:rFonts w:ascii="Verdana" w:hAnsi="Verdana"/>
                <w:b/>
                <w:color w:val="FFFFFF"/>
                <w:sz w:val="18"/>
                <w:szCs w:val="18"/>
              </w:rPr>
            </w:pPr>
            <w:r>
              <w:rPr>
                <w:rFonts w:ascii="Verdana" w:hAnsi="Verdana"/>
                <w:b/>
                <w:color w:val="FFFFFF"/>
                <w:sz w:val="18"/>
                <w:szCs w:val="18"/>
              </w:rPr>
              <w:t>Total Market Capitalisation</w:t>
            </w:r>
            <w:r w:rsidRPr="003B4F95">
              <w:rPr>
                <w:rFonts w:ascii="Verdana" w:hAnsi="Verdana"/>
                <w:b/>
                <w:color w:val="FFFFFF"/>
                <w:sz w:val="18"/>
                <w:szCs w:val="18"/>
              </w:rPr>
              <w:t xml:space="preserve"> (Rm)</w:t>
            </w:r>
          </w:p>
        </w:tc>
      </w:tr>
      <w:tr w:rsidR="00754CF9" w:rsidRPr="00AB6CBE" w14:paraId="17CB071B" w14:textId="77777777" w:rsidTr="003B775C">
        <w:trPr>
          <w:trHeight w:val="311"/>
        </w:trPr>
        <w:tc>
          <w:tcPr>
            <w:tcW w:w="851" w:type="dxa"/>
            <w:vMerge/>
            <w:shd w:val="clear" w:color="auto" w:fill="4C4C4C"/>
            <w:vAlign w:val="center"/>
          </w:tcPr>
          <w:p w14:paraId="28B91113" w14:textId="77777777" w:rsidR="00754CF9" w:rsidRPr="003B4F95" w:rsidRDefault="00754CF9" w:rsidP="00D74A04">
            <w:pPr>
              <w:spacing w:before="40" w:after="60" w:line="320" w:lineRule="atLeast"/>
              <w:rPr>
                <w:rFonts w:ascii="Verdana" w:hAnsi="Verdana"/>
                <w:b/>
                <w:color w:val="FFFFFF"/>
                <w:sz w:val="18"/>
                <w:szCs w:val="18"/>
              </w:rPr>
            </w:pPr>
          </w:p>
        </w:tc>
        <w:tc>
          <w:tcPr>
            <w:tcW w:w="1843" w:type="dxa"/>
            <w:gridSpan w:val="2"/>
            <w:vMerge/>
            <w:shd w:val="clear" w:color="auto" w:fill="4C4C4C"/>
          </w:tcPr>
          <w:p w14:paraId="5ED0D2DA" w14:textId="77777777" w:rsidR="00754CF9" w:rsidRPr="003B4F95" w:rsidRDefault="00754CF9" w:rsidP="00D74A04">
            <w:pPr>
              <w:spacing w:before="40" w:after="60" w:line="320" w:lineRule="atLeast"/>
              <w:rPr>
                <w:rFonts w:ascii="Verdana" w:hAnsi="Verdana"/>
                <w:b/>
                <w:color w:val="FFFFFF"/>
                <w:sz w:val="18"/>
                <w:szCs w:val="18"/>
              </w:rPr>
            </w:pPr>
          </w:p>
        </w:tc>
        <w:tc>
          <w:tcPr>
            <w:tcW w:w="850" w:type="dxa"/>
            <w:shd w:val="clear" w:color="auto" w:fill="4C4C4C"/>
            <w:vAlign w:val="center"/>
          </w:tcPr>
          <w:p w14:paraId="0C35E3F1" w14:textId="77777777" w:rsidR="00754CF9" w:rsidRPr="003B4F95" w:rsidRDefault="00754CF9" w:rsidP="00754CF9">
            <w:pPr>
              <w:spacing w:before="40" w:after="60" w:line="280" w:lineRule="atLeast"/>
              <w:jc w:val="center"/>
              <w:rPr>
                <w:rFonts w:ascii="Verdana" w:hAnsi="Verdana"/>
                <w:b/>
                <w:color w:val="FFFFFF"/>
                <w:sz w:val="18"/>
                <w:szCs w:val="18"/>
              </w:rPr>
            </w:pPr>
            <w:r w:rsidRPr="003B4F95">
              <w:rPr>
                <w:rFonts w:ascii="Verdana" w:hAnsi="Verdana"/>
                <w:b/>
                <w:color w:val="FFFFFF"/>
                <w:sz w:val="18"/>
                <w:szCs w:val="18"/>
              </w:rPr>
              <w:t>ETFs</w:t>
            </w:r>
          </w:p>
        </w:tc>
        <w:tc>
          <w:tcPr>
            <w:tcW w:w="851" w:type="dxa"/>
            <w:shd w:val="clear" w:color="auto" w:fill="4C4C4C"/>
            <w:vAlign w:val="center"/>
          </w:tcPr>
          <w:p w14:paraId="43417E08" w14:textId="77777777" w:rsidR="00754CF9" w:rsidRPr="003B4F95" w:rsidRDefault="00754CF9" w:rsidP="00754CF9">
            <w:pPr>
              <w:spacing w:before="40" w:after="60" w:line="280" w:lineRule="atLeast"/>
              <w:jc w:val="center"/>
              <w:rPr>
                <w:rFonts w:ascii="Verdana" w:hAnsi="Verdana"/>
                <w:b/>
                <w:color w:val="FFFFFF"/>
                <w:sz w:val="18"/>
                <w:szCs w:val="18"/>
              </w:rPr>
            </w:pPr>
            <w:r>
              <w:rPr>
                <w:rFonts w:ascii="Verdana" w:hAnsi="Verdana"/>
                <w:b/>
                <w:color w:val="FFFFFF"/>
                <w:sz w:val="18"/>
                <w:szCs w:val="18"/>
              </w:rPr>
              <w:t>ETN</w:t>
            </w:r>
            <w:r w:rsidRPr="003B4F95">
              <w:rPr>
                <w:rFonts w:ascii="Verdana" w:hAnsi="Verdana"/>
                <w:b/>
                <w:color w:val="FFFFFF"/>
                <w:sz w:val="18"/>
                <w:szCs w:val="18"/>
              </w:rPr>
              <w:t>s</w:t>
            </w:r>
          </w:p>
        </w:tc>
        <w:tc>
          <w:tcPr>
            <w:tcW w:w="850" w:type="dxa"/>
            <w:shd w:val="clear" w:color="auto" w:fill="4C4C4C"/>
            <w:vAlign w:val="center"/>
          </w:tcPr>
          <w:p w14:paraId="0A7659DD" w14:textId="4C537909" w:rsidR="00754CF9" w:rsidRPr="003B4F95" w:rsidRDefault="00754CF9" w:rsidP="00754CF9">
            <w:pPr>
              <w:spacing w:before="40" w:after="60" w:line="280" w:lineRule="atLeast"/>
              <w:jc w:val="center"/>
              <w:rPr>
                <w:rFonts w:ascii="Verdana" w:hAnsi="Verdana"/>
                <w:b/>
                <w:color w:val="FFFFFF"/>
                <w:sz w:val="18"/>
                <w:szCs w:val="18"/>
              </w:rPr>
            </w:pPr>
            <w:r>
              <w:rPr>
                <w:rFonts w:ascii="Verdana" w:hAnsi="Verdana"/>
                <w:b/>
                <w:color w:val="FFFFFF"/>
                <w:sz w:val="18"/>
                <w:szCs w:val="18"/>
              </w:rPr>
              <w:t>AMCs</w:t>
            </w:r>
          </w:p>
        </w:tc>
        <w:tc>
          <w:tcPr>
            <w:tcW w:w="1276" w:type="dxa"/>
            <w:shd w:val="clear" w:color="auto" w:fill="4C4C4C"/>
            <w:vAlign w:val="center"/>
          </w:tcPr>
          <w:p w14:paraId="7962276F" w14:textId="77777777" w:rsidR="00754CF9" w:rsidRPr="003B4F95" w:rsidRDefault="00754CF9" w:rsidP="00754CF9">
            <w:pPr>
              <w:spacing w:before="40" w:after="60" w:line="280" w:lineRule="atLeast"/>
              <w:jc w:val="right"/>
              <w:rPr>
                <w:rFonts w:ascii="Verdana" w:hAnsi="Verdana"/>
                <w:b/>
                <w:color w:val="FFFFFF"/>
                <w:sz w:val="18"/>
                <w:szCs w:val="18"/>
              </w:rPr>
            </w:pPr>
            <w:r w:rsidRPr="003B4F95">
              <w:rPr>
                <w:rFonts w:ascii="Verdana" w:hAnsi="Verdana"/>
                <w:b/>
                <w:color w:val="FFFFFF"/>
                <w:sz w:val="18"/>
                <w:szCs w:val="18"/>
              </w:rPr>
              <w:t>ETFs</w:t>
            </w:r>
          </w:p>
        </w:tc>
        <w:tc>
          <w:tcPr>
            <w:tcW w:w="992" w:type="dxa"/>
            <w:shd w:val="clear" w:color="auto" w:fill="4C4C4C"/>
            <w:vAlign w:val="center"/>
          </w:tcPr>
          <w:p w14:paraId="6498964E" w14:textId="77777777" w:rsidR="00754CF9" w:rsidRPr="003B4F95" w:rsidRDefault="00754CF9" w:rsidP="00754CF9">
            <w:pPr>
              <w:spacing w:before="40" w:after="60" w:line="280" w:lineRule="atLeast"/>
              <w:jc w:val="right"/>
              <w:rPr>
                <w:rFonts w:ascii="Verdana" w:hAnsi="Verdana"/>
                <w:b/>
                <w:color w:val="FFFFFF"/>
                <w:sz w:val="18"/>
                <w:szCs w:val="18"/>
              </w:rPr>
            </w:pPr>
            <w:r w:rsidRPr="003B4F95">
              <w:rPr>
                <w:rFonts w:ascii="Verdana" w:hAnsi="Verdana"/>
                <w:b/>
                <w:color w:val="FFFFFF"/>
                <w:sz w:val="18"/>
                <w:szCs w:val="18"/>
              </w:rPr>
              <w:t>ETNs</w:t>
            </w:r>
          </w:p>
        </w:tc>
        <w:tc>
          <w:tcPr>
            <w:tcW w:w="992" w:type="dxa"/>
            <w:shd w:val="clear" w:color="auto" w:fill="4C4C4C"/>
            <w:vAlign w:val="center"/>
          </w:tcPr>
          <w:p w14:paraId="458FB759" w14:textId="0D88F027" w:rsidR="00754CF9" w:rsidRPr="003B4F95" w:rsidRDefault="00754CF9" w:rsidP="00754CF9">
            <w:pPr>
              <w:spacing w:before="40" w:after="60" w:line="280" w:lineRule="atLeast"/>
              <w:jc w:val="right"/>
              <w:rPr>
                <w:rFonts w:ascii="Verdana" w:hAnsi="Verdana"/>
                <w:b/>
                <w:color w:val="FFFFFF"/>
                <w:sz w:val="18"/>
                <w:szCs w:val="18"/>
              </w:rPr>
            </w:pPr>
            <w:r>
              <w:rPr>
                <w:rFonts w:ascii="Verdana" w:hAnsi="Verdana"/>
                <w:b/>
                <w:color w:val="FFFFFF"/>
                <w:sz w:val="18"/>
                <w:szCs w:val="18"/>
              </w:rPr>
              <w:t>AMCs</w:t>
            </w:r>
          </w:p>
        </w:tc>
        <w:tc>
          <w:tcPr>
            <w:tcW w:w="1701" w:type="dxa"/>
            <w:vMerge/>
            <w:shd w:val="clear" w:color="auto" w:fill="4C4C4C"/>
            <w:vAlign w:val="center"/>
          </w:tcPr>
          <w:p w14:paraId="3579AC12" w14:textId="77777777" w:rsidR="00754CF9" w:rsidRPr="003B4F95" w:rsidRDefault="00754CF9" w:rsidP="00D74A04">
            <w:pPr>
              <w:spacing w:before="40" w:after="60" w:line="320" w:lineRule="atLeast"/>
              <w:jc w:val="right"/>
              <w:rPr>
                <w:rFonts w:ascii="Verdana" w:hAnsi="Verdana"/>
                <w:b/>
                <w:color w:val="FFFFFF"/>
                <w:sz w:val="18"/>
                <w:szCs w:val="18"/>
              </w:rPr>
            </w:pPr>
          </w:p>
        </w:tc>
      </w:tr>
      <w:tr w:rsidR="00871780" w:rsidRPr="00AB6CBE" w14:paraId="4B891F5E" w14:textId="77777777" w:rsidTr="003B775C">
        <w:tc>
          <w:tcPr>
            <w:tcW w:w="851" w:type="dxa"/>
            <w:shd w:val="clear" w:color="auto" w:fill="auto"/>
          </w:tcPr>
          <w:p w14:paraId="4B77F61A" w14:textId="77777777" w:rsidR="00871780" w:rsidRPr="00771D6F" w:rsidRDefault="00871780" w:rsidP="00871780">
            <w:pPr>
              <w:pStyle w:val="ListParagraph"/>
              <w:numPr>
                <w:ilvl w:val="0"/>
                <w:numId w:val="20"/>
              </w:numPr>
              <w:spacing w:before="40" w:after="60" w:line="320" w:lineRule="atLeast"/>
              <w:ind w:left="357" w:hanging="357"/>
              <w:rPr>
                <w:rFonts w:ascii="Verdana" w:hAnsi="Verdana"/>
                <w:color w:val="000000"/>
                <w:sz w:val="18"/>
                <w:szCs w:val="18"/>
              </w:rPr>
            </w:pPr>
          </w:p>
        </w:tc>
        <w:tc>
          <w:tcPr>
            <w:tcW w:w="1843" w:type="dxa"/>
            <w:gridSpan w:val="2"/>
            <w:shd w:val="clear" w:color="auto" w:fill="auto"/>
          </w:tcPr>
          <w:p w14:paraId="54291318" w14:textId="2CB37C84" w:rsidR="00871780" w:rsidRPr="00754CF9" w:rsidRDefault="00871780" w:rsidP="00871780">
            <w:pPr>
              <w:spacing w:before="40" w:after="60" w:line="320" w:lineRule="atLeast"/>
              <w:rPr>
                <w:rFonts w:ascii="Verdana" w:hAnsi="Verdana"/>
                <w:color w:val="000000" w:themeColor="text1"/>
                <w:sz w:val="18"/>
                <w:szCs w:val="18"/>
              </w:rPr>
            </w:pPr>
            <w:r w:rsidRPr="00754CF9">
              <w:rPr>
                <w:rFonts w:ascii="Verdana" w:hAnsi="Verdana"/>
                <w:color w:val="000000" w:themeColor="text1"/>
                <w:sz w:val="18"/>
                <w:szCs w:val="18"/>
              </w:rPr>
              <w:t>Satrix Managers</w:t>
            </w:r>
          </w:p>
        </w:tc>
        <w:tc>
          <w:tcPr>
            <w:tcW w:w="850" w:type="dxa"/>
            <w:shd w:val="clear" w:color="auto" w:fill="auto"/>
            <w:vAlign w:val="center"/>
          </w:tcPr>
          <w:p w14:paraId="46CE5CC8" w14:textId="3004E195" w:rsidR="00871780"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26</w:t>
            </w:r>
          </w:p>
        </w:tc>
        <w:tc>
          <w:tcPr>
            <w:tcW w:w="851" w:type="dxa"/>
            <w:shd w:val="clear" w:color="auto" w:fill="auto"/>
            <w:vAlign w:val="center"/>
          </w:tcPr>
          <w:p w14:paraId="350D7CB2" w14:textId="6CF897D4" w:rsidR="00871780"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850" w:type="dxa"/>
            <w:shd w:val="clear" w:color="auto" w:fill="auto"/>
            <w:vAlign w:val="center"/>
          </w:tcPr>
          <w:p w14:paraId="75CA2F0F" w14:textId="43C54186" w:rsidR="00871780"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1276" w:type="dxa"/>
            <w:vAlign w:val="center"/>
          </w:tcPr>
          <w:p w14:paraId="687C3A73" w14:textId="5A207A20" w:rsidR="00871780" w:rsidRDefault="00871780" w:rsidP="00871780">
            <w:pPr>
              <w:spacing w:before="40" w:after="60" w:line="320" w:lineRule="atLeast"/>
              <w:jc w:val="right"/>
              <w:rPr>
                <w:rFonts w:ascii="Verdana" w:hAnsi="Verdana"/>
                <w:color w:val="000000"/>
                <w:sz w:val="18"/>
                <w:szCs w:val="18"/>
              </w:rPr>
            </w:pPr>
            <w:r>
              <w:rPr>
                <w:rFonts w:ascii="Verdana" w:hAnsi="Verdana"/>
                <w:color w:val="000000"/>
                <w:sz w:val="18"/>
                <w:szCs w:val="18"/>
              </w:rPr>
              <w:t>37 748,4</w:t>
            </w:r>
          </w:p>
        </w:tc>
        <w:tc>
          <w:tcPr>
            <w:tcW w:w="992" w:type="dxa"/>
            <w:vAlign w:val="center"/>
          </w:tcPr>
          <w:p w14:paraId="40CDAD54" w14:textId="06F16DFE" w:rsidR="00871780" w:rsidRDefault="00871780" w:rsidP="00871780">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992" w:type="dxa"/>
            <w:vAlign w:val="center"/>
          </w:tcPr>
          <w:p w14:paraId="00DB2C1E" w14:textId="77154F2F" w:rsidR="00871780" w:rsidRDefault="00871780" w:rsidP="00871780">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1701" w:type="dxa"/>
            <w:vAlign w:val="center"/>
          </w:tcPr>
          <w:p w14:paraId="7338224F" w14:textId="7DAEE2D4" w:rsidR="00871780" w:rsidRDefault="00871780" w:rsidP="00871780">
            <w:pPr>
              <w:spacing w:before="40" w:after="60" w:line="320" w:lineRule="atLeast"/>
              <w:jc w:val="right"/>
              <w:rPr>
                <w:rFonts w:ascii="Verdana" w:hAnsi="Verdana"/>
                <w:color w:val="000000"/>
                <w:sz w:val="18"/>
                <w:szCs w:val="18"/>
              </w:rPr>
            </w:pPr>
            <w:r>
              <w:rPr>
                <w:rFonts w:ascii="Verdana" w:hAnsi="Verdana"/>
                <w:color w:val="000000"/>
                <w:sz w:val="18"/>
                <w:szCs w:val="18"/>
              </w:rPr>
              <w:t>37 748,4</w:t>
            </w:r>
          </w:p>
        </w:tc>
      </w:tr>
      <w:tr w:rsidR="00871780" w:rsidRPr="00AB6CBE" w14:paraId="0FE5F3BE" w14:textId="77777777" w:rsidTr="003B775C">
        <w:tc>
          <w:tcPr>
            <w:tcW w:w="851" w:type="dxa"/>
            <w:shd w:val="clear" w:color="auto" w:fill="auto"/>
          </w:tcPr>
          <w:p w14:paraId="3512065C" w14:textId="77777777" w:rsidR="00871780" w:rsidRPr="00771D6F" w:rsidRDefault="00871780" w:rsidP="00871780">
            <w:pPr>
              <w:pStyle w:val="ListParagraph"/>
              <w:numPr>
                <w:ilvl w:val="0"/>
                <w:numId w:val="20"/>
              </w:numPr>
              <w:spacing w:before="40" w:after="60" w:line="320" w:lineRule="atLeast"/>
              <w:ind w:left="357" w:hanging="357"/>
              <w:rPr>
                <w:rFonts w:ascii="Verdana" w:hAnsi="Verdana"/>
                <w:color w:val="000000"/>
                <w:sz w:val="18"/>
                <w:szCs w:val="18"/>
              </w:rPr>
            </w:pPr>
          </w:p>
        </w:tc>
        <w:tc>
          <w:tcPr>
            <w:tcW w:w="1843" w:type="dxa"/>
            <w:gridSpan w:val="2"/>
            <w:shd w:val="clear" w:color="auto" w:fill="auto"/>
          </w:tcPr>
          <w:p w14:paraId="0F8AB803" w14:textId="34697103" w:rsidR="00871780" w:rsidRPr="00754CF9" w:rsidRDefault="00871780" w:rsidP="00871780">
            <w:pPr>
              <w:spacing w:before="40" w:after="60" w:line="320" w:lineRule="atLeast"/>
              <w:rPr>
                <w:rFonts w:ascii="Verdana" w:hAnsi="Verdana"/>
                <w:color w:val="000000" w:themeColor="text1"/>
                <w:sz w:val="18"/>
                <w:szCs w:val="18"/>
              </w:rPr>
            </w:pPr>
            <w:r w:rsidRPr="00754CF9">
              <w:rPr>
                <w:rFonts w:ascii="Verdana" w:hAnsi="Verdana"/>
                <w:color w:val="000000" w:themeColor="text1"/>
                <w:sz w:val="18"/>
                <w:szCs w:val="18"/>
              </w:rPr>
              <w:t>Sygnia Itrix</w:t>
            </w:r>
          </w:p>
        </w:tc>
        <w:tc>
          <w:tcPr>
            <w:tcW w:w="850" w:type="dxa"/>
            <w:shd w:val="clear" w:color="auto" w:fill="auto"/>
            <w:vAlign w:val="center"/>
          </w:tcPr>
          <w:p w14:paraId="57C21498" w14:textId="75FB169C" w:rsidR="00871780" w:rsidRPr="003B4F95"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15</w:t>
            </w:r>
          </w:p>
        </w:tc>
        <w:tc>
          <w:tcPr>
            <w:tcW w:w="851" w:type="dxa"/>
            <w:shd w:val="clear" w:color="auto" w:fill="auto"/>
            <w:vAlign w:val="center"/>
          </w:tcPr>
          <w:p w14:paraId="6252A023" w14:textId="17E58BB1" w:rsidR="00871780" w:rsidRPr="003B4F95"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850" w:type="dxa"/>
            <w:shd w:val="clear" w:color="auto" w:fill="auto"/>
            <w:vAlign w:val="center"/>
          </w:tcPr>
          <w:p w14:paraId="4B9CEC53" w14:textId="016F9869" w:rsidR="00871780" w:rsidRPr="003B4F95"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1276" w:type="dxa"/>
            <w:vAlign w:val="center"/>
          </w:tcPr>
          <w:p w14:paraId="5E231593" w14:textId="0FAD5CFF" w:rsidR="00871780" w:rsidRPr="003B4F95" w:rsidRDefault="00871780" w:rsidP="00871780">
            <w:pPr>
              <w:spacing w:before="40" w:after="60" w:line="320" w:lineRule="atLeast"/>
              <w:jc w:val="right"/>
              <w:rPr>
                <w:rFonts w:ascii="Verdana" w:hAnsi="Verdana"/>
                <w:color w:val="000000"/>
                <w:sz w:val="18"/>
                <w:szCs w:val="18"/>
              </w:rPr>
            </w:pPr>
            <w:r>
              <w:rPr>
                <w:rFonts w:ascii="Verdana" w:hAnsi="Verdana"/>
                <w:color w:val="000000"/>
                <w:sz w:val="18"/>
                <w:szCs w:val="18"/>
              </w:rPr>
              <w:t>32 877,8</w:t>
            </w:r>
          </w:p>
        </w:tc>
        <w:tc>
          <w:tcPr>
            <w:tcW w:w="992" w:type="dxa"/>
            <w:vAlign w:val="center"/>
          </w:tcPr>
          <w:p w14:paraId="63B9D20A" w14:textId="168B417E" w:rsidR="00871780" w:rsidRPr="003B4F95" w:rsidRDefault="00871780" w:rsidP="00871780">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992" w:type="dxa"/>
            <w:vAlign w:val="center"/>
          </w:tcPr>
          <w:p w14:paraId="02FF980D" w14:textId="078BBAD5" w:rsidR="00871780" w:rsidRPr="003B4F95" w:rsidRDefault="00871780" w:rsidP="00871780">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1701" w:type="dxa"/>
            <w:vAlign w:val="center"/>
          </w:tcPr>
          <w:p w14:paraId="2278D090" w14:textId="3940D328" w:rsidR="00871780" w:rsidRPr="003B4F95" w:rsidRDefault="00871780" w:rsidP="00871780">
            <w:pPr>
              <w:spacing w:before="40" w:after="60" w:line="320" w:lineRule="atLeast"/>
              <w:jc w:val="right"/>
              <w:rPr>
                <w:rFonts w:ascii="Verdana" w:hAnsi="Verdana"/>
                <w:color w:val="000000"/>
                <w:sz w:val="18"/>
                <w:szCs w:val="18"/>
              </w:rPr>
            </w:pPr>
            <w:r>
              <w:rPr>
                <w:rFonts w:ascii="Verdana" w:hAnsi="Verdana"/>
                <w:color w:val="000000"/>
                <w:sz w:val="18"/>
                <w:szCs w:val="18"/>
              </w:rPr>
              <w:t>32 877,8</w:t>
            </w:r>
          </w:p>
        </w:tc>
      </w:tr>
      <w:tr w:rsidR="00871780" w:rsidRPr="00AB6CBE" w14:paraId="3E5AB5DE" w14:textId="77777777" w:rsidTr="003B775C">
        <w:tc>
          <w:tcPr>
            <w:tcW w:w="851" w:type="dxa"/>
            <w:shd w:val="clear" w:color="auto" w:fill="auto"/>
          </w:tcPr>
          <w:p w14:paraId="62DC651B" w14:textId="77777777" w:rsidR="00871780" w:rsidRPr="00771D6F" w:rsidRDefault="00871780" w:rsidP="00871780">
            <w:pPr>
              <w:pStyle w:val="ListParagraph"/>
              <w:numPr>
                <w:ilvl w:val="0"/>
                <w:numId w:val="20"/>
              </w:numPr>
              <w:spacing w:before="40" w:after="60" w:line="320" w:lineRule="atLeast"/>
              <w:ind w:left="357" w:hanging="357"/>
              <w:rPr>
                <w:rFonts w:ascii="Verdana" w:hAnsi="Verdana"/>
                <w:color w:val="000000"/>
                <w:sz w:val="18"/>
                <w:szCs w:val="18"/>
              </w:rPr>
            </w:pPr>
          </w:p>
        </w:tc>
        <w:tc>
          <w:tcPr>
            <w:tcW w:w="1843" w:type="dxa"/>
            <w:gridSpan w:val="2"/>
            <w:shd w:val="clear" w:color="auto" w:fill="auto"/>
          </w:tcPr>
          <w:p w14:paraId="3C1FB5E5" w14:textId="77777777" w:rsidR="00871780" w:rsidRPr="00754CF9" w:rsidRDefault="00871780" w:rsidP="00871780">
            <w:pPr>
              <w:spacing w:before="40" w:after="60" w:line="320" w:lineRule="atLeast"/>
              <w:rPr>
                <w:rFonts w:ascii="Verdana" w:hAnsi="Verdana"/>
                <w:color w:val="000000" w:themeColor="text1"/>
                <w:sz w:val="18"/>
                <w:szCs w:val="18"/>
              </w:rPr>
            </w:pPr>
            <w:r w:rsidRPr="00754CF9">
              <w:rPr>
                <w:rFonts w:ascii="Verdana" w:hAnsi="Verdana"/>
                <w:color w:val="000000" w:themeColor="text1"/>
                <w:sz w:val="18"/>
                <w:szCs w:val="18"/>
              </w:rPr>
              <w:t>Absa Capital</w:t>
            </w:r>
          </w:p>
        </w:tc>
        <w:tc>
          <w:tcPr>
            <w:tcW w:w="850" w:type="dxa"/>
            <w:shd w:val="clear" w:color="auto" w:fill="auto"/>
            <w:vAlign w:val="center"/>
          </w:tcPr>
          <w:p w14:paraId="2791DA0D" w14:textId="078F5CAF" w:rsidR="00871780" w:rsidRPr="003B4F95"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18</w:t>
            </w:r>
          </w:p>
        </w:tc>
        <w:tc>
          <w:tcPr>
            <w:tcW w:w="851" w:type="dxa"/>
            <w:shd w:val="clear" w:color="auto" w:fill="auto"/>
            <w:vAlign w:val="center"/>
          </w:tcPr>
          <w:p w14:paraId="154261B2" w14:textId="5C2CB986" w:rsidR="00871780" w:rsidRPr="003B4F95"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5</w:t>
            </w:r>
          </w:p>
        </w:tc>
        <w:tc>
          <w:tcPr>
            <w:tcW w:w="850" w:type="dxa"/>
            <w:shd w:val="clear" w:color="auto" w:fill="auto"/>
            <w:vAlign w:val="center"/>
          </w:tcPr>
          <w:p w14:paraId="2166DF9E" w14:textId="3136A8BF" w:rsidR="00871780" w:rsidRPr="003B4F95"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1276" w:type="dxa"/>
            <w:vAlign w:val="center"/>
          </w:tcPr>
          <w:p w14:paraId="029D8166" w14:textId="4E73F39D" w:rsidR="00871780" w:rsidRPr="003B4F95"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27 701,6</w:t>
            </w:r>
          </w:p>
        </w:tc>
        <w:tc>
          <w:tcPr>
            <w:tcW w:w="992" w:type="dxa"/>
            <w:vAlign w:val="center"/>
          </w:tcPr>
          <w:p w14:paraId="05FEFC5D" w14:textId="5B56F5D6" w:rsidR="00871780" w:rsidRPr="003B4F95"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1 526,5</w:t>
            </w:r>
          </w:p>
        </w:tc>
        <w:tc>
          <w:tcPr>
            <w:tcW w:w="992" w:type="dxa"/>
            <w:vAlign w:val="center"/>
          </w:tcPr>
          <w:p w14:paraId="6F79E717" w14:textId="3221F294" w:rsidR="00871780" w:rsidRPr="003B4F95"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1701" w:type="dxa"/>
            <w:vAlign w:val="center"/>
          </w:tcPr>
          <w:p w14:paraId="32A350AC" w14:textId="5EEEE3B8" w:rsidR="00871780" w:rsidRPr="003B4F95"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29 228,1</w:t>
            </w:r>
          </w:p>
        </w:tc>
      </w:tr>
      <w:tr w:rsidR="00871780" w:rsidRPr="00AB6CBE" w14:paraId="2E0F4F01" w14:textId="77777777" w:rsidTr="003B775C">
        <w:tc>
          <w:tcPr>
            <w:tcW w:w="851" w:type="dxa"/>
            <w:shd w:val="clear" w:color="auto" w:fill="auto"/>
          </w:tcPr>
          <w:p w14:paraId="10150557" w14:textId="77777777" w:rsidR="00871780" w:rsidRPr="00771D6F" w:rsidRDefault="00871780" w:rsidP="00871780">
            <w:pPr>
              <w:pStyle w:val="ListParagraph"/>
              <w:numPr>
                <w:ilvl w:val="0"/>
                <w:numId w:val="20"/>
              </w:numPr>
              <w:spacing w:before="40" w:after="60" w:line="320" w:lineRule="atLeast"/>
              <w:ind w:left="357" w:hanging="357"/>
              <w:rPr>
                <w:rFonts w:ascii="Verdana" w:hAnsi="Verdana"/>
                <w:color w:val="000000"/>
                <w:sz w:val="18"/>
                <w:szCs w:val="18"/>
              </w:rPr>
            </w:pPr>
          </w:p>
        </w:tc>
        <w:tc>
          <w:tcPr>
            <w:tcW w:w="1843" w:type="dxa"/>
            <w:gridSpan w:val="2"/>
            <w:shd w:val="clear" w:color="auto" w:fill="auto"/>
          </w:tcPr>
          <w:p w14:paraId="117A9919" w14:textId="24AF28B0" w:rsidR="00871780" w:rsidRPr="00754CF9" w:rsidRDefault="00871780" w:rsidP="00871780">
            <w:pPr>
              <w:spacing w:before="40" w:after="60" w:line="320" w:lineRule="atLeast"/>
              <w:rPr>
                <w:rFonts w:ascii="Verdana" w:hAnsi="Verdana"/>
                <w:color w:val="000000" w:themeColor="text1"/>
                <w:sz w:val="18"/>
                <w:szCs w:val="18"/>
              </w:rPr>
            </w:pPr>
            <w:r w:rsidRPr="00754CF9">
              <w:rPr>
                <w:rFonts w:ascii="Verdana" w:hAnsi="Verdana"/>
                <w:color w:val="000000" w:themeColor="text1"/>
                <w:sz w:val="18"/>
                <w:szCs w:val="18"/>
              </w:rPr>
              <w:t>FNB/FirstRand</w:t>
            </w:r>
          </w:p>
        </w:tc>
        <w:tc>
          <w:tcPr>
            <w:tcW w:w="850" w:type="dxa"/>
            <w:shd w:val="clear" w:color="auto" w:fill="auto"/>
            <w:vAlign w:val="center"/>
          </w:tcPr>
          <w:p w14:paraId="27501A4B" w14:textId="4C1DCAE1" w:rsidR="00871780"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8</w:t>
            </w:r>
          </w:p>
        </w:tc>
        <w:tc>
          <w:tcPr>
            <w:tcW w:w="851" w:type="dxa"/>
            <w:shd w:val="clear" w:color="auto" w:fill="auto"/>
            <w:vAlign w:val="center"/>
          </w:tcPr>
          <w:p w14:paraId="4A7040FD" w14:textId="4795AF07" w:rsidR="00871780"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42</w:t>
            </w:r>
          </w:p>
        </w:tc>
        <w:tc>
          <w:tcPr>
            <w:tcW w:w="850" w:type="dxa"/>
            <w:shd w:val="clear" w:color="auto" w:fill="auto"/>
            <w:vAlign w:val="center"/>
          </w:tcPr>
          <w:p w14:paraId="470D6A4A" w14:textId="18F46E7F" w:rsidR="00871780"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1276" w:type="dxa"/>
            <w:vAlign w:val="center"/>
          </w:tcPr>
          <w:p w14:paraId="68B377D1" w14:textId="566C7D42" w:rsidR="00871780"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6 416,3</w:t>
            </w:r>
          </w:p>
        </w:tc>
        <w:tc>
          <w:tcPr>
            <w:tcW w:w="992" w:type="dxa"/>
            <w:vAlign w:val="center"/>
          </w:tcPr>
          <w:p w14:paraId="7941F141" w14:textId="583CC2BB" w:rsidR="00871780"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2 568,8</w:t>
            </w:r>
          </w:p>
        </w:tc>
        <w:tc>
          <w:tcPr>
            <w:tcW w:w="992" w:type="dxa"/>
            <w:vAlign w:val="center"/>
          </w:tcPr>
          <w:p w14:paraId="48086C16" w14:textId="2E076204" w:rsidR="00871780"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1701" w:type="dxa"/>
            <w:vAlign w:val="center"/>
          </w:tcPr>
          <w:p w14:paraId="062755B2" w14:textId="2E8E36AD" w:rsidR="00871780"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8 985,1</w:t>
            </w:r>
          </w:p>
        </w:tc>
      </w:tr>
      <w:tr w:rsidR="00871780" w:rsidRPr="000435BE" w14:paraId="56CF23E8" w14:textId="77777777" w:rsidTr="003B775C">
        <w:tc>
          <w:tcPr>
            <w:tcW w:w="851" w:type="dxa"/>
            <w:shd w:val="clear" w:color="auto" w:fill="auto"/>
          </w:tcPr>
          <w:p w14:paraId="7FD80757" w14:textId="77777777" w:rsidR="00871780" w:rsidRPr="00771D6F" w:rsidRDefault="00871780" w:rsidP="00871780">
            <w:pPr>
              <w:pStyle w:val="ListParagraph"/>
              <w:numPr>
                <w:ilvl w:val="0"/>
                <w:numId w:val="20"/>
              </w:numPr>
              <w:spacing w:before="40" w:after="60" w:line="320" w:lineRule="atLeast"/>
              <w:ind w:left="357" w:hanging="357"/>
              <w:rPr>
                <w:rFonts w:ascii="Verdana" w:hAnsi="Verdana"/>
                <w:color w:val="000000"/>
                <w:sz w:val="18"/>
                <w:szCs w:val="18"/>
              </w:rPr>
            </w:pPr>
          </w:p>
        </w:tc>
        <w:tc>
          <w:tcPr>
            <w:tcW w:w="1843" w:type="dxa"/>
            <w:gridSpan w:val="2"/>
            <w:shd w:val="clear" w:color="auto" w:fill="auto"/>
          </w:tcPr>
          <w:p w14:paraId="1D9E85AD" w14:textId="0E258011" w:rsidR="00871780" w:rsidRPr="00754CF9" w:rsidRDefault="00871780" w:rsidP="00871780">
            <w:pPr>
              <w:spacing w:before="40" w:after="60" w:line="320" w:lineRule="atLeast"/>
              <w:rPr>
                <w:rFonts w:ascii="Verdana" w:hAnsi="Verdana"/>
                <w:color w:val="000000" w:themeColor="text1"/>
                <w:sz w:val="18"/>
                <w:szCs w:val="18"/>
              </w:rPr>
            </w:pPr>
            <w:r w:rsidRPr="00754CF9">
              <w:rPr>
                <w:rFonts w:ascii="Verdana" w:hAnsi="Verdana"/>
                <w:color w:val="000000" w:themeColor="text1"/>
                <w:sz w:val="18"/>
                <w:szCs w:val="18"/>
              </w:rPr>
              <w:t>CoreShares</w:t>
            </w:r>
          </w:p>
        </w:tc>
        <w:tc>
          <w:tcPr>
            <w:tcW w:w="850" w:type="dxa"/>
            <w:shd w:val="clear" w:color="auto" w:fill="auto"/>
            <w:vAlign w:val="center"/>
          </w:tcPr>
          <w:p w14:paraId="657AF511" w14:textId="280EA623" w:rsidR="00871780" w:rsidRPr="003B4F95"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10</w:t>
            </w:r>
          </w:p>
        </w:tc>
        <w:tc>
          <w:tcPr>
            <w:tcW w:w="851" w:type="dxa"/>
            <w:shd w:val="clear" w:color="auto" w:fill="auto"/>
            <w:vAlign w:val="center"/>
          </w:tcPr>
          <w:p w14:paraId="0FEA2E7B" w14:textId="54687183" w:rsidR="00871780" w:rsidRPr="003B4F95"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850" w:type="dxa"/>
            <w:shd w:val="clear" w:color="auto" w:fill="auto"/>
            <w:vAlign w:val="center"/>
          </w:tcPr>
          <w:p w14:paraId="3918885C" w14:textId="743FCB92" w:rsidR="00871780" w:rsidRPr="003B4F95"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1276" w:type="dxa"/>
            <w:vAlign w:val="center"/>
          </w:tcPr>
          <w:p w14:paraId="7D33FC92" w14:textId="6908CB84" w:rsidR="00871780" w:rsidRPr="003B4F95"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6 728,0</w:t>
            </w:r>
          </w:p>
        </w:tc>
        <w:tc>
          <w:tcPr>
            <w:tcW w:w="992" w:type="dxa"/>
            <w:vAlign w:val="center"/>
          </w:tcPr>
          <w:p w14:paraId="7F15ACB2" w14:textId="117465AA" w:rsidR="00871780" w:rsidRPr="003B4F95"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992" w:type="dxa"/>
            <w:vAlign w:val="center"/>
          </w:tcPr>
          <w:p w14:paraId="4E6D745C" w14:textId="396CF503" w:rsidR="00871780" w:rsidRPr="003B4F95"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1701" w:type="dxa"/>
            <w:vAlign w:val="center"/>
          </w:tcPr>
          <w:p w14:paraId="5815C90F" w14:textId="06D14880" w:rsidR="00871780" w:rsidRPr="003B4F95"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6 728,0</w:t>
            </w:r>
          </w:p>
        </w:tc>
      </w:tr>
      <w:tr w:rsidR="00871780" w:rsidRPr="000435BE" w14:paraId="65A0B9ED" w14:textId="77777777" w:rsidTr="003B775C">
        <w:tc>
          <w:tcPr>
            <w:tcW w:w="851" w:type="dxa"/>
            <w:shd w:val="clear" w:color="auto" w:fill="auto"/>
          </w:tcPr>
          <w:p w14:paraId="57A8D2C5" w14:textId="77777777" w:rsidR="00871780" w:rsidRPr="00771D6F" w:rsidRDefault="00871780" w:rsidP="00871780">
            <w:pPr>
              <w:pStyle w:val="ListParagraph"/>
              <w:numPr>
                <w:ilvl w:val="0"/>
                <w:numId w:val="20"/>
              </w:numPr>
              <w:spacing w:before="40" w:after="60" w:line="320" w:lineRule="atLeast"/>
              <w:ind w:left="357" w:hanging="357"/>
              <w:rPr>
                <w:rFonts w:ascii="Verdana" w:hAnsi="Verdana"/>
                <w:color w:val="000000"/>
                <w:sz w:val="18"/>
                <w:szCs w:val="18"/>
              </w:rPr>
            </w:pPr>
          </w:p>
        </w:tc>
        <w:tc>
          <w:tcPr>
            <w:tcW w:w="1843" w:type="dxa"/>
            <w:gridSpan w:val="2"/>
            <w:shd w:val="clear" w:color="auto" w:fill="auto"/>
          </w:tcPr>
          <w:p w14:paraId="02AAA5AA" w14:textId="23639526" w:rsidR="00871780" w:rsidRPr="00754CF9" w:rsidRDefault="00871780" w:rsidP="00871780">
            <w:pPr>
              <w:spacing w:before="40" w:after="60" w:line="320" w:lineRule="atLeast"/>
              <w:rPr>
                <w:rFonts w:ascii="Verdana" w:hAnsi="Verdana"/>
                <w:color w:val="000000" w:themeColor="text1"/>
                <w:sz w:val="18"/>
                <w:szCs w:val="18"/>
              </w:rPr>
            </w:pPr>
            <w:r>
              <w:rPr>
                <w:rFonts w:ascii="Verdana" w:hAnsi="Verdana"/>
                <w:color w:val="000000" w:themeColor="text1"/>
                <w:sz w:val="18"/>
                <w:szCs w:val="18"/>
              </w:rPr>
              <w:t>1nvest</w:t>
            </w:r>
          </w:p>
        </w:tc>
        <w:tc>
          <w:tcPr>
            <w:tcW w:w="850" w:type="dxa"/>
            <w:shd w:val="clear" w:color="auto" w:fill="auto"/>
            <w:vAlign w:val="center"/>
          </w:tcPr>
          <w:p w14:paraId="67A212EB" w14:textId="7E1E1952" w:rsidR="00871780"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16</w:t>
            </w:r>
          </w:p>
        </w:tc>
        <w:tc>
          <w:tcPr>
            <w:tcW w:w="851" w:type="dxa"/>
            <w:shd w:val="clear" w:color="auto" w:fill="auto"/>
            <w:vAlign w:val="center"/>
          </w:tcPr>
          <w:p w14:paraId="49F305DF" w14:textId="45D7A3DA" w:rsidR="00871780"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850" w:type="dxa"/>
            <w:shd w:val="clear" w:color="auto" w:fill="auto"/>
            <w:vAlign w:val="center"/>
          </w:tcPr>
          <w:p w14:paraId="4FBCA900" w14:textId="4E71A8E5" w:rsidR="00871780"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1276" w:type="dxa"/>
            <w:vAlign w:val="center"/>
          </w:tcPr>
          <w:p w14:paraId="13AC3780" w14:textId="5934C2AA" w:rsidR="00871780"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6 502,4</w:t>
            </w:r>
          </w:p>
        </w:tc>
        <w:tc>
          <w:tcPr>
            <w:tcW w:w="992" w:type="dxa"/>
            <w:vAlign w:val="center"/>
          </w:tcPr>
          <w:p w14:paraId="2D1A04F8" w14:textId="581CD05E" w:rsidR="00871780"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992" w:type="dxa"/>
            <w:vAlign w:val="center"/>
          </w:tcPr>
          <w:p w14:paraId="50D9DC73" w14:textId="64729378" w:rsidR="00871780"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1701" w:type="dxa"/>
            <w:vAlign w:val="center"/>
          </w:tcPr>
          <w:p w14:paraId="50EB1566" w14:textId="7A808E2F" w:rsidR="00871780"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6 502,4</w:t>
            </w:r>
          </w:p>
        </w:tc>
      </w:tr>
      <w:tr w:rsidR="00871780" w:rsidRPr="000435BE" w14:paraId="3D3E6270" w14:textId="77777777" w:rsidTr="003B775C">
        <w:tc>
          <w:tcPr>
            <w:tcW w:w="851" w:type="dxa"/>
            <w:shd w:val="clear" w:color="auto" w:fill="auto"/>
          </w:tcPr>
          <w:p w14:paraId="2F3AB2CF" w14:textId="77777777" w:rsidR="00871780" w:rsidRPr="00771D6F" w:rsidRDefault="00871780" w:rsidP="00871780">
            <w:pPr>
              <w:pStyle w:val="ListParagraph"/>
              <w:numPr>
                <w:ilvl w:val="0"/>
                <w:numId w:val="20"/>
              </w:numPr>
              <w:spacing w:before="40" w:after="60" w:line="320" w:lineRule="atLeast"/>
              <w:ind w:left="357" w:hanging="357"/>
              <w:rPr>
                <w:rFonts w:ascii="Verdana" w:hAnsi="Verdana"/>
                <w:color w:val="000000"/>
                <w:sz w:val="18"/>
                <w:szCs w:val="18"/>
              </w:rPr>
            </w:pPr>
          </w:p>
        </w:tc>
        <w:tc>
          <w:tcPr>
            <w:tcW w:w="1843" w:type="dxa"/>
            <w:gridSpan w:val="2"/>
            <w:shd w:val="clear" w:color="auto" w:fill="auto"/>
          </w:tcPr>
          <w:p w14:paraId="79EA6E23" w14:textId="25F732CB" w:rsidR="00871780" w:rsidRPr="003B4F95" w:rsidRDefault="00871780" w:rsidP="00871780">
            <w:pPr>
              <w:spacing w:before="40" w:after="60" w:line="320" w:lineRule="atLeast"/>
              <w:rPr>
                <w:rFonts w:ascii="Verdana" w:hAnsi="Verdana"/>
                <w:color w:val="000000"/>
                <w:sz w:val="18"/>
                <w:szCs w:val="18"/>
              </w:rPr>
            </w:pPr>
            <w:r>
              <w:rPr>
                <w:rFonts w:ascii="Verdana" w:hAnsi="Verdana"/>
                <w:color w:val="000000"/>
                <w:sz w:val="18"/>
                <w:szCs w:val="18"/>
              </w:rPr>
              <w:t>UBS</w:t>
            </w:r>
          </w:p>
        </w:tc>
        <w:tc>
          <w:tcPr>
            <w:tcW w:w="850" w:type="dxa"/>
            <w:shd w:val="clear" w:color="auto" w:fill="auto"/>
            <w:vAlign w:val="center"/>
          </w:tcPr>
          <w:p w14:paraId="319024BC" w14:textId="17645643" w:rsidR="00871780"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851" w:type="dxa"/>
            <w:shd w:val="clear" w:color="auto" w:fill="auto"/>
            <w:vAlign w:val="center"/>
          </w:tcPr>
          <w:p w14:paraId="743BBC24" w14:textId="64854539" w:rsidR="00871780"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17</w:t>
            </w:r>
          </w:p>
        </w:tc>
        <w:tc>
          <w:tcPr>
            <w:tcW w:w="850" w:type="dxa"/>
            <w:shd w:val="clear" w:color="auto" w:fill="auto"/>
            <w:vAlign w:val="center"/>
          </w:tcPr>
          <w:p w14:paraId="01DE090E" w14:textId="556439BB" w:rsidR="00871780"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19</w:t>
            </w:r>
          </w:p>
        </w:tc>
        <w:tc>
          <w:tcPr>
            <w:tcW w:w="1276" w:type="dxa"/>
            <w:vAlign w:val="center"/>
          </w:tcPr>
          <w:p w14:paraId="3E0E1FE0" w14:textId="30DB991C" w:rsidR="00871780" w:rsidRPr="003B4F95"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992" w:type="dxa"/>
            <w:vAlign w:val="center"/>
          </w:tcPr>
          <w:p w14:paraId="2351D85B" w14:textId="1EA66D74" w:rsidR="00871780" w:rsidRPr="003B4F95"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406,8</w:t>
            </w:r>
          </w:p>
        </w:tc>
        <w:tc>
          <w:tcPr>
            <w:tcW w:w="992" w:type="dxa"/>
            <w:vAlign w:val="center"/>
          </w:tcPr>
          <w:p w14:paraId="3EE99A49" w14:textId="04106074" w:rsidR="00871780" w:rsidRPr="003B4F95"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5 363,7</w:t>
            </w:r>
          </w:p>
        </w:tc>
        <w:tc>
          <w:tcPr>
            <w:tcW w:w="1701" w:type="dxa"/>
            <w:vAlign w:val="center"/>
          </w:tcPr>
          <w:p w14:paraId="22D0BF0F" w14:textId="23828DDB" w:rsidR="00871780" w:rsidRPr="003B4F95"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5 770,5</w:t>
            </w:r>
          </w:p>
        </w:tc>
      </w:tr>
      <w:tr w:rsidR="00871780" w:rsidRPr="000435BE" w14:paraId="5FB42103" w14:textId="77777777" w:rsidTr="003B775C">
        <w:tc>
          <w:tcPr>
            <w:tcW w:w="851" w:type="dxa"/>
            <w:shd w:val="clear" w:color="auto" w:fill="auto"/>
          </w:tcPr>
          <w:p w14:paraId="11AE8AAB" w14:textId="77777777" w:rsidR="00871780" w:rsidRPr="00771D6F" w:rsidRDefault="00871780" w:rsidP="00871780">
            <w:pPr>
              <w:pStyle w:val="ListParagraph"/>
              <w:numPr>
                <w:ilvl w:val="0"/>
                <w:numId w:val="20"/>
              </w:numPr>
              <w:spacing w:before="40" w:after="60" w:line="320" w:lineRule="atLeast"/>
              <w:ind w:left="357" w:hanging="357"/>
              <w:rPr>
                <w:rFonts w:ascii="Verdana" w:hAnsi="Verdana"/>
                <w:color w:val="000000"/>
                <w:sz w:val="18"/>
                <w:szCs w:val="18"/>
              </w:rPr>
            </w:pPr>
          </w:p>
        </w:tc>
        <w:tc>
          <w:tcPr>
            <w:tcW w:w="1843" w:type="dxa"/>
            <w:gridSpan w:val="2"/>
            <w:shd w:val="clear" w:color="auto" w:fill="auto"/>
          </w:tcPr>
          <w:p w14:paraId="700A7226" w14:textId="77777777" w:rsidR="00871780" w:rsidRPr="003B4F95" w:rsidRDefault="00871780" w:rsidP="00871780">
            <w:pPr>
              <w:spacing w:before="40" w:after="60" w:line="320" w:lineRule="atLeast"/>
              <w:rPr>
                <w:rFonts w:ascii="Verdana" w:hAnsi="Verdana"/>
                <w:color w:val="000000"/>
                <w:sz w:val="18"/>
                <w:szCs w:val="18"/>
              </w:rPr>
            </w:pPr>
            <w:r w:rsidRPr="003B4F95">
              <w:rPr>
                <w:rFonts w:ascii="Verdana" w:hAnsi="Verdana"/>
                <w:color w:val="000000"/>
                <w:sz w:val="18"/>
                <w:szCs w:val="18"/>
              </w:rPr>
              <w:t>Stan</w:t>
            </w:r>
            <w:r>
              <w:rPr>
                <w:rFonts w:ascii="Verdana" w:hAnsi="Verdana"/>
                <w:color w:val="000000"/>
                <w:sz w:val="18"/>
                <w:szCs w:val="18"/>
              </w:rPr>
              <w:t>dard Bank</w:t>
            </w:r>
          </w:p>
        </w:tc>
        <w:tc>
          <w:tcPr>
            <w:tcW w:w="850" w:type="dxa"/>
            <w:shd w:val="clear" w:color="auto" w:fill="auto"/>
            <w:vAlign w:val="center"/>
          </w:tcPr>
          <w:p w14:paraId="5BCA0634" w14:textId="44384937" w:rsidR="00871780"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851" w:type="dxa"/>
            <w:shd w:val="clear" w:color="auto" w:fill="auto"/>
            <w:vAlign w:val="center"/>
          </w:tcPr>
          <w:p w14:paraId="2ABEB7D2" w14:textId="67BD8009" w:rsidR="00871780"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2</w:t>
            </w:r>
          </w:p>
        </w:tc>
        <w:tc>
          <w:tcPr>
            <w:tcW w:w="850" w:type="dxa"/>
            <w:shd w:val="clear" w:color="auto" w:fill="auto"/>
            <w:vAlign w:val="center"/>
          </w:tcPr>
          <w:p w14:paraId="705CD008" w14:textId="01079B12" w:rsidR="00871780"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3</w:t>
            </w:r>
          </w:p>
        </w:tc>
        <w:tc>
          <w:tcPr>
            <w:tcW w:w="1276" w:type="dxa"/>
            <w:vAlign w:val="center"/>
          </w:tcPr>
          <w:p w14:paraId="33A5A643" w14:textId="6288D1AA" w:rsidR="00871780"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992" w:type="dxa"/>
            <w:vAlign w:val="center"/>
          </w:tcPr>
          <w:p w14:paraId="7ACD9CBA" w14:textId="7833E1EB" w:rsidR="00871780"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1 174,1</w:t>
            </w:r>
          </w:p>
        </w:tc>
        <w:tc>
          <w:tcPr>
            <w:tcW w:w="992" w:type="dxa"/>
            <w:vAlign w:val="center"/>
          </w:tcPr>
          <w:p w14:paraId="74E82CC8" w14:textId="39CE58A6" w:rsidR="00871780"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290,0</w:t>
            </w:r>
          </w:p>
        </w:tc>
        <w:tc>
          <w:tcPr>
            <w:tcW w:w="1701" w:type="dxa"/>
            <w:vAlign w:val="center"/>
          </w:tcPr>
          <w:p w14:paraId="0A0AE9B3" w14:textId="4B7DEAAF" w:rsidR="00871780"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1 464,1</w:t>
            </w:r>
          </w:p>
        </w:tc>
      </w:tr>
      <w:tr w:rsidR="00871780" w:rsidRPr="000435BE" w14:paraId="0F1A63F0" w14:textId="77777777" w:rsidTr="003B775C">
        <w:tc>
          <w:tcPr>
            <w:tcW w:w="851" w:type="dxa"/>
            <w:shd w:val="clear" w:color="auto" w:fill="auto"/>
          </w:tcPr>
          <w:p w14:paraId="1C6357A5" w14:textId="77777777" w:rsidR="00871780" w:rsidRPr="00771D6F" w:rsidRDefault="00871780" w:rsidP="00871780">
            <w:pPr>
              <w:pStyle w:val="ListParagraph"/>
              <w:numPr>
                <w:ilvl w:val="0"/>
                <w:numId w:val="20"/>
              </w:numPr>
              <w:spacing w:before="40" w:after="60" w:line="320" w:lineRule="atLeast"/>
              <w:ind w:left="357" w:hanging="357"/>
              <w:rPr>
                <w:rFonts w:ascii="Verdana" w:hAnsi="Verdana"/>
                <w:color w:val="000000"/>
                <w:sz w:val="18"/>
                <w:szCs w:val="18"/>
              </w:rPr>
            </w:pPr>
          </w:p>
        </w:tc>
        <w:tc>
          <w:tcPr>
            <w:tcW w:w="1843" w:type="dxa"/>
            <w:gridSpan w:val="2"/>
            <w:shd w:val="clear" w:color="auto" w:fill="auto"/>
          </w:tcPr>
          <w:p w14:paraId="2A260978" w14:textId="77777777" w:rsidR="00871780" w:rsidRPr="003B4F95" w:rsidRDefault="00871780" w:rsidP="00871780">
            <w:pPr>
              <w:spacing w:before="40" w:after="60" w:line="320" w:lineRule="atLeast"/>
              <w:rPr>
                <w:rFonts w:ascii="Verdana" w:hAnsi="Verdana"/>
                <w:color w:val="000000"/>
                <w:sz w:val="18"/>
                <w:szCs w:val="18"/>
              </w:rPr>
            </w:pPr>
            <w:r w:rsidRPr="003B4F95">
              <w:rPr>
                <w:rFonts w:ascii="Verdana" w:hAnsi="Verdana"/>
                <w:color w:val="000000"/>
                <w:sz w:val="18"/>
                <w:szCs w:val="18"/>
              </w:rPr>
              <w:t>Cloud Atlas</w:t>
            </w:r>
          </w:p>
        </w:tc>
        <w:tc>
          <w:tcPr>
            <w:tcW w:w="850" w:type="dxa"/>
            <w:shd w:val="clear" w:color="auto" w:fill="auto"/>
            <w:vAlign w:val="center"/>
          </w:tcPr>
          <w:p w14:paraId="104600BC" w14:textId="3E5D8C43" w:rsidR="00871780" w:rsidRPr="003B4F95"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2</w:t>
            </w:r>
          </w:p>
        </w:tc>
        <w:tc>
          <w:tcPr>
            <w:tcW w:w="851" w:type="dxa"/>
            <w:shd w:val="clear" w:color="auto" w:fill="auto"/>
            <w:vAlign w:val="center"/>
          </w:tcPr>
          <w:p w14:paraId="22AE40D2" w14:textId="6BE5BB6C" w:rsidR="00871780" w:rsidRPr="003B4F95"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850" w:type="dxa"/>
            <w:shd w:val="clear" w:color="auto" w:fill="auto"/>
            <w:vAlign w:val="center"/>
          </w:tcPr>
          <w:p w14:paraId="6896F25A" w14:textId="1BD4B6BE" w:rsidR="00871780" w:rsidRPr="003B4F95" w:rsidRDefault="00871780" w:rsidP="00871780">
            <w:pPr>
              <w:spacing w:before="40" w:after="60" w:line="320" w:lineRule="atLeast"/>
              <w:jc w:val="center"/>
              <w:rPr>
                <w:rFonts w:ascii="Verdana" w:hAnsi="Verdana"/>
                <w:color w:val="000000"/>
                <w:sz w:val="18"/>
                <w:szCs w:val="18"/>
              </w:rPr>
            </w:pPr>
            <w:r>
              <w:rPr>
                <w:rFonts w:ascii="Verdana" w:hAnsi="Verdana"/>
                <w:color w:val="000000"/>
                <w:sz w:val="18"/>
                <w:szCs w:val="18"/>
              </w:rPr>
              <w:t>-</w:t>
            </w:r>
          </w:p>
        </w:tc>
        <w:tc>
          <w:tcPr>
            <w:tcW w:w="1276" w:type="dxa"/>
            <w:vAlign w:val="center"/>
          </w:tcPr>
          <w:p w14:paraId="01DC6088" w14:textId="0A33137A" w:rsidR="00871780" w:rsidRPr="003B4F95"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6,5</w:t>
            </w:r>
          </w:p>
        </w:tc>
        <w:tc>
          <w:tcPr>
            <w:tcW w:w="992" w:type="dxa"/>
            <w:vAlign w:val="center"/>
          </w:tcPr>
          <w:p w14:paraId="4EA2C843" w14:textId="647EEE8F" w:rsidR="00871780" w:rsidRPr="003B4F95"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992" w:type="dxa"/>
            <w:vAlign w:val="center"/>
          </w:tcPr>
          <w:p w14:paraId="7E700237" w14:textId="7492C979" w:rsidR="00871780" w:rsidRPr="003B4F95"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w:t>
            </w:r>
          </w:p>
        </w:tc>
        <w:tc>
          <w:tcPr>
            <w:tcW w:w="1701" w:type="dxa"/>
            <w:vAlign w:val="center"/>
          </w:tcPr>
          <w:p w14:paraId="2A11FCC2" w14:textId="29555FEC" w:rsidR="00871780" w:rsidRPr="003B4F95" w:rsidRDefault="003B775C" w:rsidP="00871780">
            <w:pPr>
              <w:spacing w:before="40" w:after="60" w:line="320" w:lineRule="atLeast"/>
              <w:jc w:val="right"/>
              <w:rPr>
                <w:rFonts w:ascii="Verdana" w:hAnsi="Verdana"/>
                <w:color w:val="000000"/>
                <w:sz w:val="18"/>
                <w:szCs w:val="18"/>
              </w:rPr>
            </w:pPr>
            <w:r>
              <w:rPr>
                <w:rFonts w:ascii="Verdana" w:hAnsi="Verdana"/>
                <w:color w:val="000000"/>
                <w:sz w:val="18"/>
                <w:szCs w:val="18"/>
              </w:rPr>
              <w:t>6,5</w:t>
            </w:r>
          </w:p>
        </w:tc>
      </w:tr>
      <w:tr w:rsidR="00871780" w:rsidRPr="000435BE" w14:paraId="1AE5CE6C" w14:textId="77777777" w:rsidTr="003B775C">
        <w:tc>
          <w:tcPr>
            <w:tcW w:w="2694" w:type="dxa"/>
            <w:gridSpan w:val="3"/>
            <w:shd w:val="clear" w:color="auto" w:fill="auto"/>
          </w:tcPr>
          <w:p w14:paraId="0278B047" w14:textId="77777777" w:rsidR="00871780" w:rsidRPr="003B4F95" w:rsidRDefault="00871780" w:rsidP="00871780">
            <w:pPr>
              <w:spacing w:before="40" w:after="60" w:line="320" w:lineRule="atLeast"/>
              <w:rPr>
                <w:rFonts w:ascii="Verdana" w:hAnsi="Verdana"/>
                <w:b/>
                <w:color w:val="000000"/>
                <w:sz w:val="18"/>
                <w:szCs w:val="18"/>
              </w:rPr>
            </w:pPr>
            <w:r w:rsidRPr="003B4F95">
              <w:rPr>
                <w:rFonts w:ascii="Verdana" w:hAnsi="Verdana"/>
                <w:b/>
                <w:color w:val="000000"/>
                <w:sz w:val="18"/>
                <w:szCs w:val="18"/>
              </w:rPr>
              <w:t>Totals</w:t>
            </w:r>
          </w:p>
        </w:tc>
        <w:tc>
          <w:tcPr>
            <w:tcW w:w="850" w:type="dxa"/>
            <w:shd w:val="clear" w:color="auto" w:fill="auto"/>
            <w:vAlign w:val="center"/>
          </w:tcPr>
          <w:p w14:paraId="6B0F4F35" w14:textId="15D6D00F" w:rsidR="00871780" w:rsidRPr="003B4F95" w:rsidRDefault="00871780" w:rsidP="00871780">
            <w:pPr>
              <w:spacing w:before="40" w:after="60" w:line="320" w:lineRule="atLeast"/>
              <w:jc w:val="center"/>
              <w:rPr>
                <w:rFonts w:ascii="Verdana" w:hAnsi="Verdana"/>
                <w:b/>
                <w:color w:val="000000"/>
                <w:sz w:val="18"/>
                <w:szCs w:val="18"/>
              </w:rPr>
            </w:pPr>
            <w:r>
              <w:rPr>
                <w:rFonts w:ascii="Verdana" w:hAnsi="Verdana"/>
                <w:b/>
                <w:color w:val="000000"/>
                <w:sz w:val="18"/>
                <w:szCs w:val="18"/>
              </w:rPr>
              <w:t>95</w:t>
            </w:r>
          </w:p>
        </w:tc>
        <w:tc>
          <w:tcPr>
            <w:tcW w:w="851" w:type="dxa"/>
            <w:shd w:val="clear" w:color="auto" w:fill="auto"/>
            <w:vAlign w:val="center"/>
          </w:tcPr>
          <w:p w14:paraId="1EDDA768" w14:textId="20D5C3CD" w:rsidR="00871780" w:rsidRPr="003B4F95" w:rsidRDefault="00871780" w:rsidP="00871780">
            <w:pPr>
              <w:spacing w:before="40" w:after="60" w:line="320" w:lineRule="atLeast"/>
              <w:jc w:val="center"/>
              <w:rPr>
                <w:rFonts w:ascii="Verdana" w:hAnsi="Verdana"/>
                <w:b/>
                <w:color w:val="000000"/>
                <w:sz w:val="18"/>
                <w:szCs w:val="18"/>
              </w:rPr>
            </w:pPr>
            <w:r>
              <w:rPr>
                <w:rFonts w:ascii="Verdana" w:hAnsi="Verdana"/>
                <w:b/>
                <w:color w:val="000000"/>
                <w:sz w:val="18"/>
                <w:szCs w:val="18"/>
              </w:rPr>
              <w:t>66</w:t>
            </w:r>
          </w:p>
        </w:tc>
        <w:tc>
          <w:tcPr>
            <w:tcW w:w="850" w:type="dxa"/>
            <w:shd w:val="clear" w:color="auto" w:fill="auto"/>
            <w:vAlign w:val="center"/>
          </w:tcPr>
          <w:p w14:paraId="455EA608" w14:textId="43CA3000" w:rsidR="00871780" w:rsidRPr="003B4F95" w:rsidRDefault="00871780" w:rsidP="00871780">
            <w:pPr>
              <w:spacing w:before="40" w:after="60" w:line="320" w:lineRule="atLeast"/>
              <w:jc w:val="center"/>
              <w:rPr>
                <w:rFonts w:ascii="Verdana" w:hAnsi="Verdana"/>
                <w:b/>
                <w:color w:val="000000"/>
                <w:sz w:val="18"/>
                <w:szCs w:val="18"/>
              </w:rPr>
            </w:pPr>
            <w:r>
              <w:rPr>
                <w:rFonts w:ascii="Verdana" w:hAnsi="Verdana"/>
                <w:b/>
                <w:color w:val="000000"/>
                <w:sz w:val="18"/>
                <w:szCs w:val="18"/>
              </w:rPr>
              <w:t>22</w:t>
            </w:r>
          </w:p>
        </w:tc>
        <w:tc>
          <w:tcPr>
            <w:tcW w:w="1276" w:type="dxa"/>
            <w:vAlign w:val="center"/>
          </w:tcPr>
          <w:p w14:paraId="5B146289" w14:textId="3EB2183A" w:rsidR="00871780" w:rsidRPr="003B4F95" w:rsidRDefault="003B775C" w:rsidP="00871780">
            <w:pPr>
              <w:spacing w:before="40" w:after="60" w:line="320" w:lineRule="atLeast"/>
              <w:jc w:val="right"/>
              <w:rPr>
                <w:rFonts w:ascii="Verdana" w:hAnsi="Verdana"/>
                <w:b/>
                <w:color w:val="000000"/>
                <w:sz w:val="18"/>
                <w:szCs w:val="18"/>
              </w:rPr>
            </w:pPr>
            <w:r>
              <w:rPr>
                <w:rFonts w:ascii="Verdana" w:hAnsi="Verdana"/>
                <w:b/>
                <w:color w:val="000000"/>
                <w:sz w:val="18"/>
                <w:szCs w:val="18"/>
              </w:rPr>
              <w:t>117 981,0</w:t>
            </w:r>
          </w:p>
        </w:tc>
        <w:tc>
          <w:tcPr>
            <w:tcW w:w="992" w:type="dxa"/>
            <w:vAlign w:val="center"/>
          </w:tcPr>
          <w:p w14:paraId="5A71C76E" w14:textId="72EEC4ED" w:rsidR="00871780" w:rsidRPr="003B4F95" w:rsidRDefault="003B775C" w:rsidP="00871780">
            <w:pPr>
              <w:spacing w:before="40" w:after="60" w:line="320" w:lineRule="atLeast"/>
              <w:jc w:val="right"/>
              <w:rPr>
                <w:rFonts w:ascii="Verdana" w:hAnsi="Verdana"/>
                <w:b/>
                <w:color w:val="000000"/>
                <w:sz w:val="18"/>
                <w:szCs w:val="18"/>
              </w:rPr>
            </w:pPr>
            <w:r>
              <w:rPr>
                <w:rFonts w:ascii="Verdana" w:hAnsi="Verdana"/>
                <w:b/>
                <w:color w:val="000000"/>
                <w:sz w:val="18"/>
                <w:szCs w:val="18"/>
              </w:rPr>
              <w:t>5 676,2</w:t>
            </w:r>
          </w:p>
        </w:tc>
        <w:tc>
          <w:tcPr>
            <w:tcW w:w="992" w:type="dxa"/>
            <w:vAlign w:val="center"/>
          </w:tcPr>
          <w:p w14:paraId="3815159C" w14:textId="64086BD4" w:rsidR="00871780" w:rsidRPr="003B4F95" w:rsidRDefault="003B775C" w:rsidP="00871780">
            <w:pPr>
              <w:spacing w:before="40" w:after="60" w:line="320" w:lineRule="atLeast"/>
              <w:jc w:val="right"/>
              <w:rPr>
                <w:rFonts w:ascii="Verdana" w:hAnsi="Verdana"/>
                <w:b/>
                <w:color w:val="000000"/>
                <w:sz w:val="18"/>
                <w:szCs w:val="18"/>
              </w:rPr>
            </w:pPr>
            <w:r>
              <w:rPr>
                <w:rFonts w:ascii="Verdana" w:hAnsi="Verdana"/>
                <w:b/>
                <w:color w:val="000000"/>
                <w:sz w:val="18"/>
                <w:szCs w:val="18"/>
              </w:rPr>
              <w:t>5 653,7</w:t>
            </w:r>
          </w:p>
        </w:tc>
        <w:tc>
          <w:tcPr>
            <w:tcW w:w="1701" w:type="dxa"/>
            <w:vAlign w:val="center"/>
          </w:tcPr>
          <w:p w14:paraId="1BEAD478" w14:textId="16C0364E" w:rsidR="00871780" w:rsidRPr="003B4F95" w:rsidRDefault="003B775C" w:rsidP="00871780">
            <w:pPr>
              <w:spacing w:before="40" w:after="60" w:line="320" w:lineRule="atLeast"/>
              <w:jc w:val="right"/>
              <w:rPr>
                <w:rFonts w:ascii="Verdana" w:hAnsi="Verdana"/>
                <w:b/>
                <w:color w:val="000000"/>
                <w:sz w:val="18"/>
                <w:szCs w:val="18"/>
              </w:rPr>
            </w:pPr>
            <w:r>
              <w:rPr>
                <w:rFonts w:ascii="Verdana" w:hAnsi="Verdana"/>
                <w:b/>
                <w:color w:val="000000"/>
                <w:sz w:val="18"/>
                <w:szCs w:val="18"/>
              </w:rPr>
              <w:t>129 310,9</w:t>
            </w:r>
          </w:p>
        </w:tc>
      </w:tr>
      <w:tr w:rsidR="00871780" w:rsidRPr="006B3D57" w14:paraId="7434251C" w14:textId="77777777" w:rsidTr="00754CF9">
        <w:trPr>
          <w:trHeight w:val="217"/>
        </w:trPr>
        <w:tc>
          <w:tcPr>
            <w:tcW w:w="1134" w:type="dxa"/>
            <w:gridSpan w:val="2"/>
            <w:tcBorders>
              <w:right w:val="nil"/>
            </w:tcBorders>
            <w:shd w:val="clear" w:color="auto" w:fill="auto"/>
            <w:vAlign w:val="center"/>
          </w:tcPr>
          <w:p w14:paraId="7D2CBC01" w14:textId="77777777" w:rsidR="00871780" w:rsidRPr="000435BE" w:rsidRDefault="00871780" w:rsidP="0009342B">
            <w:pPr>
              <w:spacing w:after="40" w:line="260" w:lineRule="atLeast"/>
              <w:rPr>
                <w:rFonts w:ascii="Verdana" w:hAnsi="Verdana"/>
                <w:i/>
                <w:color w:val="000000"/>
                <w:sz w:val="14"/>
                <w:szCs w:val="14"/>
              </w:rPr>
            </w:pPr>
            <w:r w:rsidRPr="000435BE">
              <w:rPr>
                <w:rFonts w:ascii="Verdana" w:hAnsi="Verdana"/>
                <w:i/>
                <w:color w:val="000000"/>
                <w:sz w:val="14"/>
                <w:szCs w:val="14"/>
              </w:rPr>
              <w:t>Source:</w:t>
            </w:r>
          </w:p>
        </w:tc>
        <w:tc>
          <w:tcPr>
            <w:tcW w:w="9072" w:type="dxa"/>
            <w:gridSpan w:val="8"/>
            <w:tcBorders>
              <w:left w:val="nil"/>
            </w:tcBorders>
            <w:shd w:val="clear" w:color="auto" w:fill="auto"/>
            <w:vAlign w:val="center"/>
          </w:tcPr>
          <w:p w14:paraId="38356A19" w14:textId="3ED96417" w:rsidR="00871780" w:rsidRPr="00573EA2" w:rsidRDefault="00871780" w:rsidP="0009342B">
            <w:pPr>
              <w:spacing w:after="40" w:line="260" w:lineRule="atLeast"/>
              <w:rPr>
                <w:rFonts w:ascii="Verdana" w:hAnsi="Verdana"/>
                <w:i/>
                <w:color w:val="000000"/>
                <w:sz w:val="14"/>
                <w:szCs w:val="14"/>
                <w:lang w:val="it-IT"/>
              </w:rPr>
            </w:pPr>
            <w:r w:rsidRPr="00573EA2">
              <w:rPr>
                <w:rFonts w:ascii="Verdana" w:hAnsi="Verdana"/>
                <w:i/>
                <w:color w:val="000000"/>
                <w:sz w:val="14"/>
                <w:szCs w:val="14"/>
                <w:lang w:val="it-IT"/>
              </w:rPr>
              <w:t xml:space="preserve">etfSA.co.za </w:t>
            </w:r>
            <w:r>
              <w:rPr>
                <w:rFonts w:ascii="Verdana" w:hAnsi="Verdana"/>
                <w:i/>
                <w:color w:val="000000"/>
                <w:sz w:val="14"/>
                <w:szCs w:val="14"/>
                <w:lang w:val="it-IT"/>
              </w:rPr>
              <w:t xml:space="preserve">– Market Capitalisation – SA Industry Report </w:t>
            </w:r>
            <w:r w:rsidRPr="00573EA2">
              <w:rPr>
                <w:rFonts w:ascii="Verdana" w:hAnsi="Verdana"/>
                <w:i/>
                <w:color w:val="000000"/>
                <w:sz w:val="14"/>
                <w:szCs w:val="14"/>
                <w:lang w:val="it-IT"/>
              </w:rPr>
              <w:t>(3</w:t>
            </w:r>
            <w:r>
              <w:rPr>
                <w:rFonts w:ascii="Verdana" w:hAnsi="Verdana"/>
                <w:i/>
                <w:color w:val="000000"/>
                <w:sz w:val="14"/>
                <w:szCs w:val="14"/>
                <w:lang w:val="it-IT"/>
              </w:rPr>
              <w:t>0</w:t>
            </w:r>
            <w:r w:rsidRPr="00573EA2">
              <w:rPr>
                <w:rFonts w:ascii="Verdana" w:hAnsi="Verdana"/>
                <w:i/>
                <w:color w:val="000000"/>
                <w:sz w:val="14"/>
                <w:szCs w:val="14"/>
                <w:lang w:val="it-IT"/>
              </w:rPr>
              <w:t>/</w:t>
            </w:r>
            <w:r>
              <w:rPr>
                <w:rFonts w:ascii="Verdana" w:hAnsi="Verdana"/>
                <w:i/>
                <w:color w:val="000000"/>
                <w:sz w:val="14"/>
                <w:szCs w:val="14"/>
                <w:lang w:val="it-IT"/>
              </w:rPr>
              <w:t>12</w:t>
            </w:r>
            <w:r w:rsidRPr="00573EA2">
              <w:rPr>
                <w:rFonts w:ascii="Verdana" w:hAnsi="Verdana"/>
                <w:i/>
                <w:color w:val="000000"/>
                <w:sz w:val="14"/>
                <w:szCs w:val="14"/>
                <w:lang w:val="it-IT"/>
              </w:rPr>
              <w:t>/202</w:t>
            </w:r>
            <w:r>
              <w:rPr>
                <w:rFonts w:ascii="Verdana" w:hAnsi="Verdana"/>
                <w:i/>
                <w:color w:val="000000"/>
                <w:sz w:val="14"/>
                <w:szCs w:val="14"/>
                <w:lang w:val="it-IT"/>
              </w:rPr>
              <w:t>2</w:t>
            </w:r>
            <w:r w:rsidRPr="00573EA2">
              <w:rPr>
                <w:rFonts w:ascii="Verdana" w:hAnsi="Verdana"/>
                <w:i/>
                <w:color w:val="000000"/>
                <w:sz w:val="14"/>
                <w:szCs w:val="14"/>
                <w:lang w:val="it-IT"/>
              </w:rPr>
              <w:t xml:space="preserve">). </w:t>
            </w:r>
          </w:p>
        </w:tc>
      </w:tr>
    </w:tbl>
    <w:p w14:paraId="2E62B98A" w14:textId="77777777" w:rsidR="00DE7139" w:rsidRPr="006B41B5" w:rsidRDefault="00DE7139" w:rsidP="009D5939">
      <w:pPr>
        <w:spacing w:after="0" w:line="340" w:lineRule="atLeast"/>
        <w:jc w:val="both"/>
        <w:rPr>
          <w:rFonts w:ascii="Verdana" w:hAnsi="Verdana"/>
          <w:b/>
          <w:bCs/>
          <w:color w:val="000000"/>
          <w:sz w:val="21"/>
          <w:szCs w:val="21"/>
          <w:lang w:val="it-IT"/>
        </w:rPr>
      </w:pPr>
    </w:p>
    <w:p w14:paraId="56F3A5AD" w14:textId="77777777" w:rsidR="00376CA0" w:rsidRDefault="00FC7926" w:rsidP="009D5939">
      <w:pPr>
        <w:spacing w:after="0" w:line="340" w:lineRule="atLeast"/>
        <w:jc w:val="both"/>
        <w:rPr>
          <w:rFonts w:ascii="Verdana" w:hAnsi="Verdana"/>
          <w:color w:val="000000"/>
          <w:sz w:val="21"/>
          <w:szCs w:val="21"/>
        </w:rPr>
      </w:pPr>
      <w:r w:rsidRPr="006C0C1F">
        <w:rPr>
          <w:rFonts w:ascii="Verdana" w:hAnsi="Verdana"/>
          <w:b/>
          <w:bCs/>
          <w:color w:val="C00000"/>
          <w:sz w:val="21"/>
          <w:szCs w:val="21"/>
        </w:rPr>
        <w:t>Satrix Managers</w:t>
      </w:r>
      <w:r w:rsidRPr="006C0C1F">
        <w:rPr>
          <w:rFonts w:ascii="Verdana" w:hAnsi="Verdana"/>
          <w:color w:val="C00000"/>
          <w:sz w:val="21"/>
          <w:szCs w:val="21"/>
        </w:rPr>
        <w:t xml:space="preserve"> </w:t>
      </w:r>
      <w:r w:rsidRPr="003E6D07">
        <w:rPr>
          <w:rFonts w:ascii="Verdana" w:hAnsi="Verdana"/>
          <w:color w:val="000000"/>
          <w:sz w:val="21"/>
          <w:szCs w:val="21"/>
        </w:rPr>
        <w:t>–</w:t>
      </w:r>
      <w:r w:rsidR="00376CA0">
        <w:rPr>
          <w:rFonts w:ascii="Verdana" w:hAnsi="Verdana"/>
          <w:color w:val="000000"/>
          <w:sz w:val="21"/>
          <w:szCs w:val="21"/>
        </w:rPr>
        <w:t xml:space="preserve"> remains the number one participant in the South African ETP industry in terms of size, with a total market capitalisation of R37 748,4 million.  Over the past year, it has widened its lead over Sygnia Itrix, the second largest ETP issuer, mainly because of the growth in market capitalisation of the South African referenced ETFs it has in issue. </w:t>
      </w:r>
    </w:p>
    <w:p w14:paraId="7BE71D5E" w14:textId="4534B91A" w:rsidR="009D5939" w:rsidRDefault="009D5939" w:rsidP="009D5939">
      <w:pPr>
        <w:spacing w:after="0" w:line="340" w:lineRule="atLeast"/>
        <w:jc w:val="both"/>
        <w:rPr>
          <w:rFonts w:ascii="Verdana" w:hAnsi="Verdana"/>
          <w:color w:val="000000"/>
          <w:sz w:val="21"/>
          <w:szCs w:val="21"/>
        </w:rPr>
      </w:pPr>
    </w:p>
    <w:p w14:paraId="12ADE5D4" w14:textId="68F52484" w:rsidR="00376CA0" w:rsidRDefault="00376CA0" w:rsidP="009D5939">
      <w:pPr>
        <w:spacing w:after="0" w:line="340" w:lineRule="atLeast"/>
        <w:jc w:val="both"/>
        <w:rPr>
          <w:rFonts w:ascii="Verdana" w:hAnsi="Verdana"/>
          <w:color w:val="000000"/>
          <w:sz w:val="21"/>
          <w:szCs w:val="21"/>
        </w:rPr>
      </w:pPr>
      <w:r>
        <w:rPr>
          <w:rFonts w:ascii="Verdana" w:hAnsi="Verdana"/>
          <w:color w:val="000000"/>
          <w:sz w:val="21"/>
          <w:szCs w:val="21"/>
        </w:rPr>
        <w:t xml:space="preserve">The majority of the 13 ETFs Satrix has issued </w:t>
      </w:r>
      <w:r w:rsidR="00A36CF5">
        <w:rPr>
          <w:rFonts w:ascii="Verdana" w:hAnsi="Verdana"/>
          <w:color w:val="000000"/>
          <w:sz w:val="21"/>
          <w:szCs w:val="21"/>
        </w:rPr>
        <w:t>o</w:t>
      </w:r>
      <w:r>
        <w:rPr>
          <w:rFonts w:ascii="Verdana" w:hAnsi="Verdana"/>
          <w:color w:val="000000"/>
          <w:sz w:val="21"/>
          <w:szCs w:val="21"/>
        </w:rPr>
        <w:t>n South African equity indices, increased their market capitalisation during 2022, whereas most of the</w:t>
      </w:r>
      <w:r w:rsidR="00A36CF5">
        <w:rPr>
          <w:rFonts w:ascii="Verdana" w:hAnsi="Verdana"/>
          <w:color w:val="000000"/>
          <w:sz w:val="21"/>
          <w:szCs w:val="21"/>
        </w:rPr>
        <w:t>ir</w:t>
      </w:r>
      <w:r>
        <w:rPr>
          <w:rFonts w:ascii="Verdana" w:hAnsi="Verdana"/>
          <w:color w:val="000000"/>
          <w:sz w:val="21"/>
          <w:szCs w:val="21"/>
        </w:rPr>
        <w:t xml:space="preserve"> foreign </w:t>
      </w:r>
      <w:r w:rsidR="006C4164">
        <w:rPr>
          <w:rFonts w:ascii="Verdana" w:hAnsi="Verdana"/>
          <w:color w:val="000000"/>
          <w:sz w:val="21"/>
          <w:szCs w:val="21"/>
        </w:rPr>
        <w:t>referenced</w:t>
      </w:r>
      <w:r>
        <w:rPr>
          <w:rFonts w:ascii="Verdana" w:hAnsi="Verdana"/>
          <w:color w:val="000000"/>
          <w:sz w:val="21"/>
          <w:szCs w:val="21"/>
        </w:rPr>
        <w:t xml:space="preserve"> ETFs, dropped in market </w:t>
      </w:r>
      <w:r w:rsidR="006C4164">
        <w:rPr>
          <w:rFonts w:ascii="Verdana" w:hAnsi="Verdana"/>
          <w:color w:val="000000"/>
          <w:sz w:val="21"/>
          <w:szCs w:val="21"/>
        </w:rPr>
        <w:t>capitalisation</w:t>
      </w:r>
      <w:r>
        <w:rPr>
          <w:rFonts w:ascii="Verdana" w:hAnsi="Verdana"/>
          <w:color w:val="000000"/>
          <w:sz w:val="21"/>
          <w:szCs w:val="21"/>
        </w:rPr>
        <w:t xml:space="preserve"> last year.  This was due to market conditions, as the South African equity markets performed notably better than foreign markets, even in rands, during 2022. </w:t>
      </w:r>
    </w:p>
    <w:p w14:paraId="2F3E8453" w14:textId="0C673694" w:rsidR="00376CA0" w:rsidRDefault="00376CA0" w:rsidP="009D5939">
      <w:pPr>
        <w:spacing w:after="0" w:line="340" w:lineRule="atLeast"/>
        <w:jc w:val="both"/>
        <w:rPr>
          <w:rFonts w:ascii="Verdana" w:hAnsi="Verdana"/>
          <w:color w:val="000000"/>
          <w:sz w:val="21"/>
          <w:szCs w:val="21"/>
        </w:rPr>
      </w:pPr>
    </w:p>
    <w:p w14:paraId="6EA577BF" w14:textId="3955F064" w:rsidR="00376CA0" w:rsidRDefault="00376CA0" w:rsidP="009D5939">
      <w:pPr>
        <w:spacing w:after="0" w:line="340" w:lineRule="atLeast"/>
        <w:jc w:val="both"/>
        <w:rPr>
          <w:rFonts w:ascii="Verdana" w:hAnsi="Verdana"/>
          <w:color w:val="000000"/>
          <w:sz w:val="21"/>
          <w:szCs w:val="21"/>
        </w:rPr>
      </w:pPr>
      <w:r>
        <w:rPr>
          <w:rFonts w:ascii="Verdana" w:hAnsi="Verdana"/>
          <w:color w:val="000000"/>
          <w:sz w:val="21"/>
          <w:szCs w:val="21"/>
        </w:rPr>
        <w:t xml:space="preserve">Satrix issued 3 new ETFs during the course of 2022, namely the </w:t>
      </w:r>
      <w:r>
        <w:rPr>
          <w:rFonts w:ascii="Verdana" w:hAnsi="Verdana"/>
          <w:b/>
          <w:bCs/>
          <w:color w:val="000000"/>
          <w:sz w:val="21"/>
          <w:szCs w:val="21"/>
        </w:rPr>
        <w:t>Satrix I</w:t>
      </w:r>
      <w:r w:rsidR="00CF407A">
        <w:rPr>
          <w:rFonts w:ascii="Verdana" w:hAnsi="Verdana"/>
          <w:b/>
          <w:bCs/>
          <w:color w:val="000000"/>
          <w:sz w:val="21"/>
          <w:szCs w:val="21"/>
        </w:rPr>
        <w:t>ndia</w:t>
      </w:r>
      <w:r>
        <w:rPr>
          <w:rFonts w:ascii="Verdana" w:hAnsi="Verdana"/>
          <w:b/>
          <w:bCs/>
          <w:color w:val="000000"/>
          <w:sz w:val="21"/>
          <w:szCs w:val="21"/>
        </w:rPr>
        <w:t xml:space="preserve"> ETF, Satrix Healthcare Innovation ETF</w:t>
      </w:r>
      <w:r>
        <w:rPr>
          <w:rFonts w:ascii="Verdana" w:hAnsi="Verdana"/>
          <w:color w:val="000000"/>
          <w:sz w:val="21"/>
          <w:szCs w:val="21"/>
        </w:rPr>
        <w:t xml:space="preserve"> and the </w:t>
      </w:r>
      <w:r>
        <w:rPr>
          <w:rFonts w:ascii="Verdana" w:hAnsi="Verdana"/>
          <w:b/>
          <w:bCs/>
          <w:color w:val="000000"/>
          <w:sz w:val="21"/>
          <w:szCs w:val="21"/>
        </w:rPr>
        <w:t>Satrix Smart City</w:t>
      </w:r>
      <w:r w:rsidR="00755DEC">
        <w:rPr>
          <w:rFonts w:ascii="Verdana" w:hAnsi="Verdana"/>
          <w:b/>
          <w:bCs/>
          <w:color w:val="000000"/>
          <w:sz w:val="21"/>
          <w:szCs w:val="21"/>
        </w:rPr>
        <w:t xml:space="preserve"> Infrastructure ETF</w:t>
      </w:r>
      <w:r w:rsidR="00755DEC">
        <w:rPr>
          <w:rFonts w:ascii="Verdana" w:hAnsi="Verdana"/>
          <w:color w:val="000000"/>
          <w:sz w:val="21"/>
          <w:szCs w:val="21"/>
        </w:rPr>
        <w:t xml:space="preserve">.  The first product raised R189 million in new capital, reflecting some interest </w:t>
      </w:r>
      <w:r w:rsidR="00CF407A">
        <w:rPr>
          <w:rFonts w:ascii="Verdana" w:hAnsi="Verdana"/>
          <w:color w:val="000000"/>
          <w:sz w:val="21"/>
          <w:szCs w:val="21"/>
        </w:rPr>
        <w:t>amongst local retail investors</w:t>
      </w:r>
      <w:r w:rsidR="00CF407A">
        <w:rPr>
          <w:rFonts w:ascii="Verdana" w:hAnsi="Verdana"/>
          <w:color w:val="000000"/>
          <w:sz w:val="21"/>
          <w:szCs w:val="21"/>
        </w:rPr>
        <w:t xml:space="preserve"> </w:t>
      </w:r>
      <w:r w:rsidR="00755DEC">
        <w:rPr>
          <w:rFonts w:ascii="Verdana" w:hAnsi="Verdana"/>
          <w:color w:val="000000"/>
          <w:sz w:val="21"/>
          <w:szCs w:val="21"/>
        </w:rPr>
        <w:t>in investing in th</w:t>
      </w:r>
      <w:r w:rsidR="00A36CF5">
        <w:rPr>
          <w:rFonts w:ascii="Verdana" w:hAnsi="Verdana"/>
          <w:color w:val="000000"/>
          <w:sz w:val="21"/>
          <w:szCs w:val="21"/>
        </w:rPr>
        <w:t>e</w:t>
      </w:r>
      <w:r w:rsidR="00755DEC">
        <w:rPr>
          <w:rFonts w:ascii="Verdana" w:hAnsi="Verdana"/>
          <w:color w:val="000000"/>
          <w:sz w:val="21"/>
          <w:szCs w:val="21"/>
        </w:rPr>
        <w:t xml:space="preserve"> dynamically growing </w:t>
      </w:r>
      <w:r w:rsidR="00A36CF5">
        <w:rPr>
          <w:rFonts w:ascii="Verdana" w:hAnsi="Verdana"/>
          <w:color w:val="000000"/>
          <w:sz w:val="21"/>
          <w:szCs w:val="21"/>
        </w:rPr>
        <w:t xml:space="preserve">Indian </w:t>
      </w:r>
      <w:r w:rsidR="00755DEC">
        <w:rPr>
          <w:rFonts w:ascii="Verdana" w:hAnsi="Verdana"/>
          <w:color w:val="000000"/>
          <w:sz w:val="21"/>
          <w:szCs w:val="21"/>
        </w:rPr>
        <w:t xml:space="preserve">economy. </w:t>
      </w:r>
    </w:p>
    <w:p w14:paraId="319260BA" w14:textId="57959CA9" w:rsidR="00755DEC" w:rsidRDefault="00755DEC" w:rsidP="009D5939">
      <w:pPr>
        <w:spacing w:after="0" w:line="340" w:lineRule="atLeast"/>
        <w:jc w:val="both"/>
        <w:rPr>
          <w:rFonts w:ascii="Verdana" w:hAnsi="Verdana"/>
          <w:color w:val="000000"/>
          <w:sz w:val="21"/>
          <w:szCs w:val="21"/>
        </w:rPr>
      </w:pPr>
    </w:p>
    <w:p w14:paraId="21A7D138" w14:textId="6A3303C6" w:rsidR="00755DEC" w:rsidRDefault="00755DEC" w:rsidP="009D5939">
      <w:pPr>
        <w:spacing w:after="0" w:line="340" w:lineRule="atLeast"/>
        <w:jc w:val="both"/>
        <w:rPr>
          <w:rFonts w:ascii="Verdana" w:hAnsi="Verdana"/>
          <w:color w:val="000000"/>
          <w:sz w:val="21"/>
          <w:szCs w:val="21"/>
        </w:rPr>
      </w:pPr>
      <w:r>
        <w:rPr>
          <w:rFonts w:ascii="Verdana" w:hAnsi="Verdana"/>
          <w:color w:val="000000"/>
          <w:sz w:val="21"/>
          <w:szCs w:val="21"/>
        </w:rPr>
        <w:t xml:space="preserve">The deal for the sale of Absa’s asset management and administration business to Sanlam has been recently concluded.  Included in this is the sale of the NewFunds ETFs in the Absa stable to Satrix, which is fully owned by Sanlam.  At the end of 2022, the NewFunds ETFs had a combined market capitalisation of R4 920,2 million, which will swell the assets under management by Satrix quite materially. </w:t>
      </w:r>
    </w:p>
    <w:p w14:paraId="0226F371" w14:textId="2B55E40F" w:rsidR="00755DEC" w:rsidRDefault="00755DEC" w:rsidP="009D5939">
      <w:pPr>
        <w:spacing w:after="0" w:line="340" w:lineRule="atLeast"/>
        <w:jc w:val="both"/>
        <w:rPr>
          <w:rFonts w:ascii="Verdana" w:hAnsi="Verdana"/>
          <w:color w:val="000000"/>
          <w:sz w:val="21"/>
          <w:szCs w:val="21"/>
        </w:rPr>
      </w:pPr>
    </w:p>
    <w:p w14:paraId="191ADB29" w14:textId="7CF2983B" w:rsidR="00755DEC" w:rsidRDefault="00755DEC" w:rsidP="009D5939">
      <w:pPr>
        <w:spacing w:after="0" w:line="340" w:lineRule="atLeast"/>
        <w:jc w:val="both"/>
        <w:rPr>
          <w:rFonts w:ascii="Verdana" w:hAnsi="Verdana"/>
          <w:color w:val="000000"/>
          <w:sz w:val="21"/>
          <w:szCs w:val="21"/>
        </w:rPr>
      </w:pPr>
      <w:r>
        <w:rPr>
          <w:rFonts w:ascii="Verdana" w:hAnsi="Verdana"/>
          <w:color w:val="000000"/>
          <w:sz w:val="21"/>
          <w:szCs w:val="21"/>
        </w:rPr>
        <w:t xml:space="preserve">Satrix have yet to announce their plans for the ETFs they will be acquiring.  There is some duplication involved in the assets and indices tracked by the NewFunds ETFs, for which Satrix already has ETFs listed.  Some of the NewFunds ETFs are </w:t>
      </w:r>
      <w:r w:rsidR="00A36CF5">
        <w:rPr>
          <w:rFonts w:ascii="Verdana" w:hAnsi="Verdana"/>
          <w:color w:val="000000"/>
          <w:sz w:val="21"/>
          <w:szCs w:val="21"/>
        </w:rPr>
        <w:t xml:space="preserve">also </w:t>
      </w:r>
      <w:r>
        <w:rPr>
          <w:rFonts w:ascii="Verdana" w:hAnsi="Verdana"/>
          <w:color w:val="000000"/>
          <w:sz w:val="21"/>
          <w:szCs w:val="21"/>
        </w:rPr>
        <w:t>very small and have failed to gain traction in the markets</w:t>
      </w:r>
      <w:r w:rsidR="00CF407A">
        <w:rPr>
          <w:rFonts w:ascii="Verdana" w:hAnsi="Verdana"/>
          <w:color w:val="000000"/>
          <w:sz w:val="21"/>
          <w:szCs w:val="21"/>
        </w:rPr>
        <w:t>.  S</w:t>
      </w:r>
      <w:r>
        <w:rPr>
          <w:rFonts w:ascii="Verdana" w:hAnsi="Verdana"/>
          <w:color w:val="000000"/>
          <w:sz w:val="21"/>
          <w:szCs w:val="21"/>
        </w:rPr>
        <w:t xml:space="preserve">o Satrix may well decide to </w:t>
      </w:r>
      <w:r w:rsidR="00A36CF5">
        <w:rPr>
          <w:rFonts w:ascii="Verdana" w:hAnsi="Verdana"/>
          <w:color w:val="000000"/>
          <w:sz w:val="21"/>
          <w:szCs w:val="21"/>
        </w:rPr>
        <w:t xml:space="preserve">delist </w:t>
      </w:r>
      <w:r>
        <w:rPr>
          <w:rFonts w:ascii="Verdana" w:hAnsi="Verdana"/>
          <w:color w:val="000000"/>
          <w:sz w:val="21"/>
          <w:szCs w:val="21"/>
        </w:rPr>
        <w:t xml:space="preserve">some of these ETFs, </w:t>
      </w:r>
      <w:r w:rsidR="00A36CF5">
        <w:rPr>
          <w:rFonts w:ascii="Verdana" w:hAnsi="Verdana"/>
          <w:color w:val="000000"/>
          <w:sz w:val="21"/>
          <w:szCs w:val="21"/>
        </w:rPr>
        <w:t xml:space="preserve">or </w:t>
      </w:r>
      <w:r>
        <w:rPr>
          <w:rFonts w:ascii="Verdana" w:hAnsi="Verdana"/>
          <w:color w:val="000000"/>
          <w:sz w:val="21"/>
          <w:szCs w:val="21"/>
        </w:rPr>
        <w:t>combin</w:t>
      </w:r>
      <w:r w:rsidR="00A36CF5">
        <w:rPr>
          <w:rFonts w:ascii="Verdana" w:hAnsi="Verdana"/>
          <w:color w:val="000000"/>
          <w:sz w:val="21"/>
          <w:szCs w:val="21"/>
        </w:rPr>
        <w:t>e</w:t>
      </w:r>
      <w:r>
        <w:rPr>
          <w:rFonts w:ascii="Verdana" w:hAnsi="Verdana"/>
          <w:color w:val="000000"/>
          <w:sz w:val="21"/>
          <w:szCs w:val="21"/>
        </w:rPr>
        <w:t xml:space="preserve"> them with their existing </w:t>
      </w:r>
      <w:r w:rsidR="00A36CF5">
        <w:rPr>
          <w:rFonts w:ascii="Verdana" w:hAnsi="Verdana"/>
          <w:color w:val="000000"/>
          <w:sz w:val="21"/>
          <w:szCs w:val="21"/>
        </w:rPr>
        <w:t xml:space="preserve">Satrix </w:t>
      </w:r>
      <w:r>
        <w:rPr>
          <w:rFonts w:ascii="Verdana" w:hAnsi="Verdana"/>
          <w:color w:val="000000"/>
          <w:sz w:val="21"/>
          <w:szCs w:val="21"/>
        </w:rPr>
        <w:t xml:space="preserve">products, or </w:t>
      </w:r>
      <w:r w:rsidR="00A36CF5">
        <w:rPr>
          <w:rFonts w:ascii="Verdana" w:hAnsi="Verdana"/>
          <w:color w:val="000000"/>
          <w:sz w:val="21"/>
          <w:szCs w:val="21"/>
        </w:rPr>
        <w:t xml:space="preserve">to </w:t>
      </w:r>
      <w:r>
        <w:rPr>
          <w:rFonts w:ascii="Verdana" w:hAnsi="Verdana"/>
          <w:color w:val="000000"/>
          <w:sz w:val="21"/>
          <w:szCs w:val="21"/>
        </w:rPr>
        <w:t xml:space="preserve">continue them under the Satrix brand. </w:t>
      </w:r>
    </w:p>
    <w:p w14:paraId="0D7808F3" w14:textId="50FC02AE" w:rsidR="00755DEC" w:rsidRDefault="00755DEC" w:rsidP="009D5939">
      <w:pPr>
        <w:spacing w:after="0" w:line="340" w:lineRule="atLeast"/>
        <w:jc w:val="both"/>
        <w:rPr>
          <w:rFonts w:ascii="Verdana" w:hAnsi="Verdana"/>
          <w:color w:val="000000"/>
          <w:sz w:val="21"/>
          <w:szCs w:val="21"/>
        </w:rPr>
      </w:pPr>
    </w:p>
    <w:p w14:paraId="6EFFB416" w14:textId="57D2B8B5" w:rsidR="00755DEC" w:rsidRPr="00755DEC" w:rsidRDefault="00755DEC" w:rsidP="009D5939">
      <w:pPr>
        <w:spacing w:after="0" w:line="340" w:lineRule="atLeast"/>
        <w:jc w:val="both"/>
        <w:rPr>
          <w:rFonts w:ascii="Verdana" w:hAnsi="Verdana"/>
          <w:color w:val="000000"/>
          <w:sz w:val="21"/>
          <w:szCs w:val="21"/>
        </w:rPr>
      </w:pPr>
      <w:r>
        <w:rPr>
          <w:rFonts w:ascii="Verdana" w:hAnsi="Verdana"/>
          <w:color w:val="000000"/>
          <w:sz w:val="21"/>
          <w:szCs w:val="21"/>
        </w:rPr>
        <w:t xml:space="preserve">In all events, the acquisition of these 15 Absa NewFunds ETFs will increase Satrix’s lead in the industry. </w:t>
      </w:r>
    </w:p>
    <w:p w14:paraId="7C548D92" w14:textId="52C804D0" w:rsidR="009D5939" w:rsidRDefault="009D5939" w:rsidP="009D5939">
      <w:pPr>
        <w:spacing w:after="0" w:line="340" w:lineRule="atLeast"/>
        <w:jc w:val="both"/>
        <w:rPr>
          <w:rFonts w:ascii="Verdana" w:hAnsi="Verdana"/>
          <w:color w:val="000000"/>
          <w:sz w:val="21"/>
          <w:szCs w:val="21"/>
        </w:rPr>
      </w:pPr>
    </w:p>
    <w:p w14:paraId="45A7CC73" w14:textId="77777777" w:rsidR="00FC7926" w:rsidRPr="00DE7139" w:rsidRDefault="00FC7926" w:rsidP="005A38E1">
      <w:pPr>
        <w:spacing w:after="0" w:line="340" w:lineRule="atLeast"/>
        <w:jc w:val="both"/>
        <w:rPr>
          <w:rFonts w:ascii="Verdana" w:hAnsi="Verdana"/>
          <w:color w:val="000000"/>
          <w:sz w:val="21"/>
          <w:szCs w:val="21"/>
        </w:rPr>
      </w:pPr>
    </w:p>
    <w:p w14:paraId="0731A3E0" w14:textId="66E38E8D" w:rsidR="00755DEC" w:rsidRDefault="00FC7926" w:rsidP="005A38E1">
      <w:pPr>
        <w:spacing w:after="0" w:line="340" w:lineRule="atLeast"/>
        <w:jc w:val="both"/>
        <w:rPr>
          <w:rFonts w:ascii="Verdana" w:hAnsi="Verdana"/>
          <w:color w:val="000000"/>
          <w:sz w:val="21"/>
          <w:szCs w:val="21"/>
        </w:rPr>
      </w:pPr>
      <w:r w:rsidRPr="006C0C1F">
        <w:rPr>
          <w:rFonts w:ascii="Verdana" w:hAnsi="Verdana"/>
          <w:b/>
          <w:bCs/>
          <w:color w:val="C00000"/>
          <w:sz w:val="21"/>
          <w:szCs w:val="21"/>
        </w:rPr>
        <w:t>Sygnia Itrix</w:t>
      </w:r>
      <w:r w:rsidRPr="006C0C1F">
        <w:rPr>
          <w:rFonts w:ascii="Verdana" w:hAnsi="Verdana"/>
          <w:color w:val="C00000"/>
          <w:sz w:val="21"/>
          <w:szCs w:val="21"/>
        </w:rPr>
        <w:t xml:space="preserve"> </w:t>
      </w:r>
      <w:r w:rsidRPr="00DE7139">
        <w:rPr>
          <w:rFonts w:ascii="Verdana" w:hAnsi="Verdana"/>
          <w:color w:val="000000"/>
          <w:sz w:val="21"/>
          <w:szCs w:val="21"/>
        </w:rPr>
        <w:t>–</w:t>
      </w:r>
      <w:r w:rsidR="00755DEC">
        <w:rPr>
          <w:rFonts w:ascii="Verdana" w:hAnsi="Verdana"/>
          <w:color w:val="000000"/>
          <w:sz w:val="21"/>
          <w:szCs w:val="21"/>
        </w:rPr>
        <w:t xml:space="preserve"> su</w:t>
      </w:r>
      <w:r w:rsidR="006C4164">
        <w:rPr>
          <w:rFonts w:ascii="Verdana" w:hAnsi="Verdana"/>
          <w:color w:val="000000"/>
          <w:sz w:val="21"/>
          <w:szCs w:val="21"/>
        </w:rPr>
        <w:t>ffered</w:t>
      </w:r>
      <w:r w:rsidR="00755DEC">
        <w:rPr>
          <w:rFonts w:ascii="Verdana" w:hAnsi="Verdana"/>
          <w:color w:val="000000"/>
          <w:sz w:val="21"/>
          <w:szCs w:val="21"/>
        </w:rPr>
        <w:t xml:space="preserve"> relative</w:t>
      </w:r>
      <w:r w:rsidR="00A36CF5">
        <w:rPr>
          <w:rFonts w:ascii="Verdana" w:hAnsi="Verdana"/>
          <w:color w:val="000000"/>
          <w:sz w:val="21"/>
          <w:szCs w:val="21"/>
        </w:rPr>
        <w:t>ly</w:t>
      </w:r>
      <w:r w:rsidR="00755DEC">
        <w:rPr>
          <w:rFonts w:ascii="Verdana" w:hAnsi="Verdana"/>
          <w:color w:val="000000"/>
          <w:sz w:val="21"/>
          <w:szCs w:val="21"/>
        </w:rPr>
        <w:t xml:space="preserve"> to Satrix in 2022 because of its focus on foreign referenced ETFs in its basket of products.  Only 2 of the 15 ETFs Sygnia has in issue, track South African equity indices, the rest all provide links to global market indices.  Accordingly, the poor performance of international markets hit Sygnia last year, but as a world markets recover, the positioning of Sygnia products in the market place could prove more favourable. </w:t>
      </w:r>
    </w:p>
    <w:p w14:paraId="405E97A3" w14:textId="77777777" w:rsidR="00755DEC" w:rsidRDefault="00755DEC" w:rsidP="005A38E1">
      <w:pPr>
        <w:spacing w:after="0" w:line="340" w:lineRule="atLeast"/>
        <w:jc w:val="both"/>
        <w:rPr>
          <w:rFonts w:ascii="Verdana" w:hAnsi="Verdana"/>
          <w:color w:val="000000"/>
          <w:sz w:val="21"/>
          <w:szCs w:val="21"/>
        </w:rPr>
      </w:pPr>
    </w:p>
    <w:p w14:paraId="1FFF3513" w14:textId="050099C6" w:rsidR="00FC7926" w:rsidRDefault="00755DEC" w:rsidP="005A38E1">
      <w:pPr>
        <w:spacing w:after="0" w:line="340" w:lineRule="atLeast"/>
        <w:jc w:val="both"/>
        <w:rPr>
          <w:rFonts w:ascii="Verdana" w:hAnsi="Verdana"/>
          <w:color w:val="000000"/>
          <w:sz w:val="21"/>
          <w:szCs w:val="21"/>
        </w:rPr>
      </w:pPr>
      <w:r>
        <w:rPr>
          <w:rFonts w:ascii="Verdana" w:hAnsi="Verdana"/>
          <w:color w:val="000000"/>
          <w:sz w:val="21"/>
          <w:szCs w:val="21"/>
        </w:rPr>
        <w:t xml:space="preserve">Despite unfavourable market performance, </w:t>
      </w:r>
      <w:r>
        <w:rPr>
          <w:rFonts w:ascii="Verdana" w:hAnsi="Verdana"/>
          <w:b/>
          <w:bCs/>
          <w:color w:val="000000"/>
          <w:sz w:val="21"/>
          <w:szCs w:val="21"/>
        </w:rPr>
        <w:t>Sygnia Itrix MSCI Emerging Market 50 ETF</w:t>
      </w:r>
      <w:r>
        <w:rPr>
          <w:rFonts w:ascii="Verdana" w:hAnsi="Verdana"/>
          <w:color w:val="000000"/>
          <w:sz w:val="21"/>
          <w:szCs w:val="21"/>
        </w:rPr>
        <w:t>, which track</w:t>
      </w:r>
      <w:r w:rsidR="00A36CF5">
        <w:rPr>
          <w:rFonts w:ascii="Verdana" w:hAnsi="Verdana"/>
          <w:color w:val="000000"/>
          <w:sz w:val="21"/>
          <w:szCs w:val="21"/>
        </w:rPr>
        <w:t>s</w:t>
      </w:r>
      <w:r>
        <w:rPr>
          <w:rFonts w:ascii="Verdana" w:hAnsi="Verdana"/>
          <w:color w:val="000000"/>
          <w:sz w:val="21"/>
          <w:szCs w:val="21"/>
        </w:rPr>
        <w:t xml:space="preserve"> an index of the top 50 shares in all emerging markets, was the </w:t>
      </w:r>
      <w:r w:rsidR="00FE11E3">
        <w:rPr>
          <w:rFonts w:ascii="Verdana" w:hAnsi="Verdana"/>
          <w:color w:val="000000"/>
          <w:sz w:val="21"/>
          <w:szCs w:val="21"/>
        </w:rPr>
        <w:t xml:space="preserve">single most successful ETP </w:t>
      </w:r>
      <w:r w:rsidR="00A36CF5">
        <w:rPr>
          <w:rFonts w:ascii="Verdana" w:hAnsi="Verdana"/>
          <w:color w:val="000000"/>
          <w:sz w:val="21"/>
          <w:szCs w:val="21"/>
        </w:rPr>
        <w:t>in</w:t>
      </w:r>
      <w:r w:rsidR="00FE11E3">
        <w:rPr>
          <w:rFonts w:ascii="Verdana" w:hAnsi="Verdana"/>
          <w:color w:val="000000"/>
          <w:sz w:val="21"/>
          <w:szCs w:val="21"/>
        </w:rPr>
        <w:t xml:space="preserve"> the industry in terms of raising new capital in 2022, issuing n</w:t>
      </w:r>
      <w:r w:rsidR="00A36CF5">
        <w:rPr>
          <w:rFonts w:ascii="Verdana" w:hAnsi="Verdana"/>
          <w:color w:val="000000"/>
          <w:sz w:val="21"/>
          <w:szCs w:val="21"/>
        </w:rPr>
        <w:t>e</w:t>
      </w:r>
      <w:r w:rsidR="00FE11E3">
        <w:rPr>
          <w:rFonts w:ascii="Verdana" w:hAnsi="Verdana"/>
          <w:color w:val="000000"/>
          <w:sz w:val="21"/>
          <w:szCs w:val="21"/>
        </w:rPr>
        <w:t xml:space="preserve">w securities with a value of R1 149,2 million. </w:t>
      </w:r>
    </w:p>
    <w:p w14:paraId="7904EB04" w14:textId="4CB8F6EE" w:rsidR="00FE11E3" w:rsidRDefault="00FE11E3">
      <w:pPr>
        <w:rPr>
          <w:rFonts w:ascii="Verdana" w:hAnsi="Verdana"/>
          <w:color w:val="000000"/>
          <w:sz w:val="21"/>
          <w:szCs w:val="21"/>
        </w:rPr>
      </w:pPr>
      <w:r>
        <w:rPr>
          <w:rFonts w:ascii="Verdana" w:hAnsi="Verdana"/>
          <w:color w:val="000000"/>
          <w:sz w:val="21"/>
          <w:szCs w:val="21"/>
        </w:rPr>
        <w:br w:type="page"/>
      </w:r>
    </w:p>
    <w:p w14:paraId="614BE930" w14:textId="77777777" w:rsidR="00FE11E3" w:rsidRDefault="00FE11E3" w:rsidP="005A38E1">
      <w:pPr>
        <w:spacing w:after="0" w:line="340" w:lineRule="atLeast"/>
        <w:jc w:val="both"/>
        <w:rPr>
          <w:rFonts w:ascii="Verdana" w:hAnsi="Verdana"/>
          <w:color w:val="000000"/>
          <w:sz w:val="21"/>
          <w:szCs w:val="21"/>
        </w:rPr>
      </w:pPr>
    </w:p>
    <w:p w14:paraId="6EE5F9AD" w14:textId="7C4BA935" w:rsidR="00FE11E3" w:rsidRPr="00FE11E3" w:rsidRDefault="00FE11E3" w:rsidP="005A38E1">
      <w:pPr>
        <w:spacing w:after="0" w:line="340" w:lineRule="atLeast"/>
        <w:jc w:val="both"/>
        <w:rPr>
          <w:rFonts w:ascii="Verdana" w:hAnsi="Verdana"/>
          <w:color w:val="000000"/>
          <w:sz w:val="21"/>
          <w:szCs w:val="21"/>
        </w:rPr>
      </w:pPr>
      <w:r>
        <w:rPr>
          <w:rFonts w:ascii="Verdana" w:hAnsi="Verdana"/>
          <w:color w:val="000000"/>
          <w:sz w:val="21"/>
          <w:szCs w:val="21"/>
        </w:rPr>
        <w:t xml:space="preserve">Sygnia issued </w:t>
      </w:r>
      <w:r w:rsidR="00F362F1">
        <w:rPr>
          <w:rFonts w:ascii="Verdana" w:hAnsi="Verdana"/>
          <w:color w:val="000000"/>
          <w:sz w:val="21"/>
          <w:szCs w:val="21"/>
        </w:rPr>
        <w:t>two</w:t>
      </w:r>
      <w:r>
        <w:rPr>
          <w:rFonts w:ascii="Verdana" w:hAnsi="Verdana"/>
          <w:color w:val="000000"/>
          <w:sz w:val="21"/>
          <w:szCs w:val="21"/>
        </w:rPr>
        <w:t xml:space="preserve"> </w:t>
      </w:r>
      <w:r w:rsidR="00F362F1">
        <w:rPr>
          <w:rFonts w:ascii="Verdana" w:hAnsi="Verdana"/>
          <w:color w:val="000000"/>
          <w:sz w:val="21"/>
          <w:szCs w:val="21"/>
        </w:rPr>
        <w:t>new</w:t>
      </w:r>
      <w:r>
        <w:rPr>
          <w:rFonts w:ascii="Verdana" w:hAnsi="Verdana"/>
          <w:color w:val="000000"/>
          <w:sz w:val="21"/>
          <w:szCs w:val="21"/>
        </w:rPr>
        <w:t xml:space="preserve"> ETF in 2022</w:t>
      </w:r>
      <w:r w:rsidR="00F362F1">
        <w:rPr>
          <w:rFonts w:ascii="Verdana" w:hAnsi="Verdana"/>
          <w:color w:val="000000"/>
          <w:sz w:val="21"/>
          <w:szCs w:val="21"/>
        </w:rPr>
        <w:t>.  T</w:t>
      </w:r>
      <w:r>
        <w:rPr>
          <w:rFonts w:ascii="Verdana" w:hAnsi="Verdana"/>
          <w:color w:val="000000"/>
          <w:sz w:val="21"/>
          <w:szCs w:val="21"/>
        </w:rPr>
        <w:t xml:space="preserve">he </w:t>
      </w:r>
      <w:r>
        <w:rPr>
          <w:rFonts w:ascii="Verdana" w:hAnsi="Verdana"/>
          <w:b/>
          <w:bCs/>
          <w:color w:val="000000"/>
          <w:sz w:val="21"/>
          <w:szCs w:val="21"/>
        </w:rPr>
        <w:t>Sygnia Itrix Sustainable Economy ETF</w:t>
      </w:r>
      <w:r>
        <w:rPr>
          <w:rFonts w:ascii="Verdana" w:hAnsi="Verdana"/>
          <w:color w:val="000000"/>
          <w:sz w:val="21"/>
          <w:szCs w:val="21"/>
        </w:rPr>
        <w:t>, which was listed in October 2022.  This ETF tracks the S&amp;P Kensho Sustainable Technologies index, which seeks out companies predominantly listed in the US, that implement sustainable technologies.  By the end of 2022, this ETF had a market capitalisation of R145</w:t>
      </w:r>
      <w:r w:rsidR="00F362F1">
        <w:rPr>
          <w:rFonts w:ascii="Verdana" w:hAnsi="Verdana"/>
          <w:color w:val="000000"/>
          <w:sz w:val="21"/>
          <w:szCs w:val="21"/>
        </w:rPr>
        <w:t>,</w:t>
      </w:r>
      <w:r>
        <w:rPr>
          <w:rFonts w:ascii="Verdana" w:hAnsi="Verdana"/>
          <w:color w:val="000000"/>
          <w:sz w:val="21"/>
          <w:szCs w:val="21"/>
        </w:rPr>
        <w:t xml:space="preserve">1 million, indicating good </w:t>
      </w:r>
      <w:r w:rsidR="00F362F1">
        <w:rPr>
          <w:rFonts w:ascii="Verdana" w:hAnsi="Verdana"/>
          <w:color w:val="000000"/>
          <w:sz w:val="21"/>
          <w:szCs w:val="21"/>
        </w:rPr>
        <w:t xml:space="preserve">initial </w:t>
      </w:r>
      <w:r>
        <w:rPr>
          <w:rFonts w:ascii="Verdana" w:hAnsi="Verdana"/>
          <w:color w:val="000000"/>
          <w:sz w:val="21"/>
          <w:szCs w:val="21"/>
        </w:rPr>
        <w:t xml:space="preserve">support for such an innovative product. </w:t>
      </w:r>
    </w:p>
    <w:p w14:paraId="6C7A748A" w14:textId="7DA75BD9" w:rsidR="00DE7139" w:rsidRDefault="00DE7139" w:rsidP="005A38E1">
      <w:pPr>
        <w:spacing w:after="0" w:line="340" w:lineRule="atLeast"/>
        <w:jc w:val="both"/>
        <w:rPr>
          <w:rFonts w:ascii="Verdana" w:hAnsi="Verdana"/>
          <w:color w:val="000000"/>
          <w:sz w:val="21"/>
          <w:szCs w:val="21"/>
        </w:rPr>
      </w:pPr>
    </w:p>
    <w:p w14:paraId="187B8EF1" w14:textId="6AE6023D" w:rsidR="00F362F1" w:rsidRPr="00F362F1" w:rsidRDefault="00F362F1" w:rsidP="005A38E1">
      <w:pPr>
        <w:spacing w:after="0" w:line="340" w:lineRule="atLeast"/>
        <w:jc w:val="both"/>
        <w:rPr>
          <w:rFonts w:ascii="Verdana" w:hAnsi="Verdana"/>
          <w:color w:val="000000"/>
          <w:sz w:val="21"/>
          <w:szCs w:val="21"/>
        </w:rPr>
      </w:pPr>
      <w:r>
        <w:rPr>
          <w:rFonts w:ascii="Verdana" w:hAnsi="Verdana"/>
          <w:color w:val="000000"/>
          <w:sz w:val="21"/>
          <w:szCs w:val="21"/>
        </w:rPr>
        <w:t xml:space="preserve">The other new product listed was the </w:t>
      </w:r>
      <w:r>
        <w:rPr>
          <w:rFonts w:ascii="Verdana" w:hAnsi="Verdana"/>
          <w:b/>
          <w:bCs/>
          <w:color w:val="000000"/>
          <w:sz w:val="21"/>
          <w:szCs w:val="21"/>
        </w:rPr>
        <w:t>Sygnia Itrix New China Sectors ETF</w:t>
      </w:r>
      <w:r>
        <w:rPr>
          <w:rFonts w:ascii="Verdana" w:hAnsi="Verdana"/>
          <w:color w:val="000000"/>
          <w:sz w:val="21"/>
          <w:szCs w:val="21"/>
        </w:rPr>
        <w:t xml:space="preserve">, which concentrates on the consumer, healthcare and communications sectors of the Chinese economy. </w:t>
      </w:r>
    </w:p>
    <w:p w14:paraId="515EA1FB" w14:textId="77777777" w:rsidR="00FE11E3" w:rsidRDefault="00FE11E3" w:rsidP="005A38E1">
      <w:pPr>
        <w:spacing w:after="0" w:line="340" w:lineRule="atLeast"/>
        <w:jc w:val="both"/>
        <w:rPr>
          <w:rFonts w:ascii="Verdana" w:hAnsi="Verdana"/>
          <w:color w:val="000000"/>
          <w:sz w:val="21"/>
          <w:szCs w:val="21"/>
        </w:rPr>
      </w:pPr>
    </w:p>
    <w:p w14:paraId="33E0BBA6" w14:textId="0EA103A9" w:rsidR="007F485E" w:rsidRDefault="003262AF" w:rsidP="005A38E1">
      <w:pPr>
        <w:spacing w:after="0" w:line="340" w:lineRule="atLeast"/>
        <w:jc w:val="both"/>
        <w:rPr>
          <w:rFonts w:ascii="Verdana" w:hAnsi="Verdana"/>
          <w:color w:val="000000"/>
          <w:sz w:val="21"/>
          <w:szCs w:val="21"/>
        </w:rPr>
      </w:pPr>
      <w:r w:rsidRPr="006C0C1F">
        <w:rPr>
          <w:rFonts w:ascii="Verdana" w:hAnsi="Verdana"/>
          <w:b/>
          <w:bCs/>
          <w:color w:val="C00000"/>
          <w:sz w:val="21"/>
          <w:szCs w:val="21"/>
        </w:rPr>
        <w:t>Absa Capital</w:t>
      </w:r>
      <w:r w:rsidR="00D85866" w:rsidRPr="006C0C1F">
        <w:rPr>
          <w:rFonts w:ascii="Verdana" w:hAnsi="Verdana"/>
          <w:color w:val="C00000"/>
          <w:sz w:val="21"/>
          <w:szCs w:val="21"/>
        </w:rPr>
        <w:t xml:space="preserve"> </w:t>
      </w:r>
      <w:r w:rsidR="00D85866" w:rsidRPr="00944E04">
        <w:rPr>
          <w:rFonts w:ascii="Verdana" w:hAnsi="Verdana"/>
          <w:color w:val="000000"/>
          <w:sz w:val="21"/>
          <w:szCs w:val="21"/>
        </w:rPr>
        <w:t>–</w:t>
      </w:r>
      <w:r w:rsidR="007F485E">
        <w:rPr>
          <w:rFonts w:ascii="Verdana" w:hAnsi="Verdana"/>
          <w:color w:val="000000"/>
          <w:sz w:val="21"/>
          <w:szCs w:val="21"/>
        </w:rPr>
        <w:t xml:space="preserve"> </w:t>
      </w:r>
      <w:r w:rsidR="00FE11E3">
        <w:rPr>
          <w:rFonts w:ascii="Verdana" w:hAnsi="Verdana"/>
          <w:color w:val="000000"/>
          <w:sz w:val="21"/>
          <w:szCs w:val="21"/>
        </w:rPr>
        <w:t xml:space="preserve">as mentioned earlier, Absa will be selling its 15 NewFunds ETFs to Sanlam/ Satrix, which will reduce its overall market capitalisation by some R5 billion.  In addition, redemptions of Absa’s NewGold ETF, that track the price of gold, platinum and palladium, </w:t>
      </w:r>
      <w:r w:rsidR="002C48B1">
        <w:rPr>
          <w:rFonts w:ascii="Verdana" w:hAnsi="Verdana"/>
          <w:color w:val="000000"/>
          <w:sz w:val="21"/>
          <w:szCs w:val="21"/>
        </w:rPr>
        <w:t>amount</w:t>
      </w:r>
      <w:r w:rsidR="00F362F1">
        <w:rPr>
          <w:rFonts w:ascii="Verdana" w:hAnsi="Verdana"/>
          <w:color w:val="000000"/>
          <w:sz w:val="21"/>
          <w:szCs w:val="21"/>
        </w:rPr>
        <w:t>ed</w:t>
      </w:r>
      <w:r w:rsidR="00FE11E3">
        <w:rPr>
          <w:rFonts w:ascii="Verdana" w:hAnsi="Verdana"/>
          <w:color w:val="000000"/>
          <w:sz w:val="21"/>
          <w:szCs w:val="21"/>
        </w:rPr>
        <w:t xml:space="preserve"> to R3 229,4 million in 2022. </w:t>
      </w:r>
    </w:p>
    <w:p w14:paraId="62B157A8" w14:textId="487CB414" w:rsidR="00FE11E3" w:rsidRDefault="00FE11E3" w:rsidP="005A38E1">
      <w:pPr>
        <w:spacing w:after="0" w:line="340" w:lineRule="atLeast"/>
        <w:jc w:val="both"/>
        <w:rPr>
          <w:rFonts w:ascii="Verdana" w:hAnsi="Verdana"/>
          <w:color w:val="000000"/>
          <w:sz w:val="21"/>
          <w:szCs w:val="21"/>
        </w:rPr>
      </w:pPr>
    </w:p>
    <w:p w14:paraId="73153A41" w14:textId="3FED748E" w:rsidR="00FE11E3" w:rsidRDefault="00FE11E3" w:rsidP="005A38E1">
      <w:pPr>
        <w:spacing w:after="0" w:line="340" w:lineRule="atLeast"/>
        <w:jc w:val="both"/>
        <w:rPr>
          <w:rFonts w:ascii="Verdana" w:hAnsi="Verdana"/>
          <w:color w:val="000000"/>
          <w:sz w:val="21"/>
          <w:szCs w:val="21"/>
        </w:rPr>
      </w:pPr>
      <w:r>
        <w:rPr>
          <w:rFonts w:ascii="Verdana" w:hAnsi="Verdana"/>
          <w:color w:val="000000"/>
          <w:sz w:val="21"/>
          <w:szCs w:val="21"/>
        </w:rPr>
        <w:t xml:space="preserve">Absa </w:t>
      </w:r>
      <w:r w:rsidR="00F362F1">
        <w:rPr>
          <w:rFonts w:ascii="Verdana" w:hAnsi="Verdana"/>
          <w:color w:val="000000"/>
          <w:sz w:val="21"/>
          <w:szCs w:val="21"/>
        </w:rPr>
        <w:t>ha</w:t>
      </w:r>
      <w:r>
        <w:rPr>
          <w:rFonts w:ascii="Verdana" w:hAnsi="Verdana"/>
          <w:color w:val="000000"/>
          <w:sz w:val="21"/>
          <w:szCs w:val="21"/>
        </w:rPr>
        <w:t>s therefore experienc</w:t>
      </w:r>
      <w:r w:rsidR="00F362F1">
        <w:rPr>
          <w:rFonts w:ascii="Verdana" w:hAnsi="Verdana"/>
          <w:color w:val="000000"/>
          <w:sz w:val="21"/>
          <w:szCs w:val="21"/>
        </w:rPr>
        <w:t>ed</w:t>
      </w:r>
      <w:r>
        <w:rPr>
          <w:rFonts w:ascii="Verdana" w:hAnsi="Verdana"/>
          <w:color w:val="000000"/>
          <w:sz w:val="21"/>
          <w:szCs w:val="21"/>
        </w:rPr>
        <w:t xml:space="preserve"> a significant </w:t>
      </w:r>
      <w:r w:rsidR="00F362F1">
        <w:rPr>
          <w:rFonts w:ascii="Verdana" w:hAnsi="Verdana"/>
          <w:color w:val="000000"/>
          <w:sz w:val="21"/>
          <w:szCs w:val="21"/>
        </w:rPr>
        <w:t xml:space="preserve">decline </w:t>
      </w:r>
      <w:r>
        <w:rPr>
          <w:rFonts w:ascii="Verdana" w:hAnsi="Verdana"/>
          <w:color w:val="000000"/>
          <w:sz w:val="21"/>
          <w:szCs w:val="21"/>
        </w:rPr>
        <w:t xml:space="preserve">in the value and scope of its ETP offerings </w:t>
      </w:r>
      <w:r w:rsidR="00F362F1">
        <w:rPr>
          <w:rFonts w:ascii="Verdana" w:hAnsi="Verdana"/>
          <w:color w:val="000000"/>
          <w:sz w:val="21"/>
          <w:szCs w:val="21"/>
        </w:rPr>
        <w:t xml:space="preserve">last year </w:t>
      </w:r>
      <w:r>
        <w:rPr>
          <w:rFonts w:ascii="Verdana" w:hAnsi="Verdana"/>
          <w:color w:val="000000"/>
          <w:sz w:val="21"/>
          <w:szCs w:val="21"/>
        </w:rPr>
        <w:t xml:space="preserve">and its future plans will be watched with interest.  </w:t>
      </w:r>
    </w:p>
    <w:p w14:paraId="76D07142" w14:textId="2093B0A6" w:rsidR="007F485E" w:rsidRDefault="007F485E" w:rsidP="005A38E1">
      <w:pPr>
        <w:spacing w:after="0" w:line="340" w:lineRule="atLeast"/>
        <w:jc w:val="both"/>
        <w:rPr>
          <w:rFonts w:ascii="Verdana" w:hAnsi="Verdana"/>
          <w:color w:val="000000"/>
          <w:sz w:val="21"/>
          <w:szCs w:val="21"/>
        </w:rPr>
      </w:pPr>
    </w:p>
    <w:p w14:paraId="0281F5DD" w14:textId="4EC1CF51" w:rsidR="00043FCA" w:rsidRPr="00944E04" w:rsidRDefault="00043FCA" w:rsidP="005A38E1">
      <w:pPr>
        <w:spacing w:after="0" w:line="340" w:lineRule="atLeast"/>
        <w:jc w:val="both"/>
        <w:rPr>
          <w:rFonts w:ascii="Verdana" w:hAnsi="Verdana"/>
          <w:color w:val="000000"/>
          <w:sz w:val="21"/>
          <w:szCs w:val="21"/>
        </w:rPr>
      </w:pPr>
    </w:p>
    <w:p w14:paraId="72C6EAE4" w14:textId="1AD8E132" w:rsidR="0067088C" w:rsidRDefault="00FE11E3" w:rsidP="005A38E1">
      <w:pPr>
        <w:spacing w:after="0" w:line="340" w:lineRule="atLeast"/>
        <w:jc w:val="both"/>
        <w:rPr>
          <w:rFonts w:ascii="Verdana" w:hAnsi="Verdana"/>
          <w:color w:val="000000"/>
          <w:sz w:val="21"/>
          <w:szCs w:val="21"/>
        </w:rPr>
      </w:pPr>
      <w:r>
        <w:rPr>
          <w:rFonts w:ascii="Verdana" w:hAnsi="Verdana"/>
          <w:b/>
          <w:bCs/>
          <w:color w:val="C00000"/>
          <w:sz w:val="21"/>
          <w:szCs w:val="21"/>
        </w:rPr>
        <w:t>CoreShares</w:t>
      </w:r>
      <w:r w:rsidR="00043FCA" w:rsidRPr="006C0C1F">
        <w:rPr>
          <w:rFonts w:ascii="Verdana" w:hAnsi="Verdana"/>
          <w:color w:val="C00000"/>
          <w:sz w:val="21"/>
          <w:szCs w:val="21"/>
        </w:rPr>
        <w:t xml:space="preserve"> </w:t>
      </w:r>
      <w:r w:rsidR="00043FCA" w:rsidRPr="002867E2">
        <w:rPr>
          <w:rFonts w:ascii="Verdana" w:hAnsi="Verdana"/>
          <w:color w:val="000000"/>
          <w:sz w:val="21"/>
          <w:szCs w:val="21"/>
        </w:rPr>
        <w:t>–</w:t>
      </w:r>
      <w:r w:rsidR="007F485E">
        <w:rPr>
          <w:rFonts w:ascii="Verdana" w:hAnsi="Verdana"/>
          <w:color w:val="000000"/>
          <w:sz w:val="21"/>
          <w:szCs w:val="21"/>
        </w:rPr>
        <w:t xml:space="preserve"> </w:t>
      </w:r>
      <w:r>
        <w:rPr>
          <w:rFonts w:ascii="Verdana" w:hAnsi="Verdana"/>
          <w:color w:val="000000"/>
          <w:sz w:val="21"/>
          <w:szCs w:val="21"/>
        </w:rPr>
        <w:t xml:space="preserve">experienced a boost in last-2022, when it listed the </w:t>
      </w:r>
      <w:r w:rsidRPr="00FE11E3">
        <w:rPr>
          <w:rFonts w:ascii="Verdana" w:hAnsi="Verdana"/>
          <w:b/>
          <w:bCs/>
          <w:color w:val="000000"/>
          <w:sz w:val="21"/>
          <w:szCs w:val="21"/>
        </w:rPr>
        <w:t>CoreShares Wealth Government Bond ETF</w:t>
      </w:r>
      <w:r>
        <w:rPr>
          <w:rFonts w:ascii="Verdana" w:hAnsi="Verdana"/>
          <w:color w:val="000000"/>
          <w:sz w:val="21"/>
          <w:szCs w:val="21"/>
        </w:rPr>
        <w:t xml:space="preserve"> in December 2022.  This ETF tracks the FTSE/JSE All Bond </w:t>
      </w:r>
      <w:r w:rsidR="002C48B1">
        <w:rPr>
          <w:rFonts w:ascii="Verdana" w:hAnsi="Verdana"/>
          <w:color w:val="000000"/>
          <w:sz w:val="21"/>
          <w:szCs w:val="21"/>
        </w:rPr>
        <w:t>Government</w:t>
      </w:r>
      <w:r>
        <w:rPr>
          <w:rFonts w:ascii="Verdana" w:hAnsi="Verdana"/>
          <w:color w:val="000000"/>
          <w:sz w:val="21"/>
          <w:szCs w:val="21"/>
        </w:rPr>
        <w:t xml:space="preserve"> index (GOVI), which encompasses the top ten RSA bonds in terms of their liquidity and market capitalisation (size). </w:t>
      </w:r>
    </w:p>
    <w:p w14:paraId="57749C20" w14:textId="2F965F8D" w:rsidR="00FE11E3" w:rsidRDefault="00FE11E3" w:rsidP="005A38E1">
      <w:pPr>
        <w:spacing w:after="0" w:line="340" w:lineRule="atLeast"/>
        <w:jc w:val="both"/>
        <w:rPr>
          <w:rFonts w:ascii="Verdana" w:hAnsi="Verdana"/>
          <w:color w:val="000000"/>
          <w:sz w:val="21"/>
          <w:szCs w:val="21"/>
        </w:rPr>
      </w:pPr>
    </w:p>
    <w:p w14:paraId="36DC7B97" w14:textId="1B2EEB19" w:rsidR="00FE11E3" w:rsidRDefault="00FE11E3" w:rsidP="005A38E1">
      <w:pPr>
        <w:spacing w:after="0" w:line="340" w:lineRule="atLeast"/>
        <w:jc w:val="both"/>
        <w:rPr>
          <w:rFonts w:ascii="Verdana" w:hAnsi="Verdana"/>
          <w:color w:val="000000"/>
          <w:sz w:val="21"/>
          <w:szCs w:val="21"/>
        </w:rPr>
      </w:pPr>
      <w:r>
        <w:rPr>
          <w:rFonts w:ascii="Verdana" w:hAnsi="Verdana"/>
          <w:color w:val="000000"/>
          <w:sz w:val="21"/>
          <w:szCs w:val="21"/>
        </w:rPr>
        <w:t xml:space="preserve">CoreShares attracted a substantial investment (R823 million) from an investor, who </w:t>
      </w:r>
      <w:r w:rsidR="00F362F1">
        <w:rPr>
          <w:rFonts w:ascii="Verdana" w:hAnsi="Verdana"/>
          <w:color w:val="000000"/>
          <w:sz w:val="21"/>
          <w:szCs w:val="21"/>
        </w:rPr>
        <w:t xml:space="preserve">apparently </w:t>
      </w:r>
      <w:r>
        <w:rPr>
          <w:rFonts w:ascii="Verdana" w:hAnsi="Verdana"/>
          <w:color w:val="000000"/>
          <w:sz w:val="21"/>
          <w:szCs w:val="21"/>
        </w:rPr>
        <w:t>wishe</w:t>
      </w:r>
      <w:r w:rsidR="00F362F1">
        <w:rPr>
          <w:rFonts w:ascii="Verdana" w:hAnsi="Verdana"/>
          <w:color w:val="000000"/>
          <w:sz w:val="21"/>
          <w:szCs w:val="21"/>
        </w:rPr>
        <w:t>d</w:t>
      </w:r>
      <w:r>
        <w:rPr>
          <w:rFonts w:ascii="Verdana" w:hAnsi="Verdana"/>
          <w:color w:val="000000"/>
          <w:sz w:val="21"/>
          <w:szCs w:val="21"/>
        </w:rPr>
        <w:t xml:space="preserve"> to switch holdings in the NewFunds GOVI</w:t>
      </w:r>
      <w:r w:rsidR="00F362F1">
        <w:rPr>
          <w:rFonts w:ascii="Verdana" w:hAnsi="Verdana"/>
          <w:color w:val="000000"/>
          <w:sz w:val="21"/>
          <w:szCs w:val="21"/>
        </w:rPr>
        <w:t xml:space="preserve"> </w:t>
      </w:r>
      <w:r>
        <w:rPr>
          <w:rFonts w:ascii="Verdana" w:hAnsi="Verdana"/>
          <w:color w:val="000000"/>
          <w:sz w:val="21"/>
          <w:szCs w:val="21"/>
        </w:rPr>
        <w:t>ETF to another product provider.  By the end of 2022, the new CoreShares Wealth GOVI ETF had raised R839,7 million in new capital.</w:t>
      </w:r>
    </w:p>
    <w:p w14:paraId="15DEF92A" w14:textId="260978D5" w:rsidR="00FE11E3" w:rsidRDefault="00FE11E3" w:rsidP="005A38E1">
      <w:pPr>
        <w:spacing w:after="0" w:line="340" w:lineRule="atLeast"/>
        <w:jc w:val="both"/>
        <w:rPr>
          <w:rFonts w:ascii="Verdana" w:hAnsi="Verdana"/>
          <w:color w:val="000000"/>
          <w:sz w:val="21"/>
          <w:szCs w:val="21"/>
        </w:rPr>
      </w:pPr>
    </w:p>
    <w:p w14:paraId="546D3C2C" w14:textId="060FBC4F" w:rsidR="00FE11E3" w:rsidRDefault="00FE11E3" w:rsidP="005A38E1">
      <w:pPr>
        <w:spacing w:after="0" w:line="340" w:lineRule="atLeast"/>
        <w:jc w:val="both"/>
        <w:rPr>
          <w:rFonts w:ascii="Verdana" w:hAnsi="Verdana"/>
          <w:color w:val="000000"/>
          <w:sz w:val="21"/>
          <w:szCs w:val="21"/>
        </w:rPr>
      </w:pPr>
      <w:r>
        <w:rPr>
          <w:rFonts w:ascii="Verdana" w:hAnsi="Verdana"/>
          <w:color w:val="000000"/>
          <w:sz w:val="21"/>
          <w:szCs w:val="21"/>
        </w:rPr>
        <w:t>The balance of the 10 ETFs, issued by CoreShares, wi</w:t>
      </w:r>
      <w:r w:rsidR="00F362F1">
        <w:rPr>
          <w:rFonts w:ascii="Verdana" w:hAnsi="Verdana"/>
          <w:color w:val="000000"/>
          <w:sz w:val="21"/>
          <w:szCs w:val="21"/>
        </w:rPr>
        <w:t>th</w:t>
      </w:r>
      <w:r>
        <w:rPr>
          <w:rFonts w:ascii="Verdana" w:hAnsi="Verdana"/>
          <w:color w:val="000000"/>
          <w:sz w:val="21"/>
          <w:szCs w:val="21"/>
        </w:rPr>
        <w:t xml:space="preserve"> the exception of the CoreShares S&amp;P 500 ETF, attracted new </w:t>
      </w:r>
      <w:r w:rsidR="002C48B1">
        <w:rPr>
          <w:rFonts w:ascii="Verdana" w:hAnsi="Verdana"/>
          <w:color w:val="000000"/>
          <w:sz w:val="21"/>
          <w:szCs w:val="21"/>
        </w:rPr>
        <w:t>capital</w:t>
      </w:r>
      <w:r>
        <w:rPr>
          <w:rFonts w:ascii="Verdana" w:hAnsi="Verdana"/>
          <w:color w:val="000000"/>
          <w:sz w:val="21"/>
          <w:szCs w:val="21"/>
        </w:rPr>
        <w:t xml:space="preserve"> during the course of last yea</w:t>
      </w:r>
      <w:r w:rsidR="00F362F1">
        <w:rPr>
          <w:rFonts w:ascii="Verdana" w:hAnsi="Verdana"/>
          <w:color w:val="000000"/>
          <w:sz w:val="21"/>
          <w:szCs w:val="21"/>
        </w:rPr>
        <w:t>r</w:t>
      </w:r>
      <w:r>
        <w:rPr>
          <w:rFonts w:ascii="Verdana" w:hAnsi="Verdana"/>
          <w:color w:val="000000"/>
          <w:sz w:val="21"/>
          <w:szCs w:val="21"/>
        </w:rPr>
        <w:t xml:space="preserve"> and CoreShares</w:t>
      </w:r>
      <w:r w:rsidR="00674425">
        <w:rPr>
          <w:rFonts w:ascii="Verdana" w:hAnsi="Verdana"/>
          <w:color w:val="000000"/>
          <w:sz w:val="21"/>
          <w:szCs w:val="21"/>
        </w:rPr>
        <w:t xml:space="preserve">, in total, issued R1 261,1 </w:t>
      </w:r>
      <w:r w:rsidR="002C48B1">
        <w:rPr>
          <w:rFonts w:ascii="Verdana" w:hAnsi="Verdana"/>
          <w:color w:val="000000"/>
          <w:sz w:val="21"/>
          <w:szCs w:val="21"/>
        </w:rPr>
        <w:t>million</w:t>
      </w:r>
      <w:r w:rsidR="00674425">
        <w:rPr>
          <w:rFonts w:ascii="Verdana" w:hAnsi="Verdana"/>
          <w:color w:val="000000"/>
          <w:sz w:val="21"/>
          <w:szCs w:val="21"/>
        </w:rPr>
        <w:t xml:space="preserve"> new ETF securities in 2022.  Its market </w:t>
      </w:r>
      <w:r w:rsidR="002C48B1">
        <w:rPr>
          <w:rFonts w:ascii="Verdana" w:hAnsi="Verdana"/>
          <w:color w:val="000000"/>
          <w:sz w:val="21"/>
          <w:szCs w:val="21"/>
        </w:rPr>
        <w:t>capitalisation</w:t>
      </w:r>
      <w:r w:rsidR="00674425">
        <w:rPr>
          <w:rFonts w:ascii="Verdana" w:hAnsi="Verdana"/>
          <w:color w:val="000000"/>
          <w:sz w:val="21"/>
          <w:szCs w:val="21"/>
        </w:rPr>
        <w:t xml:space="preserve"> at the end of 2022 was R6 728 million, enabling it to reclaim 5</w:t>
      </w:r>
      <w:r w:rsidR="00674425" w:rsidRPr="00674425">
        <w:rPr>
          <w:rFonts w:ascii="Verdana" w:hAnsi="Verdana"/>
          <w:color w:val="000000"/>
          <w:sz w:val="21"/>
          <w:szCs w:val="21"/>
          <w:vertAlign w:val="superscript"/>
        </w:rPr>
        <w:t>th</w:t>
      </w:r>
      <w:r w:rsidR="00674425">
        <w:rPr>
          <w:rFonts w:ascii="Verdana" w:hAnsi="Verdana"/>
          <w:color w:val="000000"/>
          <w:sz w:val="21"/>
          <w:szCs w:val="21"/>
        </w:rPr>
        <w:t xml:space="preserve"> spot in the ETP issuer league table from 1nvest. </w:t>
      </w:r>
    </w:p>
    <w:p w14:paraId="370F169B" w14:textId="58E31B70" w:rsidR="00674425" w:rsidRDefault="00674425" w:rsidP="005A38E1">
      <w:pPr>
        <w:spacing w:after="0" w:line="340" w:lineRule="atLeast"/>
        <w:jc w:val="both"/>
        <w:rPr>
          <w:rFonts w:ascii="Verdana" w:hAnsi="Verdana"/>
          <w:color w:val="000000"/>
          <w:sz w:val="21"/>
          <w:szCs w:val="21"/>
        </w:rPr>
      </w:pPr>
    </w:p>
    <w:p w14:paraId="1BA07D71" w14:textId="7DB0539D" w:rsidR="00674425" w:rsidRDefault="00674425" w:rsidP="005A38E1">
      <w:pPr>
        <w:spacing w:after="0" w:line="340" w:lineRule="atLeast"/>
        <w:jc w:val="both"/>
        <w:rPr>
          <w:rFonts w:ascii="Verdana" w:hAnsi="Verdana"/>
          <w:color w:val="000000"/>
          <w:sz w:val="21"/>
          <w:szCs w:val="21"/>
        </w:rPr>
      </w:pPr>
      <w:r>
        <w:rPr>
          <w:rFonts w:ascii="Verdana" w:hAnsi="Verdana"/>
          <w:color w:val="000000"/>
          <w:sz w:val="21"/>
          <w:szCs w:val="21"/>
        </w:rPr>
        <w:t>10X, a local asset manager and provider of ret</w:t>
      </w:r>
      <w:r w:rsidR="00F362F1">
        <w:rPr>
          <w:rFonts w:ascii="Verdana" w:hAnsi="Verdana"/>
          <w:color w:val="000000"/>
          <w:sz w:val="21"/>
          <w:szCs w:val="21"/>
        </w:rPr>
        <w:t>irement</w:t>
      </w:r>
      <w:r>
        <w:rPr>
          <w:rFonts w:ascii="Verdana" w:hAnsi="Verdana"/>
          <w:color w:val="000000"/>
          <w:sz w:val="21"/>
          <w:szCs w:val="21"/>
        </w:rPr>
        <w:t xml:space="preserve"> funds, has purchased the assets of CoreShares, although final regulatory approval is still awaited.  The CoreShares b</w:t>
      </w:r>
      <w:r w:rsidR="00F362F1">
        <w:rPr>
          <w:rFonts w:ascii="Verdana" w:hAnsi="Verdana"/>
          <w:color w:val="000000"/>
          <w:sz w:val="21"/>
          <w:szCs w:val="21"/>
        </w:rPr>
        <w:t>ook</w:t>
      </w:r>
      <w:r>
        <w:rPr>
          <w:rFonts w:ascii="Verdana" w:hAnsi="Verdana"/>
          <w:color w:val="000000"/>
          <w:sz w:val="21"/>
          <w:szCs w:val="21"/>
        </w:rPr>
        <w:t xml:space="preserve"> of 10 ETFs, covering both global and local markets, offers 10X a good entry point into the ETP industry and future developments will be awaited with interest. </w:t>
      </w:r>
    </w:p>
    <w:p w14:paraId="761752E3" w14:textId="77D3CA3E" w:rsidR="00D15D09" w:rsidRDefault="00D15D09" w:rsidP="005A38E1">
      <w:pPr>
        <w:spacing w:after="0" w:line="340" w:lineRule="atLeast"/>
        <w:jc w:val="both"/>
        <w:rPr>
          <w:rFonts w:ascii="Verdana" w:hAnsi="Verdana"/>
          <w:color w:val="000000"/>
          <w:sz w:val="21"/>
          <w:szCs w:val="21"/>
        </w:rPr>
      </w:pPr>
    </w:p>
    <w:p w14:paraId="1D66A9DE" w14:textId="77777777" w:rsidR="00D15D09" w:rsidRPr="006B3D57" w:rsidRDefault="00D15D09" w:rsidP="006B3D57">
      <w:pPr>
        <w:spacing w:after="0" w:line="340" w:lineRule="atLeast"/>
        <w:rPr>
          <w:rFonts w:ascii="Verdana" w:hAnsi="Verdana"/>
          <w:color w:val="000000"/>
          <w:sz w:val="21"/>
          <w:szCs w:val="21"/>
        </w:rPr>
      </w:pPr>
    </w:p>
    <w:p w14:paraId="5766CA2B" w14:textId="39B87A91" w:rsidR="00D15D09" w:rsidRDefault="00674425" w:rsidP="005A38E1">
      <w:pPr>
        <w:spacing w:after="0" w:line="340" w:lineRule="atLeast"/>
        <w:jc w:val="both"/>
        <w:rPr>
          <w:rFonts w:ascii="Verdana" w:hAnsi="Verdana"/>
          <w:color w:val="000000"/>
          <w:sz w:val="21"/>
          <w:szCs w:val="21"/>
        </w:rPr>
      </w:pPr>
      <w:r>
        <w:rPr>
          <w:rFonts w:ascii="Verdana" w:hAnsi="Verdana"/>
          <w:b/>
          <w:bCs/>
          <w:color w:val="C00000"/>
          <w:sz w:val="21"/>
          <w:szCs w:val="21"/>
        </w:rPr>
        <w:t>1nvest</w:t>
      </w:r>
      <w:r w:rsidR="00D15D09" w:rsidRPr="006C0C1F">
        <w:rPr>
          <w:rFonts w:ascii="Verdana" w:hAnsi="Verdana"/>
          <w:color w:val="C00000"/>
          <w:sz w:val="21"/>
          <w:szCs w:val="21"/>
        </w:rPr>
        <w:t xml:space="preserve"> </w:t>
      </w:r>
      <w:r w:rsidR="00D15D09">
        <w:rPr>
          <w:rFonts w:ascii="Verdana" w:hAnsi="Verdana"/>
          <w:color w:val="000000"/>
          <w:sz w:val="21"/>
          <w:szCs w:val="21"/>
        </w:rPr>
        <w:t xml:space="preserve">– </w:t>
      </w:r>
      <w:r>
        <w:rPr>
          <w:rFonts w:ascii="Verdana" w:hAnsi="Verdana"/>
          <w:color w:val="000000"/>
          <w:sz w:val="21"/>
          <w:szCs w:val="21"/>
        </w:rPr>
        <w:t xml:space="preserve">mainly due to the delisting of securities tracking precious metals prices, which amounted to a total of R1 258,4 million </w:t>
      </w:r>
      <w:r w:rsidR="00F362F1">
        <w:rPr>
          <w:rFonts w:ascii="Verdana" w:hAnsi="Verdana"/>
          <w:color w:val="000000"/>
          <w:sz w:val="21"/>
          <w:szCs w:val="21"/>
        </w:rPr>
        <w:t xml:space="preserve">reduction </w:t>
      </w:r>
      <w:r>
        <w:rPr>
          <w:rFonts w:ascii="Verdana" w:hAnsi="Verdana"/>
          <w:color w:val="000000"/>
          <w:sz w:val="21"/>
          <w:szCs w:val="21"/>
        </w:rPr>
        <w:t>in capital</w:t>
      </w:r>
      <w:r w:rsidR="004F5E09">
        <w:rPr>
          <w:rFonts w:ascii="Verdana" w:hAnsi="Verdana"/>
          <w:color w:val="000000"/>
          <w:sz w:val="21"/>
          <w:szCs w:val="21"/>
        </w:rPr>
        <w:t>,</w:t>
      </w:r>
      <w:r w:rsidR="00F362F1">
        <w:rPr>
          <w:rFonts w:ascii="Verdana" w:hAnsi="Verdana"/>
          <w:color w:val="000000"/>
          <w:sz w:val="21"/>
          <w:szCs w:val="21"/>
        </w:rPr>
        <w:t xml:space="preserve"> 1</w:t>
      </w:r>
      <w:r>
        <w:rPr>
          <w:rFonts w:ascii="Verdana" w:hAnsi="Verdana"/>
          <w:color w:val="000000"/>
          <w:sz w:val="21"/>
          <w:szCs w:val="21"/>
        </w:rPr>
        <w:t xml:space="preserve">nvest had a relatively poor year in 2022.  This total market capitalisation of ETFs in issue by this company, fell from R8 033,2 million in 2021, to R6 502,4 million at the end of 2022.  </w:t>
      </w:r>
    </w:p>
    <w:p w14:paraId="04E64C4F" w14:textId="77777777" w:rsidR="00674425" w:rsidRDefault="00674425">
      <w:pPr>
        <w:rPr>
          <w:rFonts w:ascii="Verdana" w:hAnsi="Verdana"/>
          <w:color w:val="000000"/>
          <w:sz w:val="21"/>
          <w:szCs w:val="21"/>
        </w:rPr>
      </w:pPr>
      <w:r>
        <w:rPr>
          <w:rFonts w:ascii="Verdana" w:hAnsi="Verdana"/>
          <w:color w:val="000000"/>
          <w:sz w:val="21"/>
          <w:szCs w:val="21"/>
        </w:rPr>
        <w:br w:type="page"/>
      </w:r>
    </w:p>
    <w:p w14:paraId="29CC2501" w14:textId="77777777" w:rsidR="00674425" w:rsidRDefault="00674425" w:rsidP="005A38E1">
      <w:pPr>
        <w:spacing w:after="0" w:line="340" w:lineRule="atLeast"/>
        <w:jc w:val="both"/>
        <w:rPr>
          <w:rFonts w:ascii="Verdana" w:hAnsi="Verdana"/>
          <w:color w:val="000000"/>
          <w:sz w:val="21"/>
          <w:szCs w:val="21"/>
        </w:rPr>
      </w:pPr>
    </w:p>
    <w:p w14:paraId="731FEB72" w14:textId="7A7838AC" w:rsidR="00674425" w:rsidRPr="00674425" w:rsidRDefault="00674425" w:rsidP="005A38E1">
      <w:pPr>
        <w:spacing w:after="0" w:line="340" w:lineRule="atLeast"/>
        <w:jc w:val="both"/>
        <w:rPr>
          <w:rFonts w:ascii="Verdana" w:hAnsi="Verdana"/>
          <w:color w:val="000000"/>
          <w:sz w:val="21"/>
          <w:szCs w:val="21"/>
        </w:rPr>
      </w:pPr>
      <w:r>
        <w:rPr>
          <w:rFonts w:ascii="Verdana" w:hAnsi="Verdana"/>
          <w:color w:val="000000"/>
          <w:sz w:val="21"/>
          <w:szCs w:val="21"/>
        </w:rPr>
        <w:t xml:space="preserve">However, the company does appear to be active in </w:t>
      </w:r>
      <w:r w:rsidR="002D4E12">
        <w:rPr>
          <w:rFonts w:ascii="Verdana" w:hAnsi="Verdana"/>
          <w:color w:val="000000"/>
          <w:sz w:val="21"/>
          <w:szCs w:val="21"/>
        </w:rPr>
        <w:t>increasing</w:t>
      </w:r>
      <w:r>
        <w:rPr>
          <w:rFonts w:ascii="Verdana" w:hAnsi="Verdana"/>
          <w:color w:val="000000"/>
          <w:sz w:val="21"/>
          <w:szCs w:val="21"/>
        </w:rPr>
        <w:t xml:space="preserve"> its foothold in the industry.  Three new innovative ETFs were issued during the second half of the year, namely: the </w:t>
      </w:r>
      <w:r>
        <w:rPr>
          <w:rFonts w:ascii="Verdana" w:hAnsi="Verdana"/>
          <w:b/>
          <w:bCs/>
          <w:color w:val="000000"/>
          <w:sz w:val="21"/>
          <w:szCs w:val="21"/>
        </w:rPr>
        <w:t>1nvest ICE US Treasury Short Bond ETF</w:t>
      </w:r>
      <w:r>
        <w:rPr>
          <w:rFonts w:ascii="Verdana" w:hAnsi="Verdana"/>
          <w:color w:val="000000"/>
          <w:sz w:val="21"/>
          <w:szCs w:val="21"/>
        </w:rPr>
        <w:t xml:space="preserve"> which gives access to US Treasury paper of a duration less than one year, thereby differentiating it from the longer-term US bond ETF</w:t>
      </w:r>
      <w:r w:rsidR="00816E0D">
        <w:rPr>
          <w:rFonts w:ascii="Verdana" w:hAnsi="Verdana"/>
          <w:color w:val="000000"/>
          <w:sz w:val="21"/>
          <w:szCs w:val="21"/>
        </w:rPr>
        <w:t>s</w:t>
      </w:r>
      <w:r>
        <w:rPr>
          <w:rFonts w:ascii="Verdana" w:hAnsi="Verdana"/>
          <w:color w:val="000000"/>
          <w:sz w:val="21"/>
          <w:szCs w:val="21"/>
        </w:rPr>
        <w:t xml:space="preserve"> in issue by other providers; the </w:t>
      </w:r>
      <w:r>
        <w:rPr>
          <w:rFonts w:ascii="Verdana" w:hAnsi="Verdana"/>
          <w:b/>
          <w:bCs/>
          <w:color w:val="000000"/>
          <w:sz w:val="21"/>
          <w:szCs w:val="21"/>
        </w:rPr>
        <w:t>1nvest MSI Emerging Market Asia ETF</w:t>
      </w:r>
      <w:r>
        <w:rPr>
          <w:rFonts w:ascii="Verdana" w:hAnsi="Verdana"/>
          <w:color w:val="000000"/>
          <w:sz w:val="21"/>
          <w:szCs w:val="21"/>
        </w:rPr>
        <w:t xml:space="preserve"> which tracks companies listed </w:t>
      </w:r>
      <w:r w:rsidR="00816E0D">
        <w:rPr>
          <w:rFonts w:ascii="Verdana" w:hAnsi="Verdana"/>
          <w:color w:val="000000"/>
          <w:sz w:val="21"/>
          <w:szCs w:val="21"/>
        </w:rPr>
        <w:t>i</w:t>
      </w:r>
      <w:r>
        <w:rPr>
          <w:rFonts w:ascii="Verdana" w:hAnsi="Verdana"/>
          <w:color w:val="000000"/>
          <w:sz w:val="21"/>
          <w:szCs w:val="21"/>
        </w:rPr>
        <w:t xml:space="preserve">n 8 Asian countries; and the </w:t>
      </w:r>
      <w:r>
        <w:rPr>
          <w:rFonts w:ascii="Verdana" w:hAnsi="Verdana"/>
          <w:b/>
          <w:bCs/>
          <w:color w:val="000000"/>
          <w:sz w:val="21"/>
          <w:szCs w:val="21"/>
        </w:rPr>
        <w:t>1nvest MSCI World Socially Responsible ETF</w:t>
      </w:r>
      <w:r>
        <w:rPr>
          <w:rFonts w:ascii="Verdana" w:hAnsi="Verdana"/>
          <w:color w:val="000000"/>
          <w:sz w:val="21"/>
          <w:szCs w:val="21"/>
        </w:rPr>
        <w:t xml:space="preserve"> which focusses on the reduction of fossil fuel usage across 23 </w:t>
      </w:r>
      <w:r w:rsidR="002C48B1">
        <w:rPr>
          <w:rFonts w:ascii="Verdana" w:hAnsi="Verdana"/>
          <w:color w:val="000000"/>
          <w:sz w:val="21"/>
          <w:szCs w:val="21"/>
        </w:rPr>
        <w:t>developed</w:t>
      </w:r>
      <w:r>
        <w:rPr>
          <w:rFonts w:ascii="Verdana" w:hAnsi="Verdana"/>
          <w:color w:val="000000"/>
          <w:sz w:val="21"/>
          <w:szCs w:val="21"/>
        </w:rPr>
        <w:t xml:space="preserve"> economies.  The later ETF is the first in a series of SRI indices that 1nvest intends introducing to the South African market </w:t>
      </w:r>
      <w:r w:rsidR="00816E0D">
        <w:rPr>
          <w:rFonts w:ascii="Verdana" w:hAnsi="Verdana"/>
          <w:color w:val="000000"/>
          <w:sz w:val="21"/>
          <w:szCs w:val="21"/>
        </w:rPr>
        <w:t>over a period of time</w:t>
      </w:r>
      <w:r>
        <w:rPr>
          <w:rFonts w:ascii="Verdana" w:hAnsi="Verdana"/>
          <w:color w:val="000000"/>
          <w:sz w:val="21"/>
          <w:szCs w:val="21"/>
        </w:rPr>
        <w:t xml:space="preserve">.    </w:t>
      </w:r>
    </w:p>
    <w:p w14:paraId="184C939E" w14:textId="6C735BC2" w:rsidR="005A38E1" w:rsidRDefault="005A38E1" w:rsidP="005A38E1">
      <w:pPr>
        <w:spacing w:after="0" w:line="340" w:lineRule="atLeast"/>
        <w:jc w:val="both"/>
        <w:rPr>
          <w:rFonts w:ascii="Verdana" w:hAnsi="Verdana"/>
          <w:color w:val="000000"/>
          <w:sz w:val="21"/>
          <w:szCs w:val="21"/>
        </w:rPr>
      </w:pPr>
    </w:p>
    <w:p w14:paraId="6CAF0F9C" w14:textId="77777777" w:rsidR="006C4164" w:rsidRPr="006B3D57" w:rsidRDefault="006C4164" w:rsidP="006C4164">
      <w:pPr>
        <w:spacing w:after="0" w:line="340" w:lineRule="atLeast"/>
        <w:rPr>
          <w:rFonts w:ascii="Verdana" w:hAnsi="Verdana"/>
          <w:color w:val="000000"/>
          <w:sz w:val="21"/>
          <w:szCs w:val="21"/>
        </w:rPr>
      </w:pPr>
    </w:p>
    <w:p w14:paraId="7D78B28D" w14:textId="45A2A775" w:rsidR="006C4164" w:rsidRDefault="006C4164" w:rsidP="006C4164">
      <w:pPr>
        <w:spacing w:after="0" w:line="340" w:lineRule="atLeast"/>
        <w:jc w:val="both"/>
        <w:rPr>
          <w:rFonts w:ascii="Verdana" w:hAnsi="Verdana"/>
          <w:color w:val="000000"/>
          <w:sz w:val="21"/>
          <w:szCs w:val="21"/>
        </w:rPr>
      </w:pPr>
      <w:r>
        <w:rPr>
          <w:rFonts w:ascii="Verdana" w:hAnsi="Verdana"/>
          <w:b/>
          <w:bCs/>
          <w:color w:val="C00000"/>
          <w:sz w:val="21"/>
          <w:szCs w:val="21"/>
        </w:rPr>
        <w:t>Union Bank of Switzerland (UBS)</w:t>
      </w:r>
      <w:r w:rsidRPr="006C0C1F">
        <w:rPr>
          <w:rFonts w:ascii="Verdana" w:hAnsi="Verdana"/>
          <w:color w:val="C00000"/>
          <w:sz w:val="21"/>
          <w:szCs w:val="21"/>
        </w:rPr>
        <w:t xml:space="preserve"> </w:t>
      </w:r>
      <w:r>
        <w:rPr>
          <w:rFonts w:ascii="Verdana" w:hAnsi="Verdana"/>
          <w:color w:val="000000"/>
          <w:sz w:val="21"/>
          <w:szCs w:val="21"/>
        </w:rPr>
        <w:t>– which has been responsible for the development and listing of actively managed ETN portfolios on the JSE since 2</w:t>
      </w:r>
      <w:r w:rsidR="00816E0D">
        <w:rPr>
          <w:rFonts w:ascii="Verdana" w:hAnsi="Verdana"/>
          <w:color w:val="000000"/>
          <w:sz w:val="21"/>
          <w:szCs w:val="21"/>
        </w:rPr>
        <w:t>0</w:t>
      </w:r>
      <w:r>
        <w:rPr>
          <w:rFonts w:ascii="Verdana" w:hAnsi="Verdana"/>
          <w:color w:val="000000"/>
          <w:sz w:val="21"/>
          <w:szCs w:val="21"/>
        </w:rPr>
        <w:t>19, took advantage of the new listing requirements published by the JSE for Actively Managed Certificates (AMCs), by relist</w:t>
      </w:r>
      <w:r w:rsidR="00B53F4B">
        <w:rPr>
          <w:rFonts w:ascii="Verdana" w:hAnsi="Verdana"/>
          <w:color w:val="000000"/>
          <w:sz w:val="21"/>
          <w:szCs w:val="21"/>
        </w:rPr>
        <w:t>ing</w:t>
      </w:r>
      <w:r>
        <w:rPr>
          <w:rFonts w:ascii="Verdana" w:hAnsi="Verdana"/>
          <w:color w:val="000000"/>
          <w:sz w:val="21"/>
          <w:szCs w:val="21"/>
        </w:rPr>
        <w:t xml:space="preserve"> their 14 </w:t>
      </w:r>
      <w:r w:rsidR="005D7F7B">
        <w:rPr>
          <w:rFonts w:ascii="Verdana" w:hAnsi="Verdana"/>
          <w:color w:val="000000"/>
          <w:sz w:val="21"/>
          <w:szCs w:val="21"/>
        </w:rPr>
        <w:t xml:space="preserve">actively managed ETN </w:t>
      </w:r>
      <w:r>
        <w:rPr>
          <w:rFonts w:ascii="Verdana" w:hAnsi="Verdana"/>
          <w:color w:val="000000"/>
          <w:sz w:val="21"/>
          <w:szCs w:val="21"/>
        </w:rPr>
        <w:t xml:space="preserve">products as AMCs in October 2022.  UBS also introduced a further 5 new AMCs to the market, all </w:t>
      </w:r>
      <w:r w:rsidR="005D7F7B">
        <w:rPr>
          <w:rFonts w:ascii="Verdana" w:hAnsi="Verdana"/>
          <w:color w:val="000000"/>
          <w:sz w:val="21"/>
          <w:szCs w:val="21"/>
        </w:rPr>
        <w:t>managed</w:t>
      </w:r>
      <w:r>
        <w:rPr>
          <w:rFonts w:ascii="Verdana" w:hAnsi="Verdana"/>
          <w:color w:val="000000"/>
          <w:sz w:val="21"/>
          <w:szCs w:val="21"/>
        </w:rPr>
        <w:t xml:space="preserve"> by third party portfolio managers, to get the new AMC Board on the JSE off to a </w:t>
      </w:r>
      <w:r w:rsidR="005D7F7B">
        <w:rPr>
          <w:rFonts w:ascii="Verdana" w:hAnsi="Verdana"/>
          <w:color w:val="000000"/>
          <w:sz w:val="21"/>
          <w:szCs w:val="21"/>
        </w:rPr>
        <w:t>fly</w:t>
      </w:r>
      <w:r>
        <w:rPr>
          <w:rFonts w:ascii="Verdana" w:hAnsi="Verdana"/>
          <w:color w:val="000000"/>
          <w:sz w:val="21"/>
          <w:szCs w:val="21"/>
        </w:rPr>
        <w:t xml:space="preserve">ing start.  </w:t>
      </w:r>
    </w:p>
    <w:p w14:paraId="717AAA3D" w14:textId="77777777" w:rsidR="006C4164" w:rsidRDefault="006C4164" w:rsidP="006C4164">
      <w:pPr>
        <w:spacing w:after="0" w:line="340" w:lineRule="atLeast"/>
        <w:jc w:val="both"/>
        <w:rPr>
          <w:rFonts w:ascii="Verdana" w:hAnsi="Verdana"/>
          <w:color w:val="000000"/>
          <w:sz w:val="21"/>
          <w:szCs w:val="21"/>
        </w:rPr>
      </w:pPr>
    </w:p>
    <w:p w14:paraId="209419D0" w14:textId="0D0A1583" w:rsidR="006C4164" w:rsidRDefault="006C4164" w:rsidP="006C4164">
      <w:pPr>
        <w:spacing w:after="0" w:line="340" w:lineRule="atLeast"/>
        <w:jc w:val="both"/>
        <w:rPr>
          <w:rFonts w:ascii="Verdana" w:hAnsi="Verdana"/>
          <w:color w:val="000000"/>
          <w:sz w:val="21"/>
          <w:szCs w:val="21"/>
        </w:rPr>
      </w:pPr>
      <w:r>
        <w:rPr>
          <w:rFonts w:ascii="Verdana" w:hAnsi="Verdana"/>
          <w:color w:val="000000"/>
          <w:sz w:val="21"/>
          <w:szCs w:val="21"/>
        </w:rPr>
        <w:t>UBS continue</w:t>
      </w:r>
      <w:r w:rsidR="005D7F7B">
        <w:rPr>
          <w:rFonts w:ascii="Verdana" w:hAnsi="Verdana"/>
          <w:color w:val="000000"/>
          <w:sz w:val="21"/>
          <w:szCs w:val="21"/>
        </w:rPr>
        <w:t>s</w:t>
      </w:r>
      <w:r>
        <w:rPr>
          <w:rFonts w:ascii="Verdana" w:hAnsi="Verdana"/>
          <w:color w:val="000000"/>
          <w:sz w:val="21"/>
          <w:szCs w:val="21"/>
        </w:rPr>
        <w:t xml:space="preserve"> to offer 17 ETNs that track various equity indices around the world.  In total, the market </w:t>
      </w:r>
      <w:r w:rsidR="002C48B1">
        <w:rPr>
          <w:rFonts w:ascii="Verdana" w:hAnsi="Verdana"/>
          <w:color w:val="000000"/>
          <w:sz w:val="21"/>
          <w:szCs w:val="21"/>
        </w:rPr>
        <w:t>capitalisation</w:t>
      </w:r>
      <w:r>
        <w:rPr>
          <w:rFonts w:ascii="Verdana" w:hAnsi="Verdana"/>
          <w:color w:val="000000"/>
          <w:sz w:val="21"/>
          <w:szCs w:val="21"/>
        </w:rPr>
        <w:t xml:space="preserve"> of all ETP products now issued </w:t>
      </w:r>
      <w:r w:rsidR="00B53F4B">
        <w:rPr>
          <w:rFonts w:ascii="Verdana" w:hAnsi="Verdana"/>
          <w:color w:val="000000"/>
          <w:sz w:val="21"/>
          <w:szCs w:val="21"/>
        </w:rPr>
        <w:t>i</w:t>
      </w:r>
      <w:r>
        <w:rPr>
          <w:rFonts w:ascii="Verdana" w:hAnsi="Verdana"/>
          <w:color w:val="000000"/>
          <w:sz w:val="21"/>
          <w:szCs w:val="21"/>
        </w:rPr>
        <w:t xml:space="preserve">n the UBS programme and </w:t>
      </w:r>
      <w:r w:rsidR="005D7F7B">
        <w:rPr>
          <w:rFonts w:ascii="Verdana" w:hAnsi="Verdana"/>
          <w:color w:val="000000"/>
          <w:sz w:val="21"/>
          <w:szCs w:val="21"/>
        </w:rPr>
        <w:t xml:space="preserve">under its </w:t>
      </w:r>
      <w:r>
        <w:rPr>
          <w:rFonts w:ascii="Verdana" w:hAnsi="Verdana"/>
          <w:color w:val="000000"/>
          <w:sz w:val="21"/>
          <w:szCs w:val="21"/>
        </w:rPr>
        <w:t>balance sheet, now amount</w:t>
      </w:r>
      <w:r w:rsidR="005D7F7B">
        <w:rPr>
          <w:rFonts w:ascii="Verdana" w:hAnsi="Verdana"/>
          <w:color w:val="000000"/>
          <w:sz w:val="21"/>
          <w:szCs w:val="21"/>
        </w:rPr>
        <w:t>s</w:t>
      </w:r>
      <w:r>
        <w:rPr>
          <w:rFonts w:ascii="Verdana" w:hAnsi="Verdana"/>
          <w:color w:val="000000"/>
          <w:sz w:val="21"/>
          <w:szCs w:val="21"/>
        </w:rPr>
        <w:t xml:space="preserve"> to R5 770,5 </w:t>
      </w:r>
      <w:r w:rsidR="002C48B1">
        <w:rPr>
          <w:rFonts w:ascii="Verdana" w:hAnsi="Verdana"/>
          <w:color w:val="000000"/>
          <w:sz w:val="21"/>
          <w:szCs w:val="21"/>
        </w:rPr>
        <w:t>million</w:t>
      </w:r>
      <w:r>
        <w:rPr>
          <w:rFonts w:ascii="Verdana" w:hAnsi="Verdana"/>
          <w:color w:val="000000"/>
          <w:sz w:val="21"/>
          <w:szCs w:val="21"/>
        </w:rPr>
        <w:t xml:space="preserve"> and further issues by th</w:t>
      </w:r>
      <w:r w:rsidR="005D7F7B">
        <w:rPr>
          <w:rFonts w:ascii="Verdana" w:hAnsi="Verdana"/>
          <w:color w:val="000000"/>
          <w:sz w:val="21"/>
          <w:szCs w:val="21"/>
        </w:rPr>
        <w:t>is</w:t>
      </w:r>
      <w:r>
        <w:rPr>
          <w:rFonts w:ascii="Verdana" w:hAnsi="Verdana"/>
          <w:color w:val="000000"/>
          <w:sz w:val="21"/>
          <w:szCs w:val="21"/>
        </w:rPr>
        <w:t xml:space="preserve"> House are expected. </w:t>
      </w:r>
    </w:p>
    <w:p w14:paraId="295F7620" w14:textId="40C9C4A0" w:rsidR="005A38E1" w:rsidRDefault="005A38E1" w:rsidP="005A38E1">
      <w:pPr>
        <w:spacing w:after="0" w:line="340" w:lineRule="atLeast"/>
        <w:jc w:val="both"/>
        <w:rPr>
          <w:rFonts w:ascii="Verdana" w:hAnsi="Verdana"/>
          <w:color w:val="000000"/>
          <w:sz w:val="21"/>
          <w:szCs w:val="21"/>
        </w:rPr>
      </w:pPr>
    </w:p>
    <w:p w14:paraId="72B999CB" w14:textId="03CD946E" w:rsidR="008468F3" w:rsidRDefault="00636507" w:rsidP="00FA51FA">
      <w:pPr>
        <w:spacing w:after="0" w:line="360" w:lineRule="atLeast"/>
        <w:rPr>
          <w:rFonts w:ascii="Verdana" w:hAnsi="Verdana"/>
          <w:color w:val="000000"/>
          <w:sz w:val="21"/>
          <w:szCs w:val="21"/>
        </w:rPr>
      </w:pPr>
      <w:r>
        <w:rPr>
          <w:rFonts w:ascii="Verdana" w:hAnsi="Verdana"/>
          <w:noProof/>
          <w:color w:val="000000"/>
          <w:sz w:val="21"/>
          <w:szCs w:val="21"/>
        </w:rPr>
        <mc:AlternateContent>
          <mc:Choice Requires="wps">
            <w:drawing>
              <wp:anchor distT="0" distB="0" distL="114300" distR="114300" simplePos="0" relativeHeight="251659264" behindDoc="0" locked="0" layoutInCell="1" allowOverlap="1" wp14:anchorId="00C403B3" wp14:editId="07A737B8">
                <wp:simplePos x="0" y="0"/>
                <wp:positionH relativeFrom="column">
                  <wp:posOffset>80010</wp:posOffset>
                </wp:positionH>
                <wp:positionV relativeFrom="paragraph">
                  <wp:posOffset>227965</wp:posOffset>
                </wp:positionV>
                <wp:extent cx="6070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7060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345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7.95pt" to="484.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" strokecolor="#c00000" strokeweight="1pt">
                <v:stroke joinstyle="miter"/>
              </v:line>
            </w:pict>
          </mc:Fallback>
        </mc:AlternateContent>
      </w:r>
    </w:p>
    <w:p w14:paraId="655439B6" w14:textId="1BB8B992" w:rsidR="001B5446" w:rsidRDefault="001B5446" w:rsidP="00DD5A08">
      <w:pPr>
        <w:spacing w:after="0" w:line="320" w:lineRule="atLeast"/>
        <w:jc w:val="center"/>
        <w:rPr>
          <w:rFonts w:ascii="Verdana" w:hAnsi="Verdana"/>
          <w:color w:val="000000"/>
          <w:sz w:val="21"/>
          <w:szCs w:val="21"/>
        </w:rPr>
      </w:pPr>
    </w:p>
    <w:p w14:paraId="3094944C" w14:textId="72616E4A" w:rsidR="00F13A0B" w:rsidRPr="00602DDF" w:rsidRDefault="00602DDF" w:rsidP="00DD5A08">
      <w:pPr>
        <w:spacing w:after="0" w:line="320" w:lineRule="atLeast"/>
        <w:jc w:val="both"/>
        <w:rPr>
          <w:rFonts w:ascii="Verdana" w:hAnsi="Verdana"/>
          <w:color w:val="000000" w:themeColor="text1"/>
          <w:sz w:val="21"/>
          <w:szCs w:val="21"/>
        </w:rPr>
      </w:pPr>
      <w:r>
        <w:rPr>
          <w:rFonts w:ascii="Verdana" w:hAnsi="Verdana"/>
          <w:b/>
          <w:bCs/>
          <w:color w:val="C00000"/>
          <w:sz w:val="21"/>
          <w:szCs w:val="21"/>
        </w:rPr>
        <w:t>Note:</w:t>
      </w:r>
      <w:r>
        <w:rPr>
          <w:rFonts w:ascii="Verdana" w:hAnsi="Verdana"/>
          <w:color w:val="000000" w:themeColor="text1"/>
          <w:sz w:val="21"/>
          <w:szCs w:val="21"/>
        </w:rPr>
        <w:t xml:space="preserve"> full details for each Exchange Traded Fund and Exchange Traded Note are available on the quarterly reports available on the etfSA website: </w:t>
      </w:r>
      <w:hyperlink r:id="rId10" w:history="1">
        <w:r w:rsidRPr="00CF484B">
          <w:rPr>
            <w:rStyle w:val="Hyperlink"/>
            <w:rFonts w:ascii="Verdana" w:hAnsi="Verdana"/>
            <w:sz w:val="21"/>
            <w:szCs w:val="21"/>
          </w:rPr>
          <w:t>www.etfsa.co.za</w:t>
        </w:r>
      </w:hyperlink>
      <w:r>
        <w:rPr>
          <w:rFonts w:ascii="Verdana" w:hAnsi="Verdana"/>
          <w:color w:val="000000" w:themeColor="text1"/>
          <w:sz w:val="21"/>
          <w:szCs w:val="21"/>
        </w:rPr>
        <w:t xml:space="preserve">: </w:t>
      </w:r>
    </w:p>
    <w:p w14:paraId="49F297F9" w14:textId="1ED10A64" w:rsidR="00F13A0B" w:rsidRDefault="00F13A0B" w:rsidP="00DD5A08">
      <w:pPr>
        <w:spacing w:after="0" w:line="320" w:lineRule="atLeast"/>
        <w:jc w:val="both"/>
        <w:rPr>
          <w:rFonts w:ascii="Verdana" w:hAnsi="Verdana"/>
          <w:sz w:val="21"/>
          <w:szCs w:val="21"/>
        </w:rPr>
      </w:pPr>
    </w:p>
    <w:p w14:paraId="54885B65" w14:textId="5E76C44B" w:rsidR="00602DDF" w:rsidRDefault="00602DDF" w:rsidP="00DD5A08">
      <w:pPr>
        <w:pStyle w:val="ListParagraph"/>
        <w:numPr>
          <w:ilvl w:val="0"/>
          <w:numId w:val="17"/>
        </w:numPr>
        <w:spacing w:after="0" w:line="320" w:lineRule="atLeast"/>
        <w:jc w:val="both"/>
        <w:rPr>
          <w:rFonts w:ascii="Verdana" w:hAnsi="Verdana"/>
          <w:sz w:val="21"/>
          <w:szCs w:val="21"/>
        </w:rPr>
      </w:pPr>
      <w:r>
        <w:rPr>
          <w:rFonts w:ascii="Verdana" w:hAnsi="Verdana"/>
          <w:sz w:val="21"/>
          <w:szCs w:val="21"/>
        </w:rPr>
        <w:t>All South African ETFs</w:t>
      </w:r>
      <w:r w:rsidR="005D7F7B">
        <w:rPr>
          <w:rFonts w:ascii="Verdana" w:hAnsi="Verdana"/>
          <w:sz w:val="21"/>
          <w:szCs w:val="21"/>
        </w:rPr>
        <w:t>,</w:t>
      </w:r>
      <w:r>
        <w:rPr>
          <w:rFonts w:ascii="Verdana" w:hAnsi="Verdana"/>
          <w:sz w:val="21"/>
          <w:szCs w:val="21"/>
        </w:rPr>
        <w:t xml:space="preserve"> ETNs</w:t>
      </w:r>
      <w:r w:rsidR="005D7F7B">
        <w:rPr>
          <w:rFonts w:ascii="Verdana" w:hAnsi="Verdana"/>
          <w:sz w:val="21"/>
          <w:szCs w:val="21"/>
        </w:rPr>
        <w:t xml:space="preserve"> &amp; AMCs</w:t>
      </w:r>
      <w:r>
        <w:rPr>
          <w:rFonts w:ascii="Verdana" w:hAnsi="Verdana"/>
          <w:sz w:val="21"/>
          <w:szCs w:val="21"/>
        </w:rPr>
        <w:t xml:space="preserve"> – Market Capitalisation </w:t>
      </w:r>
      <w:r w:rsidR="00A37F02">
        <w:rPr>
          <w:rFonts w:ascii="Verdana" w:hAnsi="Verdana"/>
          <w:sz w:val="21"/>
          <w:szCs w:val="21"/>
        </w:rPr>
        <w:t>Totals</w:t>
      </w:r>
      <w:r>
        <w:rPr>
          <w:rFonts w:ascii="Verdana" w:hAnsi="Verdana"/>
          <w:sz w:val="21"/>
          <w:szCs w:val="21"/>
        </w:rPr>
        <w:t xml:space="preserve"> – December 2009 to </w:t>
      </w:r>
      <w:r w:rsidR="006B3D57">
        <w:rPr>
          <w:rFonts w:ascii="Verdana" w:hAnsi="Verdana"/>
          <w:sz w:val="21"/>
          <w:szCs w:val="21"/>
        </w:rPr>
        <w:t>December</w:t>
      </w:r>
      <w:r w:rsidR="0067082E">
        <w:rPr>
          <w:rFonts w:ascii="Verdana" w:hAnsi="Verdana"/>
          <w:sz w:val="21"/>
          <w:szCs w:val="21"/>
        </w:rPr>
        <w:t xml:space="preserve"> 202</w:t>
      </w:r>
      <w:r w:rsidR="00DD5A08">
        <w:rPr>
          <w:rFonts w:ascii="Verdana" w:hAnsi="Verdana"/>
          <w:sz w:val="21"/>
          <w:szCs w:val="21"/>
        </w:rPr>
        <w:t>2</w:t>
      </w:r>
      <w:r>
        <w:rPr>
          <w:rFonts w:ascii="Verdana" w:hAnsi="Verdana"/>
          <w:sz w:val="21"/>
          <w:szCs w:val="21"/>
        </w:rPr>
        <w:t xml:space="preserve">. </w:t>
      </w:r>
    </w:p>
    <w:p w14:paraId="687B4DFB" w14:textId="77777777" w:rsidR="0025163D" w:rsidRDefault="0025163D" w:rsidP="00DD5A08">
      <w:pPr>
        <w:pStyle w:val="ListParagraph"/>
        <w:spacing w:after="0" w:line="320" w:lineRule="atLeast"/>
        <w:jc w:val="both"/>
        <w:rPr>
          <w:rFonts w:ascii="Verdana" w:hAnsi="Verdana"/>
          <w:sz w:val="21"/>
          <w:szCs w:val="21"/>
        </w:rPr>
      </w:pPr>
    </w:p>
    <w:p w14:paraId="045E74ED" w14:textId="54C3486F" w:rsidR="00602DDF" w:rsidRPr="00602DDF" w:rsidRDefault="00602DDF" w:rsidP="00DD5A08">
      <w:pPr>
        <w:pStyle w:val="ListParagraph"/>
        <w:numPr>
          <w:ilvl w:val="0"/>
          <w:numId w:val="17"/>
        </w:numPr>
        <w:spacing w:after="0" w:line="320" w:lineRule="atLeast"/>
        <w:jc w:val="both"/>
        <w:rPr>
          <w:rFonts w:ascii="Verdana" w:hAnsi="Verdana"/>
          <w:sz w:val="21"/>
          <w:szCs w:val="21"/>
        </w:rPr>
      </w:pPr>
      <w:r>
        <w:rPr>
          <w:rFonts w:ascii="Verdana" w:hAnsi="Verdana"/>
          <w:sz w:val="21"/>
          <w:szCs w:val="21"/>
        </w:rPr>
        <w:t>ET</w:t>
      </w:r>
      <w:r w:rsidR="005D7F7B">
        <w:rPr>
          <w:rFonts w:ascii="Verdana" w:hAnsi="Verdana"/>
          <w:sz w:val="21"/>
          <w:szCs w:val="21"/>
        </w:rPr>
        <w:t>P</w:t>
      </w:r>
      <w:r>
        <w:rPr>
          <w:rFonts w:ascii="Verdana" w:hAnsi="Verdana"/>
          <w:sz w:val="21"/>
          <w:szCs w:val="21"/>
        </w:rPr>
        <w:t xml:space="preserve"> survey – Securities in Issue and New Capital Raised/Redeemed (for period ended 3</w:t>
      </w:r>
      <w:r w:rsidR="00A9509E">
        <w:rPr>
          <w:rFonts w:ascii="Verdana" w:hAnsi="Verdana"/>
          <w:sz w:val="21"/>
          <w:szCs w:val="21"/>
        </w:rPr>
        <w:t>0</w:t>
      </w:r>
      <w:r>
        <w:rPr>
          <w:rFonts w:ascii="Verdana" w:hAnsi="Verdana"/>
          <w:sz w:val="21"/>
          <w:szCs w:val="21"/>
        </w:rPr>
        <w:t xml:space="preserve"> </w:t>
      </w:r>
      <w:r w:rsidR="006B3D57">
        <w:rPr>
          <w:rFonts w:ascii="Verdana" w:hAnsi="Verdana"/>
          <w:sz w:val="21"/>
          <w:szCs w:val="21"/>
        </w:rPr>
        <w:t>Dec</w:t>
      </w:r>
      <w:r w:rsidR="005A38E1">
        <w:rPr>
          <w:rFonts w:ascii="Verdana" w:hAnsi="Verdana"/>
          <w:sz w:val="21"/>
          <w:szCs w:val="21"/>
        </w:rPr>
        <w:t>ember</w:t>
      </w:r>
      <w:r>
        <w:rPr>
          <w:rFonts w:ascii="Verdana" w:hAnsi="Verdana"/>
          <w:sz w:val="21"/>
          <w:szCs w:val="21"/>
        </w:rPr>
        <w:t xml:space="preserve"> 202</w:t>
      </w:r>
      <w:r w:rsidR="00DD5A08">
        <w:rPr>
          <w:rFonts w:ascii="Verdana" w:hAnsi="Verdana"/>
          <w:sz w:val="21"/>
          <w:szCs w:val="21"/>
        </w:rPr>
        <w:t>2</w:t>
      </w:r>
      <w:r>
        <w:rPr>
          <w:rFonts w:ascii="Verdana" w:hAnsi="Verdana"/>
          <w:sz w:val="21"/>
          <w:szCs w:val="21"/>
        </w:rPr>
        <w:t xml:space="preserve">). </w:t>
      </w:r>
    </w:p>
    <w:p w14:paraId="14D64B95" w14:textId="52A9B917" w:rsidR="00A9509E" w:rsidRDefault="00A9509E" w:rsidP="00DD5A08">
      <w:pPr>
        <w:pBdr>
          <w:bottom w:val="single" w:sz="12" w:space="1" w:color="C00000"/>
        </w:pBdr>
        <w:spacing w:after="0" w:line="320" w:lineRule="atLeast"/>
        <w:jc w:val="both"/>
        <w:rPr>
          <w:rFonts w:ascii="Verdana" w:hAnsi="Verdana"/>
          <w:sz w:val="21"/>
          <w:szCs w:val="21"/>
        </w:rPr>
      </w:pPr>
    </w:p>
    <w:p w14:paraId="542E835E" w14:textId="77777777" w:rsidR="001470DA" w:rsidRDefault="001470DA" w:rsidP="00DD5A08">
      <w:pPr>
        <w:pBdr>
          <w:bottom w:val="single" w:sz="12" w:space="1" w:color="C00000"/>
        </w:pBdr>
        <w:spacing w:after="0" w:line="320" w:lineRule="atLeast"/>
        <w:jc w:val="both"/>
        <w:rPr>
          <w:rFonts w:ascii="Verdana" w:hAnsi="Verdana"/>
          <w:sz w:val="21"/>
          <w:szCs w:val="21"/>
        </w:rPr>
      </w:pPr>
    </w:p>
    <w:p w14:paraId="3EF009A2" w14:textId="19AE72A8" w:rsidR="00561B5C" w:rsidRDefault="00561B5C" w:rsidP="00DB4A11">
      <w:pPr>
        <w:spacing w:after="0" w:line="320" w:lineRule="atLeast"/>
        <w:jc w:val="both"/>
        <w:rPr>
          <w:rFonts w:ascii="Verdana" w:hAnsi="Verdana"/>
          <w:sz w:val="21"/>
          <w:szCs w:val="21"/>
        </w:rPr>
      </w:pPr>
    </w:p>
    <w:p w14:paraId="54715299" w14:textId="77777777" w:rsidR="00561B5C" w:rsidRDefault="00561B5C" w:rsidP="00DB4A11">
      <w:pPr>
        <w:spacing w:after="0" w:line="320" w:lineRule="atLeast"/>
        <w:jc w:val="both"/>
        <w:rPr>
          <w:rFonts w:ascii="Verdana" w:hAnsi="Verdana"/>
          <w:sz w:val="21"/>
          <w:szCs w:val="21"/>
        </w:rPr>
      </w:pPr>
    </w:p>
    <w:p w14:paraId="5766412D" w14:textId="1F70D688" w:rsidR="0048656A" w:rsidRDefault="00DA4A8E" w:rsidP="00DA4A8E">
      <w:pPr>
        <w:spacing w:after="0" w:line="320" w:lineRule="atLeast"/>
        <w:jc w:val="center"/>
        <w:rPr>
          <w:rFonts w:ascii="Verdana" w:hAnsi="Verdana"/>
          <w:sz w:val="21"/>
          <w:szCs w:val="21"/>
        </w:rPr>
      </w:pPr>
      <w:r>
        <w:rPr>
          <w:rFonts w:ascii="Verdana" w:hAnsi="Verdana"/>
          <w:noProof/>
          <w:sz w:val="21"/>
          <w:szCs w:val="21"/>
        </w:rPr>
        <w:drawing>
          <wp:inline distT="0" distB="0" distL="0" distR="0" wp14:anchorId="46E2E7DD" wp14:editId="09E5D591">
            <wp:extent cx="5943600" cy="148590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6D7CB322" w14:textId="63F11609" w:rsidR="00561B5C" w:rsidRDefault="00561B5C">
      <w:pPr>
        <w:rPr>
          <w:rFonts w:ascii="Verdana" w:hAnsi="Verdana"/>
          <w:sz w:val="21"/>
          <w:szCs w:val="21"/>
        </w:rPr>
      </w:pPr>
      <w:r>
        <w:rPr>
          <w:rFonts w:ascii="Verdana" w:hAnsi="Verdana"/>
          <w:sz w:val="21"/>
          <w:szCs w:val="21"/>
        </w:rPr>
        <w:br w:type="page"/>
      </w:r>
    </w:p>
    <w:p w14:paraId="32E74CAF" w14:textId="6F1BB1E7" w:rsidR="00561B5C" w:rsidRDefault="00561B5C" w:rsidP="00DB4A11">
      <w:pPr>
        <w:spacing w:after="0" w:line="320" w:lineRule="atLeast"/>
        <w:jc w:val="both"/>
        <w:rPr>
          <w:rFonts w:ascii="Verdana" w:hAnsi="Verdana"/>
          <w:sz w:val="21"/>
          <w:szCs w:val="21"/>
        </w:rPr>
      </w:pPr>
    </w:p>
    <w:p w14:paraId="1484EA86" w14:textId="4A25D70B" w:rsidR="00561B5C" w:rsidRDefault="00561B5C" w:rsidP="00DB4A11">
      <w:pPr>
        <w:spacing w:after="0" w:line="320" w:lineRule="atLeast"/>
        <w:jc w:val="both"/>
        <w:rPr>
          <w:rFonts w:ascii="Verdana" w:hAnsi="Verdana"/>
          <w:sz w:val="21"/>
          <w:szCs w:val="21"/>
        </w:rPr>
      </w:pPr>
    </w:p>
    <w:p w14:paraId="28B79BF6" w14:textId="26E6F37A" w:rsidR="00561B5C" w:rsidRDefault="00561B5C" w:rsidP="00DB4A11">
      <w:pPr>
        <w:spacing w:after="0" w:line="320" w:lineRule="atLeast"/>
        <w:jc w:val="both"/>
        <w:rPr>
          <w:rFonts w:ascii="Verdana" w:hAnsi="Verdana"/>
          <w:sz w:val="21"/>
          <w:szCs w:val="21"/>
        </w:rPr>
      </w:pPr>
    </w:p>
    <w:p w14:paraId="05175143" w14:textId="6A9524D2" w:rsidR="00561B5C" w:rsidRDefault="00561B5C" w:rsidP="00DB4A11">
      <w:pPr>
        <w:spacing w:after="0" w:line="320" w:lineRule="atLeast"/>
        <w:jc w:val="both"/>
        <w:rPr>
          <w:rFonts w:ascii="Verdana" w:hAnsi="Verdana"/>
          <w:sz w:val="21"/>
          <w:szCs w:val="21"/>
        </w:rPr>
      </w:pPr>
    </w:p>
    <w:p w14:paraId="76B26FF1" w14:textId="367D60B8" w:rsidR="00561B5C" w:rsidRDefault="00561B5C" w:rsidP="00DB4A11">
      <w:pPr>
        <w:spacing w:after="0" w:line="320" w:lineRule="atLeast"/>
        <w:jc w:val="both"/>
        <w:rPr>
          <w:rFonts w:ascii="Verdana" w:hAnsi="Verdana"/>
          <w:sz w:val="21"/>
          <w:szCs w:val="21"/>
        </w:rPr>
      </w:pPr>
    </w:p>
    <w:p w14:paraId="02F4498A" w14:textId="77777777" w:rsidR="00561B5C" w:rsidRDefault="00561B5C" w:rsidP="00DB4A11">
      <w:pPr>
        <w:spacing w:after="0" w:line="320" w:lineRule="atLeast"/>
        <w:jc w:val="both"/>
        <w:rPr>
          <w:rFonts w:ascii="Verdana" w:hAnsi="Verdana"/>
          <w:sz w:val="21"/>
          <w:szCs w:val="21"/>
        </w:rPr>
      </w:pPr>
    </w:p>
    <w:p w14:paraId="0A514FAC" w14:textId="77777777" w:rsidR="00AA129F" w:rsidRDefault="00AA129F" w:rsidP="00DB4A11">
      <w:pPr>
        <w:spacing w:after="0" w:line="320" w:lineRule="atLeast"/>
        <w:jc w:val="both"/>
        <w:rPr>
          <w:rFonts w:ascii="Verdana" w:hAnsi="Verdana"/>
          <w:sz w:val="21"/>
          <w:szCs w:val="21"/>
        </w:rPr>
      </w:pPr>
    </w:p>
    <w:p w14:paraId="1E5B885A" w14:textId="54E51712" w:rsidR="00A9509E" w:rsidRDefault="00AA129F" w:rsidP="00AA129F">
      <w:pPr>
        <w:spacing w:after="0" w:line="320" w:lineRule="atLeast"/>
        <w:jc w:val="center"/>
        <w:rPr>
          <w:rFonts w:ascii="Verdana" w:hAnsi="Verdana"/>
          <w:sz w:val="21"/>
          <w:szCs w:val="21"/>
        </w:rPr>
      </w:pPr>
      <w:r>
        <w:rPr>
          <w:rFonts w:ascii="Verdana" w:hAnsi="Verdana"/>
          <w:noProof/>
          <w:sz w:val="21"/>
          <w:szCs w:val="21"/>
        </w:rPr>
        <w:drawing>
          <wp:inline distT="0" distB="0" distL="0" distR="0" wp14:anchorId="73B2EDBF" wp14:editId="2F23FE32">
            <wp:extent cx="3238323" cy="3048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4152" cy="3081723"/>
                    </a:xfrm>
                    <a:prstGeom prst="rect">
                      <a:avLst/>
                    </a:prstGeom>
                  </pic:spPr>
                </pic:pic>
              </a:graphicData>
            </a:graphic>
          </wp:inline>
        </w:drawing>
      </w:r>
    </w:p>
    <w:p w14:paraId="5B45E591" w14:textId="6E75A140" w:rsidR="00A9509E" w:rsidRDefault="00A9509E" w:rsidP="00DB4A11">
      <w:pPr>
        <w:spacing w:after="0" w:line="320" w:lineRule="atLeast"/>
        <w:jc w:val="both"/>
        <w:rPr>
          <w:rFonts w:ascii="Verdana" w:hAnsi="Verdana"/>
          <w:sz w:val="21"/>
          <w:szCs w:val="21"/>
        </w:rPr>
      </w:pPr>
    </w:p>
    <w:p w14:paraId="31B7FFA0" w14:textId="67ECB600" w:rsidR="00561B5C" w:rsidRPr="00561B5C" w:rsidRDefault="00561B5C" w:rsidP="00561B5C">
      <w:pPr>
        <w:spacing w:after="0" w:line="320" w:lineRule="atLeast"/>
        <w:jc w:val="center"/>
        <w:rPr>
          <w:rFonts w:ascii="Verdana" w:hAnsi="Verdana"/>
          <w:b/>
          <w:bCs/>
          <w:color w:val="C00000"/>
        </w:rPr>
      </w:pPr>
      <w:r w:rsidRPr="00561B5C">
        <w:rPr>
          <w:rFonts w:ascii="Verdana" w:hAnsi="Verdana"/>
          <w:b/>
          <w:bCs/>
          <w:color w:val="C00000"/>
        </w:rPr>
        <w:t>www.etfsa.co.za</w:t>
      </w:r>
    </w:p>
    <w:p w14:paraId="371BB051" w14:textId="7F0F1B34" w:rsidR="00A9509E" w:rsidRDefault="00A9509E" w:rsidP="00DB4A11">
      <w:pPr>
        <w:spacing w:after="0" w:line="320" w:lineRule="atLeast"/>
        <w:jc w:val="both"/>
        <w:rPr>
          <w:rFonts w:ascii="Verdana" w:hAnsi="Verdana"/>
          <w:sz w:val="21"/>
          <w:szCs w:val="21"/>
        </w:rPr>
      </w:pPr>
    </w:p>
    <w:p w14:paraId="019387BD" w14:textId="13CB1C3A" w:rsidR="00561B5C" w:rsidRDefault="00561B5C" w:rsidP="00DB4A11">
      <w:pPr>
        <w:spacing w:after="0" w:line="320" w:lineRule="atLeast"/>
        <w:jc w:val="both"/>
        <w:rPr>
          <w:rFonts w:ascii="Verdana" w:hAnsi="Verdana"/>
          <w:sz w:val="21"/>
          <w:szCs w:val="21"/>
        </w:rPr>
      </w:pPr>
    </w:p>
    <w:p w14:paraId="7206AA3F" w14:textId="04BE1BAE" w:rsidR="00561B5C" w:rsidRDefault="00561B5C" w:rsidP="00DB4A11">
      <w:pPr>
        <w:spacing w:after="0" w:line="320" w:lineRule="atLeast"/>
        <w:jc w:val="both"/>
        <w:rPr>
          <w:rFonts w:ascii="Verdana" w:hAnsi="Verdana"/>
          <w:sz w:val="21"/>
          <w:szCs w:val="21"/>
        </w:rPr>
      </w:pPr>
    </w:p>
    <w:p w14:paraId="0C38838F" w14:textId="70B5ECAD" w:rsidR="00561B5C" w:rsidRDefault="00561B5C" w:rsidP="00DB4A11">
      <w:pPr>
        <w:spacing w:after="0" w:line="320" w:lineRule="atLeast"/>
        <w:jc w:val="both"/>
        <w:rPr>
          <w:rFonts w:ascii="Verdana" w:hAnsi="Verdana"/>
          <w:sz w:val="21"/>
          <w:szCs w:val="21"/>
        </w:rPr>
      </w:pPr>
    </w:p>
    <w:p w14:paraId="0E4595E0" w14:textId="1E936182" w:rsidR="00561B5C" w:rsidRDefault="00561B5C" w:rsidP="00DB4A11">
      <w:pPr>
        <w:spacing w:after="0" w:line="320" w:lineRule="atLeast"/>
        <w:jc w:val="both"/>
        <w:rPr>
          <w:rFonts w:ascii="Verdana" w:hAnsi="Verdana"/>
          <w:sz w:val="21"/>
          <w:szCs w:val="21"/>
        </w:rPr>
      </w:pPr>
    </w:p>
    <w:p w14:paraId="1710755F" w14:textId="7C74606B" w:rsidR="00561B5C" w:rsidRDefault="00561B5C" w:rsidP="00DB4A11">
      <w:pPr>
        <w:spacing w:after="0" w:line="320" w:lineRule="atLeast"/>
        <w:jc w:val="both"/>
        <w:rPr>
          <w:rFonts w:ascii="Verdana" w:hAnsi="Verdana"/>
          <w:sz w:val="21"/>
          <w:szCs w:val="21"/>
        </w:rPr>
      </w:pPr>
    </w:p>
    <w:p w14:paraId="17A3EEFF" w14:textId="07147C70" w:rsidR="00561B5C" w:rsidRDefault="00561B5C" w:rsidP="00DB4A11">
      <w:pPr>
        <w:spacing w:after="0" w:line="320" w:lineRule="atLeast"/>
        <w:jc w:val="both"/>
        <w:rPr>
          <w:rFonts w:ascii="Verdana" w:hAnsi="Verdana"/>
          <w:sz w:val="21"/>
          <w:szCs w:val="21"/>
        </w:rPr>
      </w:pPr>
    </w:p>
    <w:p w14:paraId="37F69953" w14:textId="0A64C751" w:rsidR="00561B5C" w:rsidRDefault="00561B5C" w:rsidP="00DB4A11">
      <w:pPr>
        <w:spacing w:after="0" w:line="320" w:lineRule="atLeast"/>
        <w:jc w:val="both"/>
        <w:rPr>
          <w:rFonts w:ascii="Verdana" w:hAnsi="Verdana"/>
          <w:sz w:val="21"/>
          <w:szCs w:val="21"/>
        </w:rPr>
      </w:pPr>
    </w:p>
    <w:p w14:paraId="573F30D0" w14:textId="2E4072DB" w:rsidR="00561B5C" w:rsidRDefault="00561B5C" w:rsidP="00DB4A11">
      <w:pPr>
        <w:spacing w:after="0" w:line="320" w:lineRule="atLeast"/>
        <w:jc w:val="both"/>
        <w:rPr>
          <w:rFonts w:ascii="Verdana" w:hAnsi="Verdana"/>
          <w:sz w:val="21"/>
          <w:szCs w:val="21"/>
        </w:rPr>
      </w:pPr>
    </w:p>
    <w:p w14:paraId="7983067C" w14:textId="329CB577" w:rsidR="00561B5C" w:rsidRDefault="00561B5C" w:rsidP="00DB4A11">
      <w:pPr>
        <w:spacing w:after="0" w:line="320" w:lineRule="atLeast"/>
        <w:jc w:val="both"/>
        <w:rPr>
          <w:rFonts w:ascii="Verdana" w:hAnsi="Verdana"/>
          <w:sz w:val="21"/>
          <w:szCs w:val="21"/>
        </w:rPr>
      </w:pPr>
    </w:p>
    <w:p w14:paraId="4A8357B5" w14:textId="3707BFF2" w:rsidR="00561B5C" w:rsidRDefault="00561B5C" w:rsidP="00DB4A11">
      <w:pPr>
        <w:spacing w:after="0" w:line="320" w:lineRule="atLeast"/>
        <w:jc w:val="both"/>
        <w:rPr>
          <w:rFonts w:ascii="Verdana" w:hAnsi="Verdana"/>
          <w:sz w:val="21"/>
          <w:szCs w:val="21"/>
        </w:rPr>
      </w:pPr>
    </w:p>
    <w:p w14:paraId="02045D1A" w14:textId="77777777" w:rsidR="00561B5C" w:rsidRDefault="00561B5C" w:rsidP="00DB4A11">
      <w:pPr>
        <w:spacing w:after="0" w:line="320" w:lineRule="atLeast"/>
        <w:jc w:val="both"/>
        <w:rPr>
          <w:rFonts w:ascii="Verdana" w:hAnsi="Verdana"/>
          <w:sz w:val="21"/>
          <w:szCs w:val="21"/>
        </w:rPr>
      </w:pPr>
    </w:p>
    <w:p w14:paraId="348057A5" w14:textId="77777777" w:rsidR="00C6212D" w:rsidRPr="0000086A" w:rsidRDefault="00C6212D" w:rsidP="00B53F4B">
      <w:pPr>
        <w:pBdr>
          <w:top w:val="single" w:sz="4" w:space="1" w:color="auto"/>
        </w:pBdr>
        <w:spacing w:after="0" w:line="240" w:lineRule="auto"/>
        <w:jc w:val="both"/>
        <w:rPr>
          <w:sz w:val="15"/>
          <w:szCs w:val="15"/>
          <w:lang w:eastAsia="en-ZA"/>
        </w:rPr>
      </w:pPr>
      <w:r w:rsidRPr="0000086A">
        <w:rPr>
          <w:rFonts w:ascii="Arial" w:hAnsi="Arial"/>
          <w:b/>
          <w:i/>
          <w:color w:val="0F0D35"/>
          <w:sz w:val="15"/>
          <w:szCs w:val="15"/>
        </w:rPr>
        <w:t xml:space="preserve">Disclaimer: </w:t>
      </w:r>
      <w:r w:rsidRPr="0000086A">
        <w:rPr>
          <w:rFonts w:ascii="Arial" w:hAnsi="Arial"/>
          <w:color w:val="000000"/>
          <w:sz w:val="15"/>
          <w:szCs w:val="15"/>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341D3584" w:rsidR="00C6212D" w:rsidRPr="0000086A" w:rsidRDefault="00C6212D" w:rsidP="00B53F4B">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00086A" w:rsidRDefault="00C6212D" w:rsidP="00B53F4B">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179796E9" w:rsidR="00C6212D" w:rsidRPr="0000086A" w:rsidRDefault="00C6212D" w:rsidP="00B53F4B">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 xml:space="preserve">etfSA.co.za is managed by M F Brown, who is a registered financial services provider (FSP No. 39217). M F Brown has Professional Indemnity Insurance as required by FAIS. The etfSA </w:t>
      </w:r>
      <w:r w:rsidR="00CD6927">
        <w:rPr>
          <w:rFonts w:ascii="Arial" w:hAnsi="Arial"/>
          <w:color w:val="000000"/>
          <w:sz w:val="15"/>
          <w:szCs w:val="15"/>
          <w:lang w:eastAsia="en-ZA"/>
        </w:rPr>
        <w:t>Portfolio Management Company</w:t>
      </w:r>
      <w:r w:rsidRPr="0000086A">
        <w:rPr>
          <w:rFonts w:ascii="Arial" w:hAnsi="Arial"/>
          <w:color w:val="000000"/>
          <w:sz w:val="15"/>
          <w:szCs w:val="15"/>
          <w:lang w:eastAsia="en-ZA"/>
        </w:rPr>
        <w:t xml:space="preserve"> (Pty) Ltd (FSP No </w:t>
      </w:r>
      <w:r w:rsidR="00CD6927">
        <w:rPr>
          <w:rFonts w:ascii="Arial" w:hAnsi="Arial"/>
          <w:color w:val="000000"/>
          <w:sz w:val="15"/>
          <w:szCs w:val="15"/>
          <w:lang w:eastAsia="en-ZA"/>
        </w:rPr>
        <w:t>5</w:t>
      </w:r>
      <w:r w:rsidR="00CC181B">
        <w:rPr>
          <w:rFonts w:ascii="Arial" w:hAnsi="Arial"/>
          <w:color w:val="000000"/>
          <w:sz w:val="15"/>
          <w:szCs w:val="15"/>
          <w:lang w:eastAsia="en-ZA"/>
        </w:rPr>
        <w:t>23</w:t>
      </w:r>
      <w:r w:rsidR="00CD6927">
        <w:rPr>
          <w:rFonts w:ascii="Arial" w:hAnsi="Arial"/>
          <w:color w:val="000000"/>
          <w:sz w:val="15"/>
          <w:szCs w:val="15"/>
          <w:lang w:eastAsia="en-ZA"/>
        </w:rPr>
        <w:t>14</w:t>
      </w:r>
      <w:r w:rsidRPr="0000086A">
        <w:rPr>
          <w:rFonts w:ascii="Arial" w:hAnsi="Arial"/>
          <w:color w:val="000000"/>
          <w:sz w:val="15"/>
          <w:szCs w:val="15"/>
          <w:lang w:eastAsia="en-ZA"/>
        </w:rPr>
        <w:t>)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E9485D7" w14:textId="64A3D211" w:rsidR="00407678" w:rsidRPr="0000086A" w:rsidRDefault="00C6212D" w:rsidP="00B53F4B">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407678" w:rsidRPr="0000086A" w:rsidSect="00281835">
      <w:footerReference w:type="default" r:id="rId13"/>
      <w:pgSz w:w="11906" w:h="16838" w:code="9"/>
      <w:pgMar w:top="851" w:right="851" w:bottom="567" w:left="851" w:header="709" w:footer="567"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BA78" w14:textId="77777777" w:rsidR="00D54A88" w:rsidRDefault="00D54A88" w:rsidP="001860C2">
      <w:pPr>
        <w:spacing w:after="0" w:line="240" w:lineRule="auto"/>
      </w:pPr>
      <w:r>
        <w:separator/>
      </w:r>
    </w:p>
  </w:endnote>
  <w:endnote w:type="continuationSeparator" w:id="0">
    <w:p w14:paraId="55785617" w14:textId="77777777" w:rsidR="00D54A88" w:rsidRDefault="00D54A88"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2F19B0" w:rsidRPr="001860C2" w:rsidRDefault="002F19B0"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5888" w14:textId="77777777" w:rsidR="00D54A88" w:rsidRDefault="00D54A88" w:rsidP="001860C2">
      <w:pPr>
        <w:spacing w:after="0" w:line="240" w:lineRule="auto"/>
      </w:pPr>
      <w:r>
        <w:separator/>
      </w:r>
    </w:p>
  </w:footnote>
  <w:footnote w:type="continuationSeparator" w:id="0">
    <w:p w14:paraId="3504ECAE" w14:textId="77777777" w:rsidR="00D54A88" w:rsidRDefault="00D54A88"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5D0"/>
    <w:multiLevelType w:val="hybridMultilevel"/>
    <w:tmpl w:val="5734E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1D651D"/>
    <w:multiLevelType w:val="hybridMultilevel"/>
    <w:tmpl w:val="9504678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2"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7E51D4C"/>
    <w:multiLevelType w:val="hybridMultilevel"/>
    <w:tmpl w:val="0AB07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D32FE3"/>
    <w:multiLevelType w:val="hybridMultilevel"/>
    <w:tmpl w:val="9604C4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260B28"/>
    <w:multiLevelType w:val="hybridMultilevel"/>
    <w:tmpl w:val="6F627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09E0A22"/>
    <w:multiLevelType w:val="hybridMultilevel"/>
    <w:tmpl w:val="D29C3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8B1364"/>
    <w:multiLevelType w:val="hybridMultilevel"/>
    <w:tmpl w:val="FFE6E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7086E3A"/>
    <w:multiLevelType w:val="hybridMultilevel"/>
    <w:tmpl w:val="D7A8C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B5A29A1"/>
    <w:multiLevelType w:val="hybridMultilevel"/>
    <w:tmpl w:val="66A8A1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9A03C17"/>
    <w:multiLevelType w:val="hybridMultilevel"/>
    <w:tmpl w:val="FD4C19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D0578FC"/>
    <w:multiLevelType w:val="hybridMultilevel"/>
    <w:tmpl w:val="6C464D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AC30ED"/>
    <w:multiLevelType w:val="hybridMultilevel"/>
    <w:tmpl w:val="6E22AEB4"/>
    <w:lvl w:ilvl="0" w:tplc="29085DB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14D04BD"/>
    <w:multiLevelType w:val="hybridMultilevel"/>
    <w:tmpl w:val="ECFC3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4ED2A13"/>
    <w:multiLevelType w:val="hybridMultilevel"/>
    <w:tmpl w:val="8F46E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F471E4"/>
    <w:multiLevelType w:val="hybridMultilevel"/>
    <w:tmpl w:val="9E5CD8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5923930"/>
    <w:multiLevelType w:val="hybridMultilevel"/>
    <w:tmpl w:val="A5566A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91332C4"/>
    <w:multiLevelType w:val="hybridMultilevel"/>
    <w:tmpl w:val="74541E3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4" w15:restartNumberingAfterBreak="0">
    <w:nsid w:val="7AF55A25"/>
    <w:multiLevelType w:val="hybridMultilevel"/>
    <w:tmpl w:val="20629F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61097734">
    <w:abstractNumId w:val="15"/>
  </w:num>
  <w:num w:numId="2" w16cid:durableId="17001586">
    <w:abstractNumId w:val="1"/>
  </w:num>
  <w:num w:numId="3" w16cid:durableId="2038045481">
    <w:abstractNumId w:val="11"/>
  </w:num>
  <w:num w:numId="4" w16cid:durableId="795762004">
    <w:abstractNumId w:val="8"/>
  </w:num>
  <w:num w:numId="5" w16cid:durableId="371735613">
    <w:abstractNumId w:val="2"/>
  </w:num>
  <w:num w:numId="6" w16cid:durableId="517550290">
    <w:abstractNumId w:val="17"/>
  </w:num>
  <w:num w:numId="7" w16cid:durableId="1561330142">
    <w:abstractNumId w:val="6"/>
  </w:num>
  <w:num w:numId="8" w16cid:durableId="348874987">
    <w:abstractNumId w:val="9"/>
  </w:num>
  <w:num w:numId="9" w16cid:durableId="2114863552">
    <w:abstractNumId w:val="3"/>
  </w:num>
  <w:num w:numId="10" w16cid:durableId="4289105">
    <w:abstractNumId w:val="10"/>
  </w:num>
  <w:num w:numId="11" w16cid:durableId="379133763">
    <w:abstractNumId w:val="12"/>
  </w:num>
  <w:num w:numId="12" w16cid:durableId="611714100">
    <w:abstractNumId w:val="14"/>
  </w:num>
  <w:num w:numId="13" w16cid:durableId="1294755904">
    <w:abstractNumId w:val="13"/>
  </w:num>
  <w:num w:numId="14" w16cid:durableId="968047313">
    <w:abstractNumId w:val="23"/>
  </w:num>
  <w:num w:numId="15" w16cid:durableId="825977546">
    <w:abstractNumId w:val="24"/>
  </w:num>
  <w:num w:numId="16" w16cid:durableId="2069525158">
    <w:abstractNumId w:val="19"/>
  </w:num>
  <w:num w:numId="17" w16cid:durableId="1090082934">
    <w:abstractNumId w:val="5"/>
  </w:num>
  <w:num w:numId="18" w16cid:durableId="667833823">
    <w:abstractNumId w:val="22"/>
  </w:num>
  <w:num w:numId="19" w16cid:durableId="1101994540">
    <w:abstractNumId w:val="20"/>
  </w:num>
  <w:num w:numId="20" w16cid:durableId="962422017">
    <w:abstractNumId w:val="18"/>
  </w:num>
  <w:num w:numId="21" w16cid:durableId="673382833">
    <w:abstractNumId w:val="4"/>
  </w:num>
  <w:num w:numId="22" w16cid:durableId="229968107">
    <w:abstractNumId w:val="0"/>
  </w:num>
  <w:num w:numId="23" w16cid:durableId="1523741481">
    <w:abstractNumId w:val="7"/>
  </w:num>
  <w:num w:numId="24" w16cid:durableId="1352487742">
    <w:abstractNumId w:val="21"/>
  </w:num>
  <w:num w:numId="25" w16cid:durableId="490101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0086A"/>
    <w:rsid w:val="0000238B"/>
    <w:rsid w:val="000144B3"/>
    <w:rsid w:val="00014D0C"/>
    <w:rsid w:val="00016006"/>
    <w:rsid w:val="000204F0"/>
    <w:rsid w:val="00023812"/>
    <w:rsid w:val="00034E06"/>
    <w:rsid w:val="00042250"/>
    <w:rsid w:val="00042BE4"/>
    <w:rsid w:val="000435BE"/>
    <w:rsid w:val="00043FCA"/>
    <w:rsid w:val="00046AC3"/>
    <w:rsid w:val="00050A63"/>
    <w:rsid w:val="00051559"/>
    <w:rsid w:val="0005247E"/>
    <w:rsid w:val="000542DC"/>
    <w:rsid w:val="0005437D"/>
    <w:rsid w:val="00054445"/>
    <w:rsid w:val="00063719"/>
    <w:rsid w:val="00064D86"/>
    <w:rsid w:val="0006568F"/>
    <w:rsid w:val="00065FC4"/>
    <w:rsid w:val="00067065"/>
    <w:rsid w:val="00072FB5"/>
    <w:rsid w:val="000736A9"/>
    <w:rsid w:val="0007371D"/>
    <w:rsid w:val="000752F6"/>
    <w:rsid w:val="00080314"/>
    <w:rsid w:val="0008356F"/>
    <w:rsid w:val="00083E17"/>
    <w:rsid w:val="00086ECE"/>
    <w:rsid w:val="000871E0"/>
    <w:rsid w:val="00093396"/>
    <w:rsid w:val="0009342B"/>
    <w:rsid w:val="000A2715"/>
    <w:rsid w:val="000A3329"/>
    <w:rsid w:val="000A5E4A"/>
    <w:rsid w:val="000A6521"/>
    <w:rsid w:val="000B1353"/>
    <w:rsid w:val="000B189D"/>
    <w:rsid w:val="000B1900"/>
    <w:rsid w:val="000B77EA"/>
    <w:rsid w:val="000C024A"/>
    <w:rsid w:val="000C1ACB"/>
    <w:rsid w:val="000C2A04"/>
    <w:rsid w:val="000C74EB"/>
    <w:rsid w:val="000D0FF5"/>
    <w:rsid w:val="000D5C7D"/>
    <w:rsid w:val="000F1A9D"/>
    <w:rsid w:val="000F2E19"/>
    <w:rsid w:val="000F3F0B"/>
    <w:rsid w:val="000F4D11"/>
    <w:rsid w:val="000F676D"/>
    <w:rsid w:val="001004CA"/>
    <w:rsid w:val="00100BC7"/>
    <w:rsid w:val="001011BA"/>
    <w:rsid w:val="00110027"/>
    <w:rsid w:val="001113DA"/>
    <w:rsid w:val="001113EA"/>
    <w:rsid w:val="001118CB"/>
    <w:rsid w:val="00111B11"/>
    <w:rsid w:val="00112914"/>
    <w:rsid w:val="001149F4"/>
    <w:rsid w:val="001161FE"/>
    <w:rsid w:val="001169ED"/>
    <w:rsid w:val="001204A0"/>
    <w:rsid w:val="00121080"/>
    <w:rsid w:val="00121661"/>
    <w:rsid w:val="00122449"/>
    <w:rsid w:val="0012529E"/>
    <w:rsid w:val="001255EF"/>
    <w:rsid w:val="0013147F"/>
    <w:rsid w:val="0013275D"/>
    <w:rsid w:val="00137500"/>
    <w:rsid w:val="00141CB8"/>
    <w:rsid w:val="001435C1"/>
    <w:rsid w:val="00143C23"/>
    <w:rsid w:val="00145C7E"/>
    <w:rsid w:val="001470DA"/>
    <w:rsid w:val="00147712"/>
    <w:rsid w:val="00161566"/>
    <w:rsid w:val="0016315C"/>
    <w:rsid w:val="00164CDA"/>
    <w:rsid w:val="0016524A"/>
    <w:rsid w:val="0017124F"/>
    <w:rsid w:val="001723F2"/>
    <w:rsid w:val="00175BD4"/>
    <w:rsid w:val="0018165B"/>
    <w:rsid w:val="00181E64"/>
    <w:rsid w:val="00185009"/>
    <w:rsid w:val="001860C2"/>
    <w:rsid w:val="00187148"/>
    <w:rsid w:val="00193608"/>
    <w:rsid w:val="0019419C"/>
    <w:rsid w:val="001945CA"/>
    <w:rsid w:val="001951A8"/>
    <w:rsid w:val="001976A7"/>
    <w:rsid w:val="001A0812"/>
    <w:rsid w:val="001A440E"/>
    <w:rsid w:val="001A631C"/>
    <w:rsid w:val="001A6952"/>
    <w:rsid w:val="001A7023"/>
    <w:rsid w:val="001B09C4"/>
    <w:rsid w:val="001B0CAA"/>
    <w:rsid w:val="001B2714"/>
    <w:rsid w:val="001B5446"/>
    <w:rsid w:val="001C419C"/>
    <w:rsid w:val="001C426E"/>
    <w:rsid w:val="001C48EF"/>
    <w:rsid w:val="001D1426"/>
    <w:rsid w:val="001D145F"/>
    <w:rsid w:val="001D296F"/>
    <w:rsid w:val="001D3AD8"/>
    <w:rsid w:val="001D53A8"/>
    <w:rsid w:val="001D7C34"/>
    <w:rsid w:val="001E36F8"/>
    <w:rsid w:val="001F12A9"/>
    <w:rsid w:val="001F137C"/>
    <w:rsid w:val="001F6BD9"/>
    <w:rsid w:val="00201C15"/>
    <w:rsid w:val="00202A1E"/>
    <w:rsid w:val="00211E65"/>
    <w:rsid w:val="00213163"/>
    <w:rsid w:val="00214624"/>
    <w:rsid w:val="00215EC5"/>
    <w:rsid w:val="00217F89"/>
    <w:rsid w:val="00222E4A"/>
    <w:rsid w:val="00227D20"/>
    <w:rsid w:val="00227D37"/>
    <w:rsid w:val="00231639"/>
    <w:rsid w:val="00240106"/>
    <w:rsid w:val="00244ACE"/>
    <w:rsid w:val="0024764F"/>
    <w:rsid w:val="00251098"/>
    <w:rsid w:val="0025163D"/>
    <w:rsid w:val="002519C3"/>
    <w:rsid w:val="00253345"/>
    <w:rsid w:val="002536F5"/>
    <w:rsid w:val="00257F69"/>
    <w:rsid w:val="00260037"/>
    <w:rsid w:val="002628F1"/>
    <w:rsid w:val="002647AB"/>
    <w:rsid w:val="00267704"/>
    <w:rsid w:val="002678D7"/>
    <w:rsid w:val="00267A62"/>
    <w:rsid w:val="00270178"/>
    <w:rsid w:val="0027130E"/>
    <w:rsid w:val="00271472"/>
    <w:rsid w:val="00275FDA"/>
    <w:rsid w:val="00281835"/>
    <w:rsid w:val="002821C1"/>
    <w:rsid w:val="00283442"/>
    <w:rsid w:val="0028371C"/>
    <w:rsid w:val="0028580C"/>
    <w:rsid w:val="002867E2"/>
    <w:rsid w:val="00287580"/>
    <w:rsid w:val="00290F56"/>
    <w:rsid w:val="002944F7"/>
    <w:rsid w:val="00295FE0"/>
    <w:rsid w:val="002A024C"/>
    <w:rsid w:val="002A12CA"/>
    <w:rsid w:val="002A439C"/>
    <w:rsid w:val="002A4EC3"/>
    <w:rsid w:val="002A6914"/>
    <w:rsid w:val="002A6D67"/>
    <w:rsid w:val="002B14B3"/>
    <w:rsid w:val="002B51E7"/>
    <w:rsid w:val="002C05CF"/>
    <w:rsid w:val="002C252D"/>
    <w:rsid w:val="002C48B1"/>
    <w:rsid w:val="002D1ED9"/>
    <w:rsid w:val="002D4D18"/>
    <w:rsid w:val="002D4E12"/>
    <w:rsid w:val="002D7097"/>
    <w:rsid w:val="002E2F39"/>
    <w:rsid w:val="002E30E8"/>
    <w:rsid w:val="002E4F01"/>
    <w:rsid w:val="002E55EA"/>
    <w:rsid w:val="002E6A24"/>
    <w:rsid w:val="002F162B"/>
    <w:rsid w:val="002F16E9"/>
    <w:rsid w:val="002F19B0"/>
    <w:rsid w:val="002F4117"/>
    <w:rsid w:val="002F5364"/>
    <w:rsid w:val="00302AA8"/>
    <w:rsid w:val="00307DE7"/>
    <w:rsid w:val="00321934"/>
    <w:rsid w:val="00322BD7"/>
    <w:rsid w:val="003230DF"/>
    <w:rsid w:val="00324D73"/>
    <w:rsid w:val="00325F2F"/>
    <w:rsid w:val="003262AF"/>
    <w:rsid w:val="00330C63"/>
    <w:rsid w:val="00332256"/>
    <w:rsid w:val="003352CA"/>
    <w:rsid w:val="003353CB"/>
    <w:rsid w:val="00336154"/>
    <w:rsid w:val="00337675"/>
    <w:rsid w:val="00340ED3"/>
    <w:rsid w:val="00345103"/>
    <w:rsid w:val="003453A7"/>
    <w:rsid w:val="003453E4"/>
    <w:rsid w:val="003455BD"/>
    <w:rsid w:val="00346C09"/>
    <w:rsid w:val="00354846"/>
    <w:rsid w:val="00356055"/>
    <w:rsid w:val="003615D4"/>
    <w:rsid w:val="00362595"/>
    <w:rsid w:val="00371A95"/>
    <w:rsid w:val="00373E18"/>
    <w:rsid w:val="00374625"/>
    <w:rsid w:val="003768E4"/>
    <w:rsid w:val="00376CA0"/>
    <w:rsid w:val="003804A8"/>
    <w:rsid w:val="00380C83"/>
    <w:rsid w:val="00382ADA"/>
    <w:rsid w:val="003835A0"/>
    <w:rsid w:val="00383630"/>
    <w:rsid w:val="0038427E"/>
    <w:rsid w:val="00384A36"/>
    <w:rsid w:val="003935AB"/>
    <w:rsid w:val="00394359"/>
    <w:rsid w:val="00395C1E"/>
    <w:rsid w:val="003A0D8D"/>
    <w:rsid w:val="003A29FB"/>
    <w:rsid w:val="003A3D19"/>
    <w:rsid w:val="003A6075"/>
    <w:rsid w:val="003B0162"/>
    <w:rsid w:val="003B10C9"/>
    <w:rsid w:val="003B4F95"/>
    <w:rsid w:val="003B775C"/>
    <w:rsid w:val="003C278D"/>
    <w:rsid w:val="003C3187"/>
    <w:rsid w:val="003C34BA"/>
    <w:rsid w:val="003C36D7"/>
    <w:rsid w:val="003C4C24"/>
    <w:rsid w:val="003C4CE2"/>
    <w:rsid w:val="003C6031"/>
    <w:rsid w:val="003C700A"/>
    <w:rsid w:val="003D13C9"/>
    <w:rsid w:val="003D3AB6"/>
    <w:rsid w:val="003D5B90"/>
    <w:rsid w:val="003E41CF"/>
    <w:rsid w:val="003E6D07"/>
    <w:rsid w:val="003F1BC4"/>
    <w:rsid w:val="003F5A00"/>
    <w:rsid w:val="003F5A9C"/>
    <w:rsid w:val="003F6A02"/>
    <w:rsid w:val="003F76E0"/>
    <w:rsid w:val="003F7712"/>
    <w:rsid w:val="004038EE"/>
    <w:rsid w:val="0040423E"/>
    <w:rsid w:val="00405F9A"/>
    <w:rsid w:val="00407678"/>
    <w:rsid w:val="00410B7D"/>
    <w:rsid w:val="00410B90"/>
    <w:rsid w:val="00412295"/>
    <w:rsid w:val="00413262"/>
    <w:rsid w:val="00416503"/>
    <w:rsid w:val="00417CC4"/>
    <w:rsid w:val="00420382"/>
    <w:rsid w:val="0042225F"/>
    <w:rsid w:val="00433C1B"/>
    <w:rsid w:val="00434DA5"/>
    <w:rsid w:val="00435E56"/>
    <w:rsid w:val="00441724"/>
    <w:rsid w:val="004423A7"/>
    <w:rsid w:val="00443433"/>
    <w:rsid w:val="00451766"/>
    <w:rsid w:val="00451A86"/>
    <w:rsid w:val="004545BB"/>
    <w:rsid w:val="004568F5"/>
    <w:rsid w:val="00464D4D"/>
    <w:rsid w:val="00464F85"/>
    <w:rsid w:val="00467DA9"/>
    <w:rsid w:val="0048656A"/>
    <w:rsid w:val="00486A17"/>
    <w:rsid w:val="0049405F"/>
    <w:rsid w:val="004A1759"/>
    <w:rsid w:val="004A2267"/>
    <w:rsid w:val="004A28B2"/>
    <w:rsid w:val="004A53EA"/>
    <w:rsid w:val="004A6384"/>
    <w:rsid w:val="004A687F"/>
    <w:rsid w:val="004A7DA9"/>
    <w:rsid w:val="004B0423"/>
    <w:rsid w:val="004B0713"/>
    <w:rsid w:val="004B1BB0"/>
    <w:rsid w:val="004B2D37"/>
    <w:rsid w:val="004B4A66"/>
    <w:rsid w:val="004B7AF5"/>
    <w:rsid w:val="004C1102"/>
    <w:rsid w:val="004C18EC"/>
    <w:rsid w:val="004C60DA"/>
    <w:rsid w:val="004D0295"/>
    <w:rsid w:val="004D1524"/>
    <w:rsid w:val="004D6498"/>
    <w:rsid w:val="004E2922"/>
    <w:rsid w:val="004E4DAF"/>
    <w:rsid w:val="004E53E1"/>
    <w:rsid w:val="004E5FC6"/>
    <w:rsid w:val="004E60C8"/>
    <w:rsid w:val="004E7608"/>
    <w:rsid w:val="004F0766"/>
    <w:rsid w:val="004F1DF6"/>
    <w:rsid w:val="004F47FC"/>
    <w:rsid w:val="004F5E09"/>
    <w:rsid w:val="004F60D3"/>
    <w:rsid w:val="00506218"/>
    <w:rsid w:val="0050685E"/>
    <w:rsid w:val="00511FB5"/>
    <w:rsid w:val="005135D4"/>
    <w:rsid w:val="005138C3"/>
    <w:rsid w:val="0051590D"/>
    <w:rsid w:val="005248F6"/>
    <w:rsid w:val="00525AD3"/>
    <w:rsid w:val="005269C6"/>
    <w:rsid w:val="00527C9E"/>
    <w:rsid w:val="00532E7F"/>
    <w:rsid w:val="005355B2"/>
    <w:rsid w:val="0054188E"/>
    <w:rsid w:val="005447D2"/>
    <w:rsid w:val="005475A6"/>
    <w:rsid w:val="005509A2"/>
    <w:rsid w:val="00553990"/>
    <w:rsid w:val="00557D80"/>
    <w:rsid w:val="00561B5C"/>
    <w:rsid w:val="00561C75"/>
    <w:rsid w:val="005628FE"/>
    <w:rsid w:val="00573EA2"/>
    <w:rsid w:val="00574118"/>
    <w:rsid w:val="0057426E"/>
    <w:rsid w:val="00574800"/>
    <w:rsid w:val="00575220"/>
    <w:rsid w:val="00576C93"/>
    <w:rsid w:val="00576EDC"/>
    <w:rsid w:val="00581B69"/>
    <w:rsid w:val="00587E90"/>
    <w:rsid w:val="005923A8"/>
    <w:rsid w:val="005A16E0"/>
    <w:rsid w:val="005A21ED"/>
    <w:rsid w:val="005A38E1"/>
    <w:rsid w:val="005A77A2"/>
    <w:rsid w:val="005B0992"/>
    <w:rsid w:val="005B0C73"/>
    <w:rsid w:val="005B25BF"/>
    <w:rsid w:val="005B450E"/>
    <w:rsid w:val="005B4FD8"/>
    <w:rsid w:val="005B5FC4"/>
    <w:rsid w:val="005B6048"/>
    <w:rsid w:val="005B62B4"/>
    <w:rsid w:val="005B7CFF"/>
    <w:rsid w:val="005C2299"/>
    <w:rsid w:val="005C3133"/>
    <w:rsid w:val="005C4D11"/>
    <w:rsid w:val="005C6EDE"/>
    <w:rsid w:val="005D1205"/>
    <w:rsid w:val="005D52D2"/>
    <w:rsid w:val="005D54DF"/>
    <w:rsid w:val="005D7F7B"/>
    <w:rsid w:val="005D7F9E"/>
    <w:rsid w:val="005E6456"/>
    <w:rsid w:val="005F02F6"/>
    <w:rsid w:val="005F2A62"/>
    <w:rsid w:val="005F3966"/>
    <w:rsid w:val="005F3B27"/>
    <w:rsid w:val="005F4274"/>
    <w:rsid w:val="005F5553"/>
    <w:rsid w:val="005F72F5"/>
    <w:rsid w:val="005F7544"/>
    <w:rsid w:val="006015AB"/>
    <w:rsid w:val="00602DDF"/>
    <w:rsid w:val="006052EB"/>
    <w:rsid w:val="00605876"/>
    <w:rsid w:val="00606273"/>
    <w:rsid w:val="00607890"/>
    <w:rsid w:val="00610270"/>
    <w:rsid w:val="006108AD"/>
    <w:rsid w:val="00611D35"/>
    <w:rsid w:val="006124A0"/>
    <w:rsid w:val="00614644"/>
    <w:rsid w:val="00617B74"/>
    <w:rsid w:val="0062560E"/>
    <w:rsid w:val="00630A2B"/>
    <w:rsid w:val="006345C7"/>
    <w:rsid w:val="00634A9D"/>
    <w:rsid w:val="00636507"/>
    <w:rsid w:val="00637C5B"/>
    <w:rsid w:val="006427A5"/>
    <w:rsid w:val="00650F13"/>
    <w:rsid w:val="0065322B"/>
    <w:rsid w:val="00653EAC"/>
    <w:rsid w:val="006557AA"/>
    <w:rsid w:val="006607FA"/>
    <w:rsid w:val="00662A3A"/>
    <w:rsid w:val="00665208"/>
    <w:rsid w:val="00665AFA"/>
    <w:rsid w:val="00665C94"/>
    <w:rsid w:val="006666EF"/>
    <w:rsid w:val="00667B94"/>
    <w:rsid w:val="0067082E"/>
    <w:rsid w:val="0067088C"/>
    <w:rsid w:val="00670E82"/>
    <w:rsid w:val="006726E7"/>
    <w:rsid w:val="00674425"/>
    <w:rsid w:val="006806B9"/>
    <w:rsid w:val="00681EB2"/>
    <w:rsid w:val="006820C0"/>
    <w:rsid w:val="00685233"/>
    <w:rsid w:val="00690162"/>
    <w:rsid w:val="006924BC"/>
    <w:rsid w:val="00695F0A"/>
    <w:rsid w:val="006A0C56"/>
    <w:rsid w:val="006A24D6"/>
    <w:rsid w:val="006A6635"/>
    <w:rsid w:val="006B399B"/>
    <w:rsid w:val="006B3D57"/>
    <w:rsid w:val="006B41B5"/>
    <w:rsid w:val="006B620E"/>
    <w:rsid w:val="006C0C1F"/>
    <w:rsid w:val="006C1593"/>
    <w:rsid w:val="006C31C8"/>
    <w:rsid w:val="006C3432"/>
    <w:rsid w:val="006C3AD1"/>
    <w:rsid w:val="006C4164"/>
    <w:rsid w:val="006C5667"/>
    <w:rsid w:val="006C58B8"/>
    <w:rsid w:val="006C780E"/>
    <w:rsid w:val="006D30DE"/>
    <w:rsid w:val="006D32E9"/>
    <w:rsid w:val="006D3930"/>
    <w:rsid w:val="006D3B08"/>
    <w:rsid w:val="006E0E3D"/>
    <w:rsid w:val="006E70F6"/>
    <w:rsid w:val="006F12EA"/>
    <w:rsid w:val="006F464E"/>
    <w:rsid w:val="007017CF"/>
    <w:rsid w:val="007026CA"/>
    <w:rsid w:val="00702765"/>
    <w:rsid w:val="007028A0"/>
    <w:rsid w:val="00705212"/>
    <w:rsid w:val="007153E8"/>
    <w:rsid w:val="00715DF1"/>
    <w:rsid w:val="00727AC5"/>
    <w:rsid w:val="00737776"/>
    <w:rsid w:val="0074101D"/>
    <w:rsid w:val="00742511"/>
    <w:rsid w:val="00744360"/>
    <w:rsid w:val="00744B64"/>
    <w:rsid w:val="0075135D"/>
    <w:rsid w:val="007520C0"/>
    <w:rsid w:val="00752C5D"/>
    <w:rsid w:val="00754226"/>
    <w:rsid w:val="0075479F"/>
    <w:rsid w:val="007549A4"/>
    <w:rsid w:val="00754CF9"/>
    <w:rsid w:val="0075574D"/>
    <w:rsid w:val="00755DEC"/>
    <w:rsid w:val="007561FE"/>
    <w:rsid w:val="0075656E"/>
    <w:rsid w:val="007617B4"/>
    <w:rsid w:val="00761DC1"/>
    <w:rsid w:val="007624E8"/>
    <w:rsid w:val="007640DF"/>
    <w:rsid w:val="00765BCF"/>
    <w:rsid w:val="00767654"/>
    <w:rsid w:val="00770F05"/>
    <w:rsid w:val="00771D6F"/>
    <w:rsid w:val="00773DC7"/>
    <w:rsid w:val="00774D53"/>
    <w:rsid w:val="00774F11"/>
    <w:rsid w:val="00784C81"/>
    <w:rsid w:val="00785EC3"/>
    <w:rsid w:val="00786573"/>
    <w:rsid w:val="0078694D"/>
    <w:rsid w:val="00792524"/>
    <w:rsid w:val="007967FF"/>
    <w:rsid w:val="007A7050"/>
    <w:rsid w:val="007A7A18"/>
    <w:rsid w:val="007B1D8E"/>
    <w:rsid w:val="007B3F08"/>
    <w:rsid w:val="007C2AC1"/>
    <w:rsid w:val="007C4EB1"/>
    <w:rsid w:val="007D0DE9"/>
    <w:rsid w:val="007D1C48"/>
    <w:rsid w:val="007D3765"/>
    <w:rsid w:val="007E5C23"/>
    <w:rsid w:val="007E68F3"/>
    <w:rsid w:val="007F0BD2"/>
    <w:rsid w:val="007F2E9B"/>
    <w:rsid w:val="007F439B"/>
    <w:rsid w:val="007F4718"/>
    <w:rsid w:val="007F485E"/>
    <w:rsid w:val="007F543C"/>
    <w:rsid w:val="007F5E1E"/>
    <w:rsid w:val="0080262B"/>
    <w:rsid w:val="0080317E"/>
    <w:rsid w:val="008033A1"/>
    <w:rsid w:val="00803DCA"/>
    <w:rsid w:val="00805B57"/>
    <w:rsid w:val="00810312"/>
    <w:rsid w:val="008168D7"/>
    <w:rsid w:val="00816E0D"/>
    <w:rsid w:val="008214E0"/>
    <w:rsid w:val="0082551A"/>
    <w:rsid w:val="00826CE1"/>
    <w:rsid w:val="00831695"/>
    <w:rsid w:val="00833166"/>
    <w:rsid w:val="00834896"/>
    <w:rsid w:val="00837416"/>
    <w:rsid w:val="008468F3"/>
    <w:rsid w:val="008555E3"/>
    <w:rsid w:val="00863949"/>
    <w:rsid w:val="00864626"/>
    <w:rsid w:val="00864914"/>
    <w:rsid w:val="008678CF"/>
    <w:rsid w:val="00867BCA"/>
    <w:rsid w:val="00870751"/>
    <w:rsid w:val="00871780"/>
    <w:rsid w:val="008723C3"/>
    <w:rsid w:val="00873A85"/>
    <w:rsid w:val="00874BC3"/>
    <w:rsid w:val="008767CE"/>
    <w:rsid w:val="008820A2"/>
    <w:rsid w:val="008927A0"/>
    <w:rsid w:val="00892847"/>
    <w:rsid w:val="0089751B"/>
    <w:rsid w:val="0089761A"/>
    <w:rsid w:val="008A3D62"/>
    <w:rsid w:val="008A4C09"/>
    <w:rsid w:val="008A7891"/>
    <w:rsid w:val="008B0AC5"/>
    <w:rsid w:val="008B14A6"/>
    <w:rsid w:val="008B1AB4"/>
    <w:rsid w:val="008B4F73"/>
    <w:rsid w:val="008B6F18"/>
    <w:rsid w:val="008C19C4"/>
    <w:rsid w:val="008C2BE8"/>
    <w:rsid w:val="008C4FF1"/>
    <w:rsid w:val="008C6006"/>
    <w:rsid w:val="008C75B2"/>
    <w:rsid w:val="008C7E9E"/>
    <w:rsid w:val="008D1027"/>
    <w:rsid w:val="008D5DE6"/>
    <w:rsid w:val="008D743D"/>
    <w:rsid w:val="008E2FDF"/>
    <w:rsid w:val="008F0636"/>
    <w:rsid w:val="008F5B96"/>
    <w:rsid w:val="00900106"/>
    <w:rsid w:val="00900795"/>
    <w:rsid w:val="00902C9D"/>
    <w:rsid w:val="00905468"/>
    <w:rsid w:val="0090660B"/>
    <w:rsid w:val="0090715C"/>
    <w:rsid w:val="00912273"/>
    <w:rsid w:val="0091603A"/>
    <w:rsid w:val="00921CF9"/>
    <w:rsid w:val="0092591D"/>
    <w:rsid w:val="00925D2A"/>
    <w:rsid w:val="0092766E"/>
    <w:rsid w:val="0093030D"/>
    <w:rsid w:val="009307DF"/>
    <w:rsid w:val="00931166"/>
    <w:rsid w:val="00932B35"/>
    <w:rsid w:val="00933922"/>
    <w:rsid w:val="00934D40"/>
    <w:rsid w:val="00935C75"/>
    <w:rsid w:val="00937453"/>
    <w:rsid w:val="00943D73"/>
    <w:rsid w:val="00944E04"/>
    <w:rsid w:val="00947A6D"/>
    <w:rsid w:val="009542C9"/>
    <w:rsid w:val="00964DB3"/>
    <w:rsid w:val="00967F07"/>
    <w:rsid w:val="00972CCD"/>
    <w:rsid w:val="009732C5"/>
    <w:rsid w:val="00975BA8"/>
    <w:rsid w:val="00975CA7"/>
    <w:rsid w:val="00976701"/>
    <w:rsid w:val="00976971"/>
    <w:rsid w:val="00977364"/>
    <w:rsid w:val="00980BD8"/>
    <w:rsid w:val="00990E6C"/>
    <w:rsid w:val="009928D9"/>
    <w:rsid w:val="00993934"/>
    <w:rsid w:val="00996EDA"/>
    <w:rsid w:val="009A0517"/>
    <w:rsid w:val="009A1B53"/>
    <w:rsid w:val="009A4055"/>
    <w:rsid w:val="009A4B52"/>
    <w:rsid w:val="009C3FDD"/>
    <w:rsid w:val="009C71D3"/>
    <w:rsid w:val="009D06A1"/>
    <w:rsid w:val="009D1D25"/>
    <w:rsid w:val="009D2502"/>
    <w:rsid w:val="009D49A1"/>
    <w:rsid w:val="009D539F"/>
    <w:rsid w:val="009D5939"/>
    <w:rsid w:val="009D63BC"/>
    <w:rsid w:val="009E06CC"/>
    <w:rsid w:val="009E08B1"/>
    <w:rsid w:val="009E15A9"/>
    <w:rsid w:val="009E19AA"/>
    <w:rsid w:val="009E4AA6"/>
    <w:rsid w:val="009F598B"/>
    <w:rsid w:val="009F66FE"/>
    <w:rsid w:val="009F7261"/>
    <w:rsid w:val="00A00FDB"/>
    <w:rsid w:val="00A018BA"/>
    <w:rsid w:val="00A01E0B"/>
    <w:rsid w:val="00A029E7"/>
    <w:rsid w:val="00A051FB"/>
    <w:rsid w:val="00A06583"/>
    <w:rsid w:val="00A1052C"/>
    <w:rsid w:val="00A1059D"/>
    <w:rsid w:val="00A143F4"/>
    <w:rsid w:val="00A167E1"/>
    <w:rsid w:val="00A24DE7"/>
    <w:rsid w:val="00A25A8D"/>
    <w:rsid w:val="00A30C9E"/>
    <w:rsid w:val="00A3197A"/>
    <w:rsid w:val="00A32F36"/>
    <w:rsid w:val="00A34964"/>
    <w:rsid w:val="00A35AAF"/>
    <w:rsid w:val="00A35F6E"/>
    <w:rsid w:val="00A36CF5"/>
    <w:rsid w:val="00A37F02"/>
    <w:rsid w:val="00A41EC0"/>
    <w:rsid w:val="00A42787"/>
    <w:rsid w:val="00A4782C"/>
    <w:rsid w:val="00A547A7"/>
    <w:rsid w:val="00A572A0"/>
    <w:rsid w:val="00A65E16"/>
    <w:rsid w:val="00A668A9"/>
    <w:rsid w:val="00A66F58"/>
    <w:rsid w:val="00A6703F"/>
    <w:rsid w:val="00A67209"/>
    <w:rsid w:val="00A7546F"/>
    <w:rsid w:val="00A836BC"/>
    <w:rsid w:val="00A8447A"/>
    <w:rsid w:val="00A84E5F"/>
    <w:rsid w:val="00A85809"/>
    <w:rsid w:val="00A85AC4"/>
    <w:rsid w:val="00A87409"/>
    <w:rsid w:val="00A904A9"/>
    <w:rsid w:val="00A92F14"/>
    <w:rsid w:val="00A933CB"/>
    <w:rsid w:val="00A94957"/>
    <w:rsid w:val="00A9509E"/>
    <w:rsid w:val="00A95B1E"/>
    <w:rsid w:val="00A96CC9"/>
    <w:rsid w:val="00A97831"/>
    <w:rsid w:val="00AA129F"/>
    <w:rsid w:val="00AA2591"/>
    <w:rsid w:val="00AA3690"/>
    <w:rsid w:val="00AB1469"/>
    <w:rsid w:val="00AB5637"/>
    <w:rsid w:val="00AB659F"/>
    <w:rsid w:val="00AB65D9"/>
    <w:rsid w:val="00AB779B"/>
    <w:rsid w:val="00AC2829"/>
    <w:rsid w:val="00AC2C23"/>
    <w:rsid w:val="00AC44C8"/>
    <w:rsid w:val="00AC4855"/>
    <w:rsid w:val="00AC54A6"/>
    <w:rsid w:val="00AC5A30"/>
    <w:rsid w:val="00AC5FC2"/>
    <w:rsid w:val="00AC615B"/>
    <w:rsid w:val="00AD0CE4"/>
    <w:rsid w:val="00AE03BE"/>
    <w:rsid w:val="00AE1262"/>
    <w:rsid w:val="00AE12F4"/>
    <w:rsid w:val="00AE1BCE"/>
    <w:rsid w:val="00AE2E69"/>
    <w:rsid w:val="00AE3A0B"/>
    <w:rsid w:val="00AE45D7"/>
    <w:rsid w:val="00AE6B7A"/>
    <w:rsid w:val="00AE720D"/>
    <w:rsid w:val="00AF6530"/>
    <w:rsid w:val="00AF734A"/>
    <w:rsid w:val="00AF7BAB"/>
    <w:rsid w:val="00B010F5"/>
    <w:rsid w:val="00B04A5D"/>
    <w:rsid w:val="00B0556F"/>
    <w:rsid w:val="00B064A2"/>
    <w:rsid w:val="00B06DBF"/>
    <w:rsid w:val="00B06F95"/>
    <w:rsid w:val="00B07BDB"/>
    <w:rsid w:val="00B11A47"/>
    <w:rsid w:val="00B11DFE"/>
    <w:rsid w:val="00B133BE"/>
    <w:rsid w:val="00B15601"/>
    <w:rsid w:val="00B157B7"/>
    <w:rsid w:val="00B1692D"/>
    <w:rsid w:val="00B17F8F"/>
    <w:rsid w:val="00B228FA"/>
    <w:rsid w:val="00B238F4"/>
    <w:rsid w:val="00B23C71"/>
    <w:rsid w:val="00B2533D"/>
    <w:rsid w:val="00B33939"/>
    <w:rsid w:val="00B352AB"/>
    <w:rsid w:val="00B373FE"/>
    <w:rsid w:val="00B42190"/>
    <w:rsid w:val="00B43C70"/>
    <w:rsid w:val="00B46D9E"/>
    <w:rsid w:val="00B47480"/>
    <w:rsid w:val="00B5062D"/>
    <w:rsid w:val="00B53321"/>
    <w:rsid w:val="00B5384D"/>
    <w:rsid w:val="00B539B4"/>
    <w:rsid w:val="00B53CF2"/>
    <w:rsid w:val="00B53F4B"/>
    <w:rsid w:val="00B544F8"/>
    <w:rsid w:val="00B600A0"/>
    <w:rsid w:val="00B6448D"/>
    <w:rsid w:val="00B65933"/>
    <w:rsid w:val="00B7090D"/>
    <w:rsid w:val="00B7153C"/>
    <w:rsid w:val="00B76B5D"/>
    <w:rsid w:val="00B80A20"/>
    <w:rsid w:val="00B80B89"/>
    <w:rsid w:val="00B81DF4"/>
    <w:rsid w:val="00B822A3"/>
    <w:rsid w:val="00B82C05"/>
    <w:rsid w:val="00B84B3B"/>
    <w:rsid w:val="00B86862"/>
    <w:rsid w:val="00B8742E"/>
    <w:rsid w:val="00BA3DC2"/>
    <w:rsid w:val="00BA7F27"/>
    <w:rsid w:val="00BB3618"/>
    <w:rsid w:val="00BB3813"/>
    <w:rsid w:val="00BB61E9"/>
    <w:rsid w:val="00BB7E35"/>
    <w:rsid w:val="00BC4EB7"/>
    <w:rsid w:val="00BC654E"/>
    <w:rsid w:val="00BC6FBB"/>
    <w:rsid w:val="00BD198C"/>
    <w:rsid w:val="00BD2909"/>
    <w:rsid w:val="00BD2BD9"/>
    <w:rsid w:val="00BD35C4"/>
    <w:rsid w:val="00BD4AED"/>
    <w:rsid w:val="00BD60FD"/>
    <w:rsid w:val="00BD73DC"/>
    <w:rsid w:val="00BE106B"/>
    <w:rsid w:val="00BE1AB8"/>
    <w:rsid w:val="00BE1EE9"/>
    <w:rsid w:val="00BE33A6"/>
    <w:rsid w:val="00BE387A"/>
    <w:rsid w:val="00BE58F6"/>
    <w:rsid w:val="00BE6DE2"/>
    <w:rsid w:val="00BF214D"/>
    <w:rsid w:val="00BF60E0"/>
    <w:rsid w:val="00C01B7D"/>
    <w:rsid w:val="00C0251E"/>
    <w:rsid w:val="00C11C7B"/>
    <w:rsid w:val="00C12C3D"/>
    <w:rsid w:val="00C130B1"/>
    <w:rsid w:val="00C157CF"/>
    <w:rsid w:val="00C16778"/>
    <w:rsid w:val="00C2040D"/>
    <w:rsid w:val="00C262C9"/>
    <w:rsid w:val="00C266EE"/>
    <w:rsid w:val="00C33973"/>
    <w:rsid w:val="00C34AA3"/>
    <w:rsid w:val="00C361AA"/>
    <w:rsid w:val="00C36612"/>
    <w:rsid w:val="00C36D78"/>
    <w:rsid w:val="00C43586"/>
    <w:rsid w:val="00C47F84"/>
    <w:rsid w:val="00C5148B"/>
    <w:rsid w:val="00C6212D"/>
    <w:rsid w:val="00C623CC"/>
    <w:rsid w:val="00C6310E"/>
    <w:rsid w:val="00C648B8"/>
    <w:rsid w:val="00C67C90"/>
    <w:rsid w:val="00C70110"/>
    <w:rsid w:val="00C72345"/>
    <w:rsid w:val="00C72A43"/>
    <w:rsid w:val="00C74DB9"/>
    <w:rsid w:val="00C83652"/>
    <w:rsid w:val="00C848CE"/>
    <w:rsid w:val="00C849A0"/>
    <w:rsid w:val="00C9155D"/>
    <w:rsid w:val="00C96C19"/>
    <w:rsid w:val="00C9721C"/>
    <w:rsid w:val="00C97248"/>
    <w:rsid w:val="00CA0778"/>
    <w:rsid w:val="00CA0977"/>
    <w:rsid w:val="00CA5F6B"/>
    <w:rsid w:val="00CB421E"/>
    <w:rsid w:val="00CC181B"/>
    <w:rsid w:val="00CC34CF"/>
    <w:rsid w:val="00CC53BB"/>
    <w:rsid w:val="00CD0246"/>
    <w:rsid w:val="00CD1139"/>
    <w:rsid w:val="00CD37BB"/>
    <w:rsid w:val="00CD5761"/>
    <w:rsid w:val="00CD6927"/>
    <w:rsid w:val="00CD73C2"/>
    <w:rsid w:val="00CE0539"/>
    <w:rsid w:val="00CE0B76"/>
    <w:rsid w:val="00CE27F1"/>
    <w:rsid w:val="00CE2B2F"/>
    <w:rsid w:val="00CE3BAE"/>
    <w:rsid w:val="00CE3CC2"/>
    <w:rsid w:val="00CE72B9"/>
    <w:rsid w:val="00CF2053"/>
    <w:rsid w:val="00CF407A"/>
    <w:rsid w:val="00CF7150"/>
    <w:rsid w:val="00CF7569"/>
    <w:rsid w:val="00CF781A"/>
    <w:rsid w:val="00D01489"/>
    <w:rsid w:val="00D019A9"/>
    <w:rsid w:val="00D02BBA"/>
    <w:rsid w:val="00D040F4"/>
    <w:rsid w:val="00D04BC6"/>
    <w:rsid w:val="00D07C81"/>
    <w:rsid w:val="00D10188"/>
    <w:rsid w:val="00D11DEF"/>
    <w:rsid w:val="00D121D5"/>
    <w:rsid w:val="00D14769"/>
    <w:rsid w:val="00D15D09"/>
    <w:rsid w:val="00D1779C"/>
    <w:rsid w:val="00D17A57"/>
    <w:rsid w:val="00D20525"/>
    <w:rsid w:val="00D22956"/>
    <w:rsid w:val="00D250C6"/>
    <w:rsid w:val="00D2618D"/>
    <w:rsid w:val="00D271F3"/>
    <w:rsid w:val="00D27571"/>
    <w:rsid w:val="00D307D7"/>
    <w:rsid w:val="00D33107"/>
    <w:rsid w:val="00D331A9"/>
    <w:rsid w:val="00D3426D"/>
    <w:rsid w:val="00D34CE5"/>
    <w:rsid w:val="00D36A69"/>
    <w:rsid w:val="00D40369"/>
    <w:rsid w:val="00D435A8"/>
    <w:rsid w:val="00D43D4C"/>
    <w:rsid w:val="00D47F65"/>
    <w:rsid w:val="00D5059A"/>
    <w:rsid w:val="00D5118F"/>
    <w:rsid w:val="00D515DF"/>
    <w:rsid w:val="00D52692"/>
    <w:rsid w:val="00D529C5"/>
    <w:rsid w:val="00D52C3B"/>
    <w:rsid w:val="00D53225"/>
    <w:rsid w:val="00D549D1"/>
    <w:rsid w:val="00D54A88"/>
    <w:rsid w:val="00D57E29"/>
    <w:rsid w:val="00D653E2"/>
    <w:rsid w:val="00D65796"/>
    <w:rsid w:val="00D65EA8"/>
    <w:rsid w:val="00D72BC0"/>
    <w:rsid w:val="00D74A04"/>
    <w:rsid w:val="00D75B21"/>
    <w:rsid w:val="00D826DB"/>
    <w:rsid w:val="00D85866"/>
    <w:rsid w:val="00D9077C"/>
    <w:rsid w:val="00D90B55"/>
    <w:rsid w:val="00D92FEA"/>
    <w:rsid w:val="00D958E2"/>
    <w:rsid w:val="00D97D04"/>
    <w:rsid w:val="00DA0759"/>
    <w:rsid w:val="00DA4A8E"/>
    <w:rsid w:val="00DA4AAF"/>
    <w:rsid w:val="00DB1C85"/>
    <w:rsid w:val="00DB291B"/>
    <w:rsid w:val="00DB4A11"/>
    <w:rsid w:val="00DB6E1D"/>
    <w:rsid w:val="00DB6EB9"/>
    <w:rsid w:val="00DB71F9"/>
    <w:rsid w:val="00DB77B9"/>
    <w:rsid w:val="00DC1373"/>
    <w:rsid w:val="00DD1C15"/>
    <w:rsid w:val="00DD2D63"/>
    <w:rsid w:val="00DD461D"/>
    <w:rsid w:val="00DD487F"/>
    <w:rsid w:val="00DD5A08"/>
    <w:rsid w:val="00DD75B5"/>
    <w:rsid w:val="00DE5C90"/>
    <w:rsid w:val="00DE7139"/>
    <w:rsid w:val="00DF3A31"/>
    <w:rsid w:val="00DF3BA1"/>
    <w:rsid w:val="00DF6902"/>
    <w:rsid w:val="00DF7E2F"/>
    <w:rsid w:val="00E00161"/>
    <w:rsid w:val="00E01551"/>
    <w:rsid w:val="00E01C02"/>
    <w:rsid w:val="00E06C77"/>
    <w:rsid w:val="00E07C73"/>
    <w:rsid w:val="00E132EA"/>
    <w:rsid w:val="00E159E7"/>
    <w:rsid w:val="00E2008F"/>
    <w:rsid w:val="00E20B2D"/>
    <w:rsid w:val="00E21946"/>
    <w:rsid w:val="00E23E04"/>
    <w:rsid w:val="00E24F85"/>
    <w:rsid w:val="00E30126"/>
    <w:rsid w:val="00E3031D"/>
    <w:rsid w:val="00E31961"/>
    <w:rsid w:val="00E34CCA"/>
    <w:rsid w:val="00E35FA2"/>
    <w:rsid w:val="00E378EF"/>
    <w:rsid w:val="00E444E6"/>
    <w:rsid w:val="00E54244"/>
    <w:rsid w:val="00E61D18"/>
    <w:rsid w:val="00E63CE0"/>
    <w:rsid w:val="00E64BE4"/>
    <w:rsid w:val="00E67412"/>
    <w:rsid w:val="00E674AE"/>
    <w:rsid w:val="00E67F46"/>
    <w:rsid w:val="00E71803"/>
    <w:rsid w:val="00E72DBE"/>
    <w:rsid w:val="00E742FD"/>
    <w:rsid w:val="00E7506A"/>
    <w:rsid w:val="00E761AB"/>
    <w:rsid w:val="00E7626C"/>
    <w:rsid w:val="00E8446A"/>
    <w:rsid w:val="00E905BE"/>
    <w:rsid w:val="00E913B6"/>
    <w:rsid w:val="00E923F2"/>
    <w:rsid w:val="00E93A18"/>
    <w:rsid w:val="00E973F2"/>
    <w:rsid w:val="00EA0580"/>
    <w:rsid w:val="00EB416B"/>
    <w:rsid w:val="00EB473A"/>
    <w:rsid w:val="00EB5A7B"/>
    <w:rsid w:val="00EB74F9"/>
    <w:rsid w:val="00EC0455"/>
    <w:rsid w:val="00EC06B5"/>
    <w:rsid w:val="00ED17B2"/>
    <w:rsid w:val="00ED1C62"/>
    <w:rsid w:val="00ED30AE"/>
    <w:rsid w:val="00EE0926"/>
    <w:rsid w:val="00EE147E"/>
    <w:rsid w:val="00EE2E17"/>
    <w:rsid w:val="00EE7BDC"/>
    <w:rsid w:val="00EF242E"/>
    <w:rsid w:val="00EF38EC"/>
    <w:rsid w:val="00EF5C86"/>
    <w:rsid w:val="00EF6A3A"/>
    <w:rsid w:val="00F00380"/>
    <w:rsid w:val="00F019F8"/>
    <w:rsid w:val="00F06EC5"/>
    <w:rsid w:val="00F13A0B"/>
    <w:rsid w:val="00F14551"/>
    <w:rsid w:val="00F14ACA"/>
    <w:rsid w:val="00F246CA"/>
    <w:rsid w:val="00F25E18"/>
    <w:rsid w:val="00F2662C"/>
    <w:rsid w:val="00F27D65"/>
    <w:rsid w:val="00F32170"/>
    <w:rsid w:val="00F362F1"/>
    <w:rsid w:val="00F3655E"/>
    <w:rsid w:val="00F40D88"/>
    <w:rsid w:val="00F411F7"/>
    <w:rsid w:val="00F41953"/>
    <w:rsid w:val="00F4332E"/>
    <w:rsid w:val="00F44D41"/>
    <w:rsid w:val="00F44F89"/>
    <w:rsid w:val="00F45041"/>
    <w:rsid w:val="00F472B8"/>
    <w:rsid w:val="00F52AAE"/>
    <w:rsid w:val="00F52F55"/>
    <w:rsid w:val="00F565F3"/>
    <w:rsid w:val="00F56643"/>
    <w:rsid w:val="00F6273E"/>
    <w:rsid w:val="00F65131"/>
    <w:rsid w:val="00F660FB"/>
    <w:rsid w:val="00F70495"/>
    <w:rsid w:val="00F70B89"/>
    <w:rsid w:val="00F72AA3"/>
    <w:rsid w:val="00F7786F"/>
    <w:rsid w:val="00F822BF"/>
    <w:rsid w:val="00F8317A"/>
    <w:rsid w:val="00F83240"/>
    <w:rsid w:val="00F85305"/>
    <w:rsid w:val="00F90B5E"/>
    <w:rsid w:val="00F9104A"/>
    <w:rsid w:val="00F91371"/>
    <w:rsid w:val="00F94FB2"/>
    <w:rsid w:val="00FA0979"/>
    <w:rsid w:val="00FA0A82"/>
    <w:rsid w:val="00FA2E82"/>
    <w:rsid w:val="00FA2FD6"/>
    <w:rsid w:val="00FA4675"/>
    <w:rsid w:val="00FA51FA"/>
    <w:rsid w:val="00FA556D"/>
    <w:rsid w:val="00FA5C9F"/>
    <w:rsid w:val="00FB09AA"/>
    <w:rsid w:val="00FB18DD"/>
    <w:rsid w:val="00FB21A9"/>
    <w:rsid w:val="00FB4766"/>
    <w:rsid w:val="00FB618E"/>
    <w:rsid w:val="00FC15C7"/>
    <w:rsid w:val="00FC166D"/>
    <w:rsid w:val="00FC5593"/>
    <w:rsid w:val="00FC62D1"/>
    <w:rsid w:val="00FC7345"/>
    <w:rsid w:val="00FC7926"/>
    <w:rsid w:val="00FD20B5"/>
    <w:rsid w:val="00FD2AB9"/>
    <w:rsid w:val="00FD49C7"/>
    <w:rsid w:val="00FD7DBB"/>
    <w:rsid w:val="00FE0A9D"/>
    <w:rsid w:val="00FE11E3"/>
    <w:rsid w:val="00FE2ED4"/>
    <w:rsid w:val="00FE4355"/>
    <w:rsid w:val="00FE4A84"/>
    <w:rsid w:val="00FE5ACF"/>
    <w:rsid w:val="00FE6736"/>
    <w:rsid w:val="00FE6BE9"/>
    <w:rsid w:val="00FE752C"/>
    <w:rsid w:val="00FE771E"/>
    <w:rsid w:val="00FE787B"/>
    <w:rsid w:val="00FF004F"/>
    <w:rsid w:val="00FF19E6"/>
    <w:rsid w:val="00FF3D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 w:type="paragraph" w:styleId="BodyText2">
    <w:name w:val="Body Text 2"/>
    <w:basedOn w:val="Normal"/>
    <w:link w:val="BodyText2Char"/>
    <w:rsid w:val="001D3AD8"/>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1D3AD8"/>
    <w:rPr>
      <w:rFonts w:ascii="Century Gothic" w:eastAsia="Times New Roman" w:hAnsi="Century Gothic"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809636148">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fsa.co.z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tfsa-fs01.etfsa.co.za\etfSA.co.za\SHERRYL\ETFSA\Website\WEB%20-%20News\2022\market%20cap%202008%20to%20Dec202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25184881205810183"/>
          <c:w val="0.86395859396080166"/>
          <c:h val="0.54915899356228681"/>
        </c:manualLayout>
      </c:layout>
      <c:bar3DChart>
        <c:barDir val="col"/>
        <c:grouping val="clustered"/>
        <c:varyColors val="0"/>
        <c:ser>
          <c:idx val="0"/>
          <c:order val="0"/>
          <c:tx>
            <c:strRef>
              <c:f>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6"/>
              <c:layout>
                <c:manualLayout>
                  <c:x val="4.9844236760124613E-3"/>
                  <c:y val="-1.696712619300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AD-450A-8C8C-655179E41A5C}"/>
                </c:ext>
              </c:extLst>
            </c:dLbl>
            <c:dLbl>
              <c:idx val="7"/>
              <c:layout>
                <c:manualLayout>
                  <c:x val="1.2461059190031062E-2"/>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AD-450A-8C8C-655179E41A5C}"/>
                </c:ext>
              </c:extLst>
            </c:dLbl>
            <c:dLbl>
              <c:idx val="8"/>
              <c:layout>
                <c:manualLayout>
                  <c:x val="5.6417476890489758E-3"/>
                  <c:y val="4.24188018842921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AD-450A-8C8C-655179E41A5C}"/>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AAD-450A-8C8C-655179E41A5C}"/>
                </c:ext>
              </c:extLst>
            </c:dLbl>
            <c:dLbl>
              <c:idx val="13"/>
              <c:layout>
                <c:manualLayout>
                  <c:x val="-2.064515709521826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AAD-450A-8C8C-655179E41A5C}"/>
                </c:ext>
              </c:extLst>
            </c:dLbl>
            <c:dLbl>
              <c:idx val="14"/>
              <c:layout>
                <c:manualLayout>
                  <c:x val="1.80528654507144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AD-450A-8C8C-655179E41A5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Sheet1!$A$2:$A$16</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Sheet1!$B$2:$B$16</c:f>
              <c:numCache>
                <c:formatCode>General</c:formatCode>
                <c:ptCount val="15"/>
                <c:pt idx="0">
                  <c:v>15806</c:v>
                </c:pt>
                <c:pt idx="1">
                  <c:v>26602</c:v>
                </c:pt>
                <c:pt idx="2">
                  <c:v>32273</c:v>
                </c:pt>
                <c:pt idx="3">
                  <c:v>38942</c:v>
                </c:pt>
                <c:pt idx="4">
                  <c:v>47616</c:v>
                </c:pt>
                <c:pt idx="5">
                  <c:v>62632</c:v>
                </c:pt>
                <c:pt idx="6">
                  <c:v>78890</c:v>
                </c:pt>
                <c:pt idx="7">
                  <c:v>77080</c:v>
                </c:pt>
                <c:pt idx="8">
                  <c:v>73515</c:v>
                </c:pt>
                <c:pt idx="9">
                  <c:v>85027</c:v>
                </c:pt>
                <c:pt idx="10">
                  <c:v>77786</c:v>
                </c:pt>
                <c:pt idx="11">
                  <c:v>100782</c:v>
                </c:pt>
                <c:pt idx="12">
                  <c:v>111026</c:v>
                </c:pt>
                <c:pt idx="13">
                  <c:v>136049</c:v>
                </c:pt>
                <c:pt idx="14">
                  <c:v>129311</c:v>
                </c:pt>
              </c:numCache>
            </c:numRef>
          </c:val>
          <c:extLst>
            <c:ext xmlns:c16="http://schemas.microsoft.com/office/drawing/2014/chart" uri="{C3380CC4-5D6E-409C-BE32-E72D297353CC}">
              <c16:uniqueId val="{00000006-DAAD-450A-8C8C-655179E41A5C}"/>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0.22801</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925687" y="26990"/>
          <a:ext cx="2448810" cy="6397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 </a:t>
          </a:r>
        </a:p>
        <a:p xmlns:a="http://schemas.openxmlformats.org/drawingml/2006/main">
          <a:pPr algn="ctr"/>
          <a:r>
            <a:rPr lang="en-ZA" sz="1000" b="1">
              <a:latin typeface="Verdana" panose="020B0604030504040204" pitchFamily="34" charset="0"/>
              <a:ea typeface="Verdana" panose="020B0604030504040204" pitchFamily="34" charset="0"/>
              <a:cs typeface="Verdana" panose="020B0604030504040204" pitchFamily="34" charset="0"/>
            </a:rPr>
            <a:t>(at year end)</a:t>
          </a:r>
        </a:p>
      </cdr:txBody>
    </cdr:sp>
  </cdr:relSizeAnchor>
  <cdr:relSizeAnchor xmlns:cdr="http://schemas.openxmlformats.org/drawingml/2006/chartDrawing">
    <cdr:from>
      <cdr:x>0.01626</cdr:x>
      <cdr:y>0.17148</cdr:y>
    </cdr:from>
    <cdr:to>
      <cdr:x>0.1957</cdr:x>
      <cdr:y>0.26692</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76200" y="517775"/>
          <a:ext cx="840910" cy="2881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0.49763</cdr:x>
      <cdr:y>0.89111</cdr:y>
    </cdr:from>
    <cdr:to>
      <cdr:x>0.67707</cdr:x>
      <cdr:y>0.97595</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2332046" y="2738740"/>
          <a:ext cx="840910" cy="26074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0.01082</cdr:x>
      <cdr:y>0.9121</cdr:y>
    </cdr:from>
    <cdr:to>
      <cdr:x>0.45648</cdr:x>
      <cdr:y>0.99694</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53282" y="2840895"/>
          <a:ext cx="2194619" cy="26424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900" i="1"/>
            <a:t>Source:</a:t>
          </a:r>
          <a:r>
            <a:rPr lang="en-ZA" sz="900" i="1" baseline="0"/>
            <a:t> etfSA.co.za/Profile Data (Dec 2022)</a:t>
          </a:r>
          <a:endParaRPr lang="en-ZA"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786B-E4A5-4B46-8645-F3874A04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21</cp:revision>
  <cp:lastPrinted>2023-01-11T07:19:00Z</cp:lastPrinted>
  <dcterms:created xsi:type="dcterms:W3CDTF">2023-01-10T07:59:00Z</dcterms:created>
  <dcterms:modified xsi:type="dcterms:W3CDTF">2023-01-11T07:37:00Z</dcterms:modified>
</cp:coreProperties>
</file>