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13E0" w14:textId="77777777" w:rsidR="0013363D" w:rsidRPr="0013363D" w:rsidRDefault="0013363D" w:rsidP="0013363D">
      <w:pPr>
        <w:rPr>
          <w:rFonts w:ascii="Verdana" w:hAnsi="Verdana"/>
          <w:b/>
          <w:bCs/>
          <w:sz w:val="20"/>
          <w:szCs w:val="20"/>
        </w:rPr>
      </w:pPr>
      <w:r w:rsidRPr="0013363D">
        <w:rPr>
          <w:rFonts w:ascii="Verdana" w:hAnsi="Verdana"/>
          <w:b/>
          <w:bCs/>
          <w:sz w:val="20"/>
          <w:szCs w:val="20"/>
        </w:rPr>
        <w:t>Does the exchange rate really matter when investing offshore for the longer term?</w:t>
      </w:r>
    </w:p>
    <w:p w14:paraId="4834489F" w14:textId="77777777" w:rsidR="0013363D" w:rsidRPr="0013363D" w:rsidRDefault="0013363D" w:rsidP="0013363D">
      <w:pPr>
        <w:rPr>
          <w:rFonts w:ascii="Verdana" w:hAnsi="Verdana"/>
          <w:sz w:val="20"/>
          <w:szCs w:val="20"/>
        </w:rPr>
      </w:pPr>
      <w:r w:rsidRPr="0013363D">
        <w:rPr>
          <w:rFonts w:ascii="Verdana" w:hAnsi="Verdana"/>
          <w:sz w:val="20"/>
          <w:szCs w:val="20"/>
        </w:rPr>
        <w:t xml:space="preserve">By Sangeeth </w:t>
      </w:r>
      <w:proofErr w:type="spellStart"/>
      <w:r w:rsidRPr="0013363D">
        <w:rPr>
          <w:rFonts w:ascii="Verdana" w:hAnsi="Verdana"/>
          <w:sz w:val="20"/>
          <w:szCs w:val="20"/>
        </w:rPr>
        <w:t>Sewnath</w:t>
      </w:r>
      <w:proofErr w:type="spellEnd"/>
      <w:r w:rsidRPr="0013363D">
        <w:rPr>
          <w:rFonts w:ascii="Verdana" w:hAnsi="Verdana"/>
          <w:sz w:val="20"/>
          <w:szCs w:val="20"/>
        </w:rPr>
        <w:t xml:space="preserve">, Deputy Managing Director, and Paul Hutchinson, Sales Manager </w:t>
      </w:r>
    </w:p>
    <w:p w14:paraId="18D2EA35" w14:textId="77777777" w:rsidR="0013363D" w:rsidRPr="0013363D" w:rsidRDefault="0013363D" w:rsidP="0013363D">
      <w:pPr>
        <w:pStyle w:val="xmsonormal"/>
        <w:rPr>
          <w:rFonts w:ascii="Verdana" w:hAnsi="Verdana"/>
          <w:sz w:val="20"/>
          <w:szCs w:val="20"/>
          <w:lang w:val="en-US"/>
        </w:rPr>
      </w:pPr>
    </w:p>
    <w:p w14:paraId="6E6FC30D" w14:textId="77777777" w:rsidR="0013363D" w:rsidRPr="0013363D" w:rsidRDefault="0013363D" w:rsidP="0013363D">
      <w:pPr>
        <w:pStyle w:val="xmsonormal"/>
        <w:rPr>
          <w:rFonts w:ascii="Verdana" w:hAnsi="Verdana"/>
          <w:i/>
          <w:iCs/>
          <w:sz w:val="20"/>
          <w:szCs w:val="20"/>
          <w:lang w:val="en-US"/>
        </w:rPr>
      </w:pPr>
      <w:r w:rsidRPr="0013363D">
        <w:rPr>
          <w:rFonts w:ascii="Verdana" w:hAnsi="Verdana"/>
          <w:i/>
          <w:iCs/>
          <w:sz w:val="20"/>
          <w:szCs w:val="20"/>
          <w:lang w:val="en-US"/>
        </w:rPr>
        <w:t xml:space="preserve">Many SA investors are obsessed with the exchange rate when making an offshore investment. Here’s why it’s less of a factor than you think. </w:t>
      </w:r>
    </w:p>
    <w:p w14:paraId="509AB4B8" w14:textId="77777777" w:rsidR="0013363D" w:rsidRPr="0013363D" w:rsidRDefault="0013363D" w:rsidP="0013363D">
      <w:pPr>
        <w:rPr>
          <w:rFonts w:ascii="Verdana" w:hAnsi="Verdana"/>
          <w:sz w:val="20"/>
          <w:szCs w:val="20"/>
        </w:rPr>
      </w:pPr>
    </w:p>
    <w:p w14:paraId="5A13DF5E" w14:textId="77777777" w:rsidR="0013363D" w:rsidRPr="0013363D" w:rsidRDefault="0013363D" w:rsidP="0013363D">
      <w:pPr>
        <w:rPr>
          <w:rFonts w:ascii="Verdana" w:hAnsi="Verdana"/>
          <w:sz w:val="20"/>
          <w:szCs w:val="20"/>
        </w:rPr>
      </w:pPr>
      <w:r w:rsidRPr="0013363D">
        <w:rPr>
          <w:rFonts w:ascii="Verdana" w:hAnsi="Verdana"/>
          <w:sz w:val="20"/>
          <w:szCs w:val="20"/>
        </w:rPr>
        <w:t xml:space="preserve">While investors accept that there are compelling reasons for investing offshore: diversification benefits; access to asset classes, </w:t>
      </w:r>
      <w:proofErr w:type="gramStart"/>
      <w:r w:rsidRPr="0013363D">
        <w:rPr>
          <w:rFonts w:ascii="Verdana" w:hAnsi="Verdana"/>
          <w:sz w:val="20"/>
          <w:szCs w:val="20"/>
        </w:rPr>
        <w:t>industries</w:t>
      </w:r>
      <w:proofErr w:type="gramEnd"/>
      <w:r w:rsidRPr="0013363D">
        <w:rPr>
          <w:rFonts w:ascii="Verdana" w:hAnsi="Verdana"/>
          <w:sz w:val="20"/>
          <w:szCs w:val="20"/>
        </w:rPr>
        <w:t xml:space="preserve"> and companies not available in South Africa; reduced emerging market and SA-specific risk; and maintenance of ‘hard’ currency spending power, they tend to spend an inordinate amount of time trying to call the direction of the currency.</w:t>
      </w:r>
    </w:p>
    <w:p w14:paraId="476D01E6" w14:textId="77777777" w:rsidR="0013363D" w:rsidRPr="0013363D" w:rsidRDefault="0013363D" w:rsidP="0013363D">
      <w:pPr>
        <w:rPr>
          <w:rFonts w:ascii="Verdana" w:hAnsi="Verdana"/>
          <w:sz w:val="20"/>
          <w:szCs w:val="20"/>
        </w:rPr>
      </w:pPr>
    </w:p>
    <w:p w14:paraId="3BEEABD9" w14:textId="77777777" w:rsidR="0013363D" w:rsidRPr="0013363D" w:rsidRDefault="0013363D" w:rsidP="0013363D">
      <w:pPr>
        <w:rPr>
          <w:rFonts w:ascii="Verdana" w:hAnsi="Verdana"/>
          <w:sz w:val="20"/>
          <w:szCs w:val="20"/>
        </w:rPr>
      </w:pPr>
      <w:r w:rsidRPr="0013363D">
        <w:rPr>
          <w:rFonts w:ascii="Verdana" w:hAnsi="Verdana"/>
          <w:sz w:val="20"/>
          <w:szCs w:val="20"/>
        </w:rPr>
        <w:t>Over the longer term, the performance of the rand contributes to an offshore investment’s overall rand return. Rand depreciation adds to the offshore investment’s total return calculated in rands, and rand appreciation detracts from the overall return. Figure 1 shows that over rolling 5-year periods, the rand has experienced periods of both depreciation (81% of the time) and appreciation (only 19% of the time) against the US dollar. On average, however, the rand has depreciated by approximately 6% per annum over rolling 5-year periods, over the last 22 years.</w:t>
      </w:r>
    </w:p>
    <w:p w14:paraId="4E436EC3" w14:textId="77777777" w:rsidR="0013363D" w:rsidRPr="0013363D" w:rsidRDefault="0013363D" w:rsidP="0013363D">
      <w:pPr>
        <w:rPr>
          <w:rFonts w:ascii="Verdana" w:hAnsi="Verdana"/>
          <w:sz w:val="20"/>
          <w:szCs w:val="20"/>
        </w:rPr>
      </w:pPr>
    </w:p>
    <w:p w14:paraId="0BFCFAE5" w14:textId="77777777" w:rsidR="0013363D" w:rsidRPr="0013363D" w:rsidRDefault="0013363D" w:rsidP="0013363D">
      <w:pPr>
        <w:rPr>
          <w:rFonts w:ascii="Verdana" w:hAnsi="Verdana"/>
          <w:b/>
          <w:bCs/>
          <w:sz w:val="20"/>
          <w:szCs w:val="20"/>
        </w:rPr>
      </w:pPr>
      <w:r w:rsidRPr="0013363D">
        <w:rPr>
          <w:rFonts w:ascii="Verdana" w:hAnsi="Verdana"/>
          <w:b/>
          <w:bCs/>
          <w:sz w:val="20"/>
          <w:szCs w:val="20"/>
        </w:rPr>
        <w:t>Figure 1: Rolling 5-year performance of the rand (January 2000 – December 2022)</w:t>
      </w:r>
    </w:p>
    <w:p w14:paraId="0331E4AF" w14:textId="77777777" w:rsidR="0013363D" w:rsidRPr="0013363D" w:rsidRDefault="0013363D" w:rsidP="0013363D">
      <w:pPr>
        <w:rPr>
          <w:rFonts w:ascii="Verdana" w:hAnsi="Verdana"/>
          <w:sz w:val="20"/>
          <w:szCs w:val="20"/>
        </w:rPr>
      </w:pPr>
    </w:p>
    <w:p w14:paraId="2C1EB79C" w14:textId="54C5DC5B" w:rsidR="0013363D" w:rsidRPr="0013363D" w:rsidRDefault="0013363D" w:rsidP="0013363D">
      <w:pPr>
        <w:rPr>
          <w:rFonts w:ascii="Verdana" w:hAnsi="Verdana"/>
          <w:sz w:val="20"/>
          <w:szCs w:val="20"/>
        </w:rPr>
      </w:pPr>
      <w:r w:rsidRPr="0013363D">
        <w:rPr>
          <w:rFonts w:ascii="Verdana" w:hAnsi="Verdana"/>
          <w:noProof/>
          <w:sz w:val="20"/>
          <w:szCs w:val="20"/>
          <w:lang w:val="en-US"/>
        </w:rPr>
        <w:drawing>
          <wp:inline distT="0" distB="0" distL="0" distR="0" wp14:anchorId="118FBA79" wp14:editId="56B40F90">
            <wp:extent cx="4762500" cy="2752725"/>
            <wp:effectExtent l="0" t="0" r="0" b="9525"/>
            <wp:docPr id="2" name="Picture 2"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histogram&#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762500" cy="2752725"/>
                    </a:xfrm>
                    <a:prstGeom prst="rect">
                      <a:avLst/>
                    </a:prstGeom>
                    <a:noFill/>
                    <a:ln>
                      <a:noFill/>
                    </a:ln>
                  </pic:spPr>
                </pic:pic>
              </a:graphicData>
            </a:graphic>
          </wp:inline>
        </w:drawing>
      </w:r>
    </w:p>
    <w:p w14:paraId="3176B1B1" w14:textId="77777777" w:rsidR="0013363D" w:rsidRPr="0013363D" w:rsidRDefault="0013363D" w:rsidP="0013363D">
      <w:pPr>
        <w:rPr>
          <w:rFonts w:ascii="Verdana" w:hAnsi="Verdana"/>
          <w:sz w:val="20"/>
          <w:szCs w:val="20"/>
        </w:rPr>
      </w:pPr>
      <w:r w:rsidRPr="0013363D">
        <w:rPr>
          <w:rFonts w:ascii="Verdana" w:hAnsi="Verdana"/>
          <w:b/>
          <w:bCs/>
          <w:sz w:val="20"/>
          <w:szCs w:val="20"/>
        </w:rPr>
        <w:t>Source:</w:t>
      </w:r>
      <w:r w:rsidRPr="0013363D">
        <w:rPr>
          <w:rFonts w:ascii="Verdana" w:hAnsi="Verdana"/>
          <w:sz w:val="20"/>
          <w:szCs w:val="20"/>
        </w:rPr>
        <w:t xml:space="preserve"> Morningstar, as </w:t>
      </w:r>
      <w:proofErr w:type="gramStart"/>
      <w:r w:rsidRPr="0013363D">
        <w:rPr>
          <w:rFonts w:ascii="Verdana" w:hAnsi="Verdana"/>
          <w:sz w:val="20"/>
          <w:szCs w:val="20"/>
        </w:rPr>
        <w:t>at</w:t>
      </w:r>
      <w:proofErr w:type="gramEnd"/>
      <w:r w:rsidRPr="0013363D">
        <w:rPr>
          <w:rFonts w:ascii="Verdana" w:hAnsi="Verdana"/>
          <w:sz w:val="20"/>
          <w:szCs w:val="20"/>
        </w:rPr>
        <w:t xml:space="preserve"> 31 December 2022.</w:t>
      </w:r>
    </w:p>
    <w:p w14:paraId="318BB1DD" w14:textId="77777777" w:rsidR="0013363D" w:rsidRPr="0013363D" w:rsidRDefault="0013363D" w:rsidP="0013363D">
      <w:pPr>
        <w:rPr>
          <w:rFonts w:ascii="Verdana" w:hAnsi="Verdana"/>
          <w:b/>
          <w:bCs/>
          <w:sz w:val="20"/>
          <w:szCs w:val="20"/>
        </w:rPr>
      </w:pPr>
    </w:p>
    <w:p w14:paraId="5733279A" w14:textId="77777777" w:rsidR="0013363D" w:rsidRPr="0013363D" w:rsidRDefault="0013363D" w:rsidP="0013363D">
      <w:pPr>
        <w:rPr>
          <w:rFonts w:ascii="Verdana" w:hAnsi="Verdana"/>
          <w:b/>
          <w:bCs/>
          <w:sz w:val="20"/>
          <w:szCs w:val="20"/>
        </w:rPr>
      </w:pPr>
      <w:r w:rsidRPr="0013363D">
        <w:rPr>
          <w:rFonts w:ascii="Verdana" w:hAnsi="Verdana"/>
          <w:b/>
          <w:bCs/>
          <w:sz w:val="20"/>
          <w:szCs w:val="20"/>
        </w:rPr>
        <w:t>Timing the currency, does it matter over the longer term?</w:t>
      </w:r>
    </w:p>
    <w:p w14:paraId="60832140" w14:textId="77777777" w:rsidR="0013363D" w:rsidRPr="0013363D" w:rsidRDefault="0013363D" w:rsidP="0013363D">
      <w:pPr>
        <w:rPr>
          <w:rFonts w:ascii="Verdana" w:hAnsi="Verdana"/>
          <w:sz w:val="20"/>
          <w:szCs w:val="20"/>
        </w:rPr>
      </w:pPr>
    </w:p>
    <w:p w14:paraId="219F7A14" w14:textId="77777777" w:rsidR="0013363D" w:rsidRPr="0013363D" w:rsidRDefault="0013363D" w:rsidP="0013363D">
      <w:pPr>
        <w:rPr>
          <w:rFonts w:ascii="Verdana" w:hAnsi="Verdana"/>
          <w:sz w:val="20"/>
          <w:szCs w:val="20"/>
        </w:rPr>
      </w:pPr>
      <w:r w:rsidRPr="0013363D">
        <w:rPr>
          <w:rFonts w:ascii="Verdana" w:hAnsi="Verdana"/>
          <w:sz w:val="20"/>
          <w:szCs w:val="20"/>
        </w:rPr>
        <w:t xml:space="preserve">Many investors are fixated on the exchange rate when making an offshore investment. To illustrate, we analysed the performance of the </w:t>
      </w:r>
      <w:hyperlink r:id="rId9" w:history="1">
        <w:r w:rsidRPr="0013363D">
          <w:rPr>
            <w:rStyle w:val="Hyperlink"/>
            <w:rFonts w:ascii="Verdana" w:hAnsi="Verdana"/>
            <w:sz w:val="20"/>
            <w:szCs w:val="20"/>
          </w:rPr>
          <w:t>Ninety One Global Franchise Fund</w:t>
        </w:r>
      </w:hyperlink>
      <w:r w:rsidRPr="0013363D">
        <w:rPr>
          <w:rFonts w:ascii="Verdana" w:hAnsi="Verdana"/>
          <w:sz w:val="20"/>
          <w:szCs w:val="20"/>
        </w:rPr>
        <w:t xml:space="preserve"> from April 2007</w:t>
      </w:r>
      <w:r w:rsidRPr="0013363D">
        <w:rPr>
          <w:rStyle w:val="FootnoteReference"/>
          <w:rFonts w:ascii="Verdana" w:hAnsi="Verdana"/>
          <w:sz w:val="20"/>
          <w:szCs w:val="20"/>
        </w:rPr>
        <w:footnoteReference w:customMarkFollows="1" w:id="1"/>
        <w:t>[1]</w:t>
      </w:r>
      <w:r w:rsidRPr="0013363D">
        <w:rPr>
          <w:rFonts w:ascii="Verdana" w:hAnsi="Verdana"/>
          <w:sz w:val="20"/>
          <w:szCs w:val="20"/>
        </w:rPr>
        <w:t xml:space="preserve"> to December 2022 to determine whether the movement of the rand/dollar exchange rate in the year prior to an initial investment matters. Note that we used the 12 months prior as a proxy for investors’ views on where the rand/dollar exchange rate is likely to move in future.</w:t>
      </w:r>
    </w:p>
    <w:p w14:paraId="7E1B2555" w14:textId="77777777" w:rsidR="0013363D" w:rsidRPr="0013363D" w:rsidRDefault="0013363D" w:rsidP="0013363D">
      <w:pPr>
        <w:rPr>
          <w:rFonts w:ascii="Verdana" w:hAnsi="Verdana"/>
          <w:sz w:val="20"/>
          <w:szCs w:val="20"/>
        </w:rPr>
      </w:pPr>
    </w:p>
    <w:p w14:paraId="72742670" w14:textId="77777777" w:rsidR="0013363D" w:rsidRPr="0013363D" w:rsidRDefault="0013363D" w:rsidP="0013363D">
      <w:pPr>
        <w:rPr>
          <w:rFonts w:ascii="Verdana" w:hAnsi="Verdana"/>
          <w:sz w:val="20"/>
          <w:szCs w:val="20"/>
        </w:rPr>
      </w:pPr>
      <w:r w:rsidRPr="0013363D">
        <w:rPr>
          <w:rFonts w:ascii="Verdana" w:hAnsi="Verdana"/>
          <w:sz w:val="20"/>
          <w:szCs w:val="20"/>
        </w:rPr>
        <w:lastRenderedPageBreak/>
        <w:t>The analysis split the data into two series:</w:t>
      </w:r>
    </w:p>
    <w:p w14:paraId="6CF37A91" w14:textId="77777777" w:rsidR="0013363D" w:rsidRPr="0013363D" w:rsidRDefault="0013363D" w:rsidP="0013363D">
      <w:pPr>
        <w:rPr>
          <w:rFonts w:ascii="Verdana" w:hAnsi="Verdana"/>
          <w:sz w:val="20"/>
          <w:szCs w:val="20"/>
        </w:rPr>
      </w:pPr>
    </w:p>
    <w:p w14:paraId="53B1EB76" w14:textId="77777777" w:rsidR="0013363D" w:rsidRPr="0013363D" w:rsidRDefault="0013363D" w:rsidP="0013363D">
      <w:pPr>
        <w:pStyle w:val="ListParagraph"/>
        <w:numPr>
          <w:ilvl w:val="0"/>
          <w:numId w:val="1"/>
        </w:numPr>
        <w:spacing w:after="0" w:line="240" w:lineRule="auto"/>
        <w:rPr>
          <w:rFonts w:ascii="Verdana" w:eastAsia="Times New Roman" w:hAnsi="Verdana"/>
          <w:sz w:val="20"/>
          <w:szCs w:val="20"/>
          <w:lang w:val="en-US"/>
        </w:rPr>
      </w:pPr>
      <w:r w:rsidRPr="0013363D">
        <w:rPr>
          <w:rFonts w:ascii="Verdana" w:eastAsia="Times New Roman" w:hAnsi="Verdana"/>
          <w:b/>
          <w:bCs/>
          <w:sz w:val="20"/>
          <w:szCs w:val="20"/>
          <w:lang w:val="en-US"/>
        </w:rPr>
        <w:t>Series 1</w:t>
      </w:r>
      <w:r w:rsidRPr="0013363D">
        <w:rPr>
          <w:rFonts w:ascii="Verdana" w:eastAsia="Times New Roman" w:hAnsi="Verdana"/>
          <w:sz w:val="20"/>
          <w:szCs w:val="20"/>
          <w:lang w:val="en-US"/>
        </w:rPr>
        <w:t xml:space="preserve">: periods where the rand was stronger in the year preceding when an investment into the fund was made, continued rand strength being what investors are concerned about and attempting to </w:t>
      </w:r>
      <w:proofErr w:type="gramStart"/>
      <w:r w:rsidRPr="0013363D">
        <w:rPr>
          <w:rFonts w:ascii="Verdana" w:eastAsia="Times New Roman" w:hAnsi="Verdana"/>
          <w:sz w:val="20"/>
          <w:szCs w:val="20"/>
          <w:lang w:val="en-US"/>
        </w:rPr>
        <w:t>avoid</w:t>
      </w:r>
      <w:proofErr w:type="gramEnd"/>
    </w:p>
    <w:p w14:paraId="6BA2DF29" w14:textId="77777777" w:rsidR="0013363D" w:rsidRPr="0013363D" w:rsidRDefault="0013363D" w:rsidP="0013363D">
      <w:pPr>
        <w:pStyle w:val="ListParagraph"/>
        <w:numPr>
          <w:ilvl w:val="0"/>
          <w:numId w:val="1"/>
        </w:numPr>
        <w:spacing w:after="0" w:line="240" w:lineRule="auto"/>
        <w:rPr>
          <w:rFonts w:ascii="Verdana" w:eastAsia="Times New Roman" w:hAnsi="Verdana"/>
          <w:sz w:val="20"/>
          <w:szCs w:val="20"/>
          <w:lang w:val="en-US"/>
        </w:rPr>
      </w:pPr>
      <w:r w:rsidRPr="0013363D">
        <w:rPr>
          <w:rFonts w:ascii="Verdana" w:eastAsia="Times New Roman" w:hAnsi="Verdana"/>
          <w:b/>
          <w:bCs/>
          <w:sz w:val="20"/>
          <w:szCs w:val="20"/>
          <w:lang w:val="en-US"/>
        </w:rPr>
        <w:t>Series 2</w:t>
      </w:r>
      <w:r w:rsidRPr="0013363D">
        <w:rPr>
          <w:rFonts w:ascii="Verdana" w:eastAsia="Times New Roman" w:hAnsi="Verdana"/>
          <w:sz w:val="20"/>
          <w:szCs w:val="20"/>
          <w:lang w:val="en-US"/>
        </w:rPr>
        <w:t>: periods where the rand was weaker in the year preceding when an investment into the fund was made, continued rand weakness being what investors are trying to benefit from</w:t>
      </w:r>
    </w:p>
    <w:p w14:paraId="62582B2B" w14:textId="77777777" w:rsidR="0013363D" w:rsidRPr="0013363D" w:rsidRDefault="0013363D" w:rsidP="0013363D">
      <w:pPr>
        <w:rPr>
          <w:rFonts w:ascii="Verdana" w:hAnsi="Verdana"/>
          <w:sz w:val="20"/>
          <w:szCs w:val="20"/>
        </w:rPr>
      </w:pPr>
    </w:p>
    <w:p w14:paraId="6B7CF373" w14:textId="77777777" w:rsidR="0013363D" w:rsidRPr="0013363D" w:rsidRDefault="0013363D" w:rsidP="0013363D">
      <w:pPr>
        <w:rPr>
          <w:rFonts w:ascii="Verdana" w:hAnsi="Verdana"/>
          <w:sz w:val="20"/>
          <w:szCs w:val="20"/>
        </w:rPr>
      </w:pPr>
      <w:r w:rsidRPr="0013363D">
        <w:rPr>
          <w:rFonts w:ascii="Verdana" w:hAnsi="Verdana"/>
          <w:sz w:val="20"/>
          <w:szCs w:val="20"/>
        </w:rPr>
        <w:t xml:space="preserve">The investments allocated to either of the two series are then held from their respective inception dates to 31 December 2022. The annualised results are summarised in Figure 2. </w:t>
      </w:r>
    </w:p>
    <w:p w14:paraId="33947305" w14:textId="77777777" w:rsidR="0013363D" w:rsidRPr="0013363D" w:rsidRDefault="0013363D" w:rsidP="0013363D">
      <w:pPr>
        <w:rPr>
          <w:rFonts w:ascii="Verdana" w:hAnsi="Verdana"/>
          <w:b/>
          <w:bCs/>
          <w:sz w:val="20"/>
          <w:szCs w:val="20"/>
        </w:rPr>
      </w:pPr>
    </w:p>
    <w:p w14:paraId="610D648D" w14:textId="77777777" w:rsidR="0013363D" w:rsidRPr="0013363D" w:rsidRDefault="0013363D" w:rsidP="0013363D">
      <w:pPr>
        <w:rPr>
          <w:rFonts w:ascii="Verdana" w:hAnsi="Verdana"/>
          <w:b/>
          <w:bCs/>
          <w:sz w:val="20"/>
          <w:szCs w:val="20"/>
        </w:rPr>
      </w:pPr>
      <w:r w:rsidRPr="0013363D">
        <w:rPr>
          <w:rFonts w:ascii="Verdana" w:hAnsi="Verdana"/>
          <w:b/>
          <w:bCs/>
          <w:sz w:val="20"/>
          <w:szCs w:val="20"/>
        </w:rPr>
        <w:t xml:space="preserve">Figure 2: Performance of the </w:t>
      </w:r>
      <w:proofErr w:type="gramStart"/>
      <w:r w:rsidRPr="0013363D">
        <w:rPr>
          <w:rFonts w:ascii="Verdana" w:hAnsi="Verdana"/>
          <w:b/>
          <w:bCs/>
          <w:sz w:val="20"/>
          <w:szCs w:val="20"/>
        </w:rPr>
        <w:t>Ninety One</w:t>
      </w:r>
      <w:proofErr w:type="gramEnd"/>
      <w:r w:rsidRPr="0013363D">
        <w:rPr>
          <w:rFonts w:ascii="Verdana" w:hAnsi="Verdana"/>
          <w:b/>
          <w:bCs/>
          <w:sz w:val="20"/>
          <w:szCs w:val="20"/>
        </w:rPr>
        <w:t xml:space="preserve"> Global Franchise Fund following periods of rand weakness and rand strength</w:t>
      </w:r>
    </w:p>
    <w:p w14:paraId="59D757FA" w14:textId="77777777" w:rsidR="0013363D" w:rsidRPr="0013363D" w:rsidRDefault="0013363D" w:rsidP="0013363D">
      <w:pPr>
        <w:rPr>
          <w:rFonts w:ascii="Verdana" w:hAnsi="Verdana"/>
          <w:b/>
          <w:bCs/>
          <w:sz w:val="20"/>
          <w:szCs w:val="20"/>
        </w:rPr>
      </w:pPr>
    </w:p>
    <w:p w14:paraId="3556FB18" w14:textId="6C37FF75" w:rsidR="0013363D" w:rsidRPr="0013363D" w:rsidRDefault="0013363D" w:rsidP="0013363D">
      <w:pPr>
        <w:rPr>
          <w:rFonts w:ascii="Verdana" w:hAnsi="Verdana"/>
          <w:sz w:val="20"/>
          <w:szCs w:val="20"/>
        </w:rPr>
      </w:pPr>
      <w:r w:rsidRPr="0013363D">
        <w:rPr>
          <w:rFonts w:ascii="Verdana" w:hAnsi="Verdana"/>
          <w:noProof/>
          <w:sz w:val="20"/>
          <w:szCs w:val="20"/>
        </w:rPr>
        <w:drawing>
          <wp:inline distT="0" distB="0" distL="0" distR="0" wp14:anchorId="51F16DE0" wp14:editId="4D98711B">
            <wp:extent cx="5731510" cy="27552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2755265"/>
                    </a:xfrm>
                    <a:prstGeom prst="rect">
                      <a:avLst/>
                    </a:prstGeom>
                    <a:noFill/>
                    <a:ln>
                      <a:noFill/>
                    </a:ln>
                  </pic:spPr>
                </pic:pic>
              </a:graphicData>
            </a:graphic>
          </wp:inline>
        </w:drawing>
      </w:r>
    </w:p>
    <w:p w14:paraId="64EBA96C" w14:textId="77777777" w:rsidR="0013363D" w:rsidRPr="0013363D" w:rsidRDefault="0013363D" w:rsidP="0013363D">
      <w:pPr>
        <w:rPr>
          <w:rFonts w:ascii="Verdana" w:hAnsi="Verdana"/>
          <w:b/>
          <w:bCs/>
          <w:sz w:val="20"/>
          <w:szCs w:val="20"/>
        </w:rPr>
      </w:pPr>
    </w:p>
    <w:p w14:paraId="3FCF8F0B" w14:textId="77777777" w:rsidR="0013363D" w:rsidRPr="0013363D" w:rsidRDefault="0013363D" w:rsidP="0013363D">
      <w:pPr>
        <w:rPr>
          <w:rFonts w:ascii="Verdana" w:hAnsi="Verdana"/>
          <w:sz w:val="20"/>
          <w:szCs w:val="20"/>
        </w:rPr>
      </w:pPr>
      <w:r w:rsidRPr="0013363D">
        <w:rPr>
          <w:rFonts w:ascii="Verdana" w:hAnsi="Verdana"/>
          <w:b/>
          <w:bCs/>
          <w:sz w:val="20"/>
          <w:szCs w:val="20"/>
        </w:rPr>
        <w:t>Source:</w:t>
      </w:r>
      <w:r w:rsidRPr="0013363D">
        <w:rPr>
          <w:rFonts w:ascii="Verdana" w:hAnsi="Verdana"/>
          <w:sz w:val="20"/>
          <w:szCs w:val="20"/>
        </w:rPr>
        <w:t xml:space="preserve"> Morningstar and </w:t>
      </w:r>
      <w:proofErr w:type="gramStart"/>
      <w:r w:rsidRPr="0013363D">
        <w:rPr>
          <w:rFonts w:ascii="Verdana" w:hAnsi="Verdana"/>
          <w:sz w:val="20"/>
          <w:szCs w:val="20"/>
        </w:rPr>
        <w:t>Ninety One</w:t>
      </w:r>
      <w:proofErr w:type="gramEnd"/>
      <w:r w:rsidRPr="0013363D">
        <w:rPr>
          <w:rFonts w:ascii="Verdana" w:hAnsi="Verdana"/>
          <w:sz w:val="20"/>
          <w:szCs w:val="20"/>
        </w:rPr>
        <w:t xml:space="preserve">, various dates to 31 December 2022. Performance is based on a lump sum investment, NAV to NAV net of fees, gross income reinvested. For illustrative purposes only. </w:t>
      </w:r>
    </w:p>
    <w:p w14:paraId="18AF67AC" w14:textId="77777777" w:rsidR="0013363D" w:rsidRPr="0013363D" w:rsidRDefault="0013363D" w:rsidP="0013363D">
      <w:pPr>
        <w:rPr>
          <w:rFonts w:ascii="Verdana" w:hAnsi="Verdana"/>
          <w:sz w:val="20"/>
          <w:szCs w:val="20"/>
        </w:rPr>
      </w:pPr>
    </w:p>
    <w:p w14:paraId="1C2900B0" w14:textId="77777777" w:rsidR="0013363D" w:rsidRPr="0013363D" w:rsidRDefault="0013363D" w:rsidP="0013363D">
      <w:pPr>
        <w:rPr>
          <w:rFonts w:ascii="Verdana" w:hAnsi="Verdana"/>
          <w:b/>
          <w:bCs/>
          <w:sz w:val="20"/>
          <w:szCs w:val="20"/>
        </w:rPr>
      </w:pPr>
      <w:r w:rsidRPr="0013363D">
        <w:rPr>
          <w:rFonts w:ascii="Verdana" w:hAnsi="Verdana"/>
          <w:b/>
          <w:bCs/>
          <w:sz w:val="20"/>
          <w:szCs w:val="20"/>
        </w:rPr>
        <w:t>Some key observations:</w:t>
      </w:r>
    </w:p>
    <w:p w14:paraId="6C0C1330" w14:textId="77777777" w:rsidR="0013363D" w:rsidRPr="0013363D" w:rsidRDefault="0013363D" w:rsidP="0013363D">
      <w:pPr>
        <w:rPr>
          <w:rFonts w:ascii="Verdana" w:hAnsi="Verdana"/>
          <w:sz w:val="20"/>
          <w:szCs w:val="20"/>
        </w:rPr>
      </w:pPr>
    </w:p>
    <w:p w14:paraId="2648FB92" w14:textId="77777777" w:rsidR="0013363D" w:rsidRPr="0013363D" w:rsidRDefault="0013363D" w:rsidP="0013363D">
      <w:pPr>
        <w:pStyle w:val="ListParagraph"/>
        <w:numPr>
          <w:ilvl w:val="0"/>
          <w:numId w:val="2"/>
        </w:numPr>
        <w:spacing w:after="0" w:line="240" w:lineRule="auto"/>
        <w:rPr>
          <w:rFonts w:ascii="Verdana" w:eastAsia="Times New Roman" w:hAnsi="Verdana"/>
          <w:sz w:val="20"/>
          <w:szCs w:val="20"/>
          <w:lang w:val="en-US"/>
        </w:rPr>
      </w:pPr>
      <w:bookmarkStart w:id="0" w:name="_Hlk124846044"/>
      <w:r w:rsidRPr="0013363D">
        <w:rPr>
          <w:rFonts w:ascii="Verdana" w:eastAsia="Times New Roman" w:hAnsi="Verdana"/>
          <w:sz w:val="20"/>
          <w:szCs w:val="20"/>
          <w:lang w:val="en-US"/>
        </w:rPr>
        <w:t>Of the 165 1-year periods, 56 (approximately one-third) were periods where the rand strengthened and 109 (approximately two-thirds) where the rand weakened (this outcome should not be unexpected).</w:t>
      </w:r>
    </w:p>
    <w:p w14:paraId="58E7CF81" w14:textId="77777777" w:rsidR="0013363D" w:rsidRPr="0013363D" w:rsidRDefault="0013363D" w:rsidP="0013363D">
      <w:pPr>
        <w:pStyle w:val="ListParagraph"/>
        <w:numPr>
          <w:ilvl w:val="0"/>
          <w:numId w:val="2"/>
        </w:numPr>
        <w:spacing w:after="0" w:line="240" w:lineRule="auto"/>
        <w:rPr>
          <w:rFonts w:ascii="Verdana" w:eastAsia="Times New Roman" w:hAnsi="Verdana"/>
          <w:sz w:val="20"/>
          <w:szCs w:val="20"/>
          <w:lang w:val="en-US"/>
        </w:rPr>
      </w:pPr>
      <w:r w:rsidRPr="0013363D">
        <w:rPr>
          <w:rFonts w:ascii="Verdana" w:eastAsia="Times New Roman" w:hAnsi="Verdana"/>
          <w:sz w:val="20"/>
          <w:szCs w:val="20"/>
          <w:lang w:val="en-US"/>
        </w:rPr>
        <w:t xml:space="preserve">The average </w:t>
      </w:r>
      <w:proofErr w:type="spellStart"/>
      <w:r w:rsidRPr="0013363D">
        <w:rPr>
          <w:rFonts w:ascii="Verdana" w:eastAsia="Times New Roman" w:hAnsi="Verdana"/>
          <w:sz w:val="20"/>
          <w:szCs w:val="20"/>
          <w:lang w:val="en-US"/>
        </w:rPr>
        <w:t>annualised</w:t>
      </w:r>
      <w:proofErr w:type="spellEnd"/>
      <w:r w:rsidRPr="0013363D">
        <w:rPr>
          <w:rFonts w:ascii="Verdana" w:eastAsia="Times New Roman" w:hAnsi="Verdana"/>
          <w:sz w:val="20"/>
          <w:szCs w:val="20"/>
          <w:lang w:val="en-US"/>
        </w:rPr>
        <w:t xml:space="preserve"> return was similar for periods of rand strength (13.1% p.a.) and rand weakness (12.3% p.a.).</w:t>
      </w:r>
    </w:p>
    <w:p w14:paraId="50105BEF" w14:textId="77777777" w:rsidR="0013363D" w:rsidRPr="0013363D" w:rsidRDefault="0013363D" w:rsidP="0013363D">
      <w:pPr>
        <w:pStyle w:val="ListParagraph"/>
        <w:numPr>
          <w:ilvl w:val="1"/>
          <w:numId w:val="2"/>
        </w:numPr>
        <w:spacing w:after="0" w:line="240" w:lineRule="auto"/>
        <w:rPr>
          <w:rFonts w:ascii="Verdana" w:eastAsia="Times New Roman" w:hAnsi="Verdana"/>
          <w:sz w:val="20"/>
          <w:szCs w:val="20"/>
          <w:lang w:val="en-US"/>
        </w:rPr>
      </w:pPr>
      <w:r w:rsidRPr="0013363D">
        <w:rPr>
          <w:rFonts w:ascii="Verdana" w:eastAsia="Times New Roman" w:hAnsi="Verdana"/>
          <w:sz w:val="20"/>
          <w:szCs w:val="20"/>
          <w:lang w:val="en-US"/>
        </w:rPr>
        <w:t>Many investors would have expected a lower return for investments made following periods of rand strength, but they forget that the performance of the hard currency asset also matters.</w:t>
      </w:r>
    </w:p>
    <w:p w14:paraId="1EA3B206" w14:textId="77777777" w:rsidR="0013363D" w:rsidRPr="0013363D" w:rsidRDefault="0013363D" w:rsidP="0013363D">
      <w:pPr>
        <w:pStyle w:val="ListParagraph"/>
        <w:numPr>
          <w:ilvl w:val="1"/>
          <w:numId w:val="2"/>
        </w:numPr>
        <w:spacing w:after="0" w:line="240" w:lineRule="auto"/>
        <w:rPr>
          <w:rFonts w:ascii="Verdana" w:eastAsia="Times New Roman" w:hAnsi="Verdana"/>
          <w:sz w:val="20"/>
          <w:szCs w:val="20"/>
          <w:lang w:val="en-US"/>
        </w:rPr>
      </w:pPr>
      <w:r w:rsidRPr="0013363D">
        <w:rPr>
          <w:rFonts w:ascii="Verdana" w:eastAsia="Times New Roman" w:hAnsi="Verdana"/>
          <w:sz w:val="20"/>
          <w:szCs w:val="20"/>
          <w:lang w:val="en-US"/>
        </w:rPr>
        <w:t>This result suggests that the exchange rate entry point is not as material a consideration as many investors may think.</w:t>
      </w:r>
    </w:p>
    <w:p w14:paraId="08F14DA0" w14:textId="77777777" w:rsidR="0013363D" w:rsidRPr="0013363D" w:rsidRDefault="0013363D" w:rsidP="0013363D">
      <w:pPr>
        <w:pStyle w:val="ListParagraph"/>
        <w:numPr>
          <w:ilvl w:val="0"/>
          <w:numId w:val="2"/>
        </w:numPr>
        <w:spacing w:after="0" w:line="240" w:lineRule="auto"/>
        <w:rPr>
          <w:rFonts w:ascii="Verdana" w:eastAsia="Times New Roman" w:hAnsi="Verdana"/>
          <w:sz w:val="20"/>
          <w:szCs w:val="20"/>
          <w:lang w:val="en-US"/>
        </w:rPr>
      </w:pPr>
      <w:r w:rsidRPr="0013363D">
        <w:rPr>
          <w:rFonts w:ascii="Verdana" w:eastAsia="Times New Roman" w:hAnsi="Verdana"/>
          <w:sz w:val="20"/>
          <w:szCs w:val="20"/>
          <w:lang w:val="en-US"/>
        </w:rPr>
        <w:t xml:space="preserve">The maximum annual return was also very similar (18.2% for periods when investments were made following rand strength and 17.5% when it weakened). </w:t>
      </w:r>
    </w:p>
    <w:p w14:paraId="2C3BA481" w14:textId="77777777" w:rsidR="0013363D" w:rsidRPr="0013363D" w:rsidRDefault="0013363D" w:rsidP="0013363D">
      <w:pPr>
        <w:pStyle w:val="ListParagraph"/>
        <w:numPr>
          <w:ilvl w:val="1"/>
          <w:numId w:val="2"/>
        </w:numPr>
        <w:spacing w:after="0" w:line="240" w:lineRule="auto"/>
        <w:rPr>
          <w:rFonts w:ascii="Verdana" w:eastAsia="Times New Roman" w:hAnsi="Verdana"/>
          <w:sz w:val="20"/>
          <w:szCs w:val="20"/>
          <w:lang w:val="en-US"/>
        </w:rPr>
      </w:pPr>
      <w:r w:rsidRPr="0013363D">
        <w:rPr>
          <w:rFonts w:ascii="Verdana" w:eastAsia="Times New Roman" w:hAnsi="Verdana"/>
          <w:sz w:val="20"/>
          <w:szCs w:val="20"/>
          <w:lang w:val="en-US"/>
        </w:rPr>
        <w:t>Again, many would have expected more material outperformance for investments made following periods of rand weakness.</w:t>
      </w:r>
    </w:p>
    <w:p w14:paraId="0722B73E" w14:textId="77777777" w:rsidR="0013363D" w:rsidRPr="0013363D" w:rsidRDefault="0013363D" w:rsidP="0013363D">
      <w:pPr>
        <w:pStyle w:val="ListParagraph"/>
        <w:numPr>
          <w:ilvl w:val="0"/>
          <w:numId w:val="2"/>
        </w:numPr>
        <w:spacing w:after="0" w:line="240" w:lineRule="auto"/>
        <w:rPr>
          <w:rFonts w:ascii="Verdana" w:eastAsia="Times New Roman" w:hAnsi="Verdana"/>
          <w:sz w:val="20"/>
          <w:szCs w:val="20"/>
          <w:lang w:val="en-US"/>
        </w:rPr>
      </w:pPr>
      <w:r w:rsidRPr="0013363D">
        <w:rPr>
          <w:rFonts w:ascii="Verdana" w:eastAsia="Times New Roman" w:hAnsi="Verdana"/>
          <w:sz w:val="20"/>
          <w:szCs w:val="20"/>
          <w:lang w:val="en-US"/>
        </w:rPr>
        <w:t xml:space="preserve">The difference in the minimum annual return was more meaningful. But even at -6% following a period of rand strength, this is not a significantly negative number or </w:t>
      </w:r>
      <w:r w:rsidRPr="0013363D">
        <w:rPr>
          <w:rFonts w:ascii="Verdana" w:eastAsia="Times New Roman" w:hAnsi="Verdana"/>
          <w:sz w:val="20"/>
          <w:szCs w:val="20"/>
          <w:lang w:val="en-US"/>
        </w:rPr>
        <w:lastRenderedPageBreak/>
        <w:t>cause for concern for a growth-oriented investor. The minimum return following a period of rand weakness was -12.3%. This is somewhat surprising but coinciding with the 2022 bear market in global equities, where the MSCI All Country World Index was down 18.4% (US dollar). So, even though the rand depreciated by more than 6% against the dollar over the year, it could not protect investors fully from the collapse in global equity prices.</w:t>
      </w:r>
    </w:p>
    <w:bookmarkEnd w:id="0"/>
    <w:p w14:paraId="59DC78D9" w14:textId="77777777" w:rsidR="0013363D" w:rsidRPr="0013363D" w:rsidRDefault="0013363D" w:rsidP="0013363D">
      <w:pPr>
        <w:rPr>
          <w:rFonts w:ascii="Verdana" w:hAnsi="Verdana"/>
          <w:sz w:val="20"/>
          <w:szCs w:val="20"/>
        </w:rPr>
      </w:pPr>
    </w:p>
    <w:p w14:paraId="7A1506ED" w14:textId="77777777" w:rsidR="0013363D" w:rsidRPr="0013363D" w:rsidRDefault="0013363D" w:rsidP="0013363D">
      <w:pPr>
        <w:rPr>
          <w:rFonts w:ascii="Verdana" w:hAnsi="Verdana"/>
          <w:b/>
          <w:bCs/>
          <w:sz w:val="20"/>
          <w:szCs w:val="20"/>
        </w:rPr>
      </w:pPr>
      <w:r w:rsidRPr="0013363D">
        <w:rPr>
          <w:rFonts w:ascii="Verdana" w:hAnsi="Verdana"/>
          <w:b/>
          <w:bCs/>
          <w:sz w:val="20"/>
          <w:szCs w:val="20"/>
        </w:rPr>
        <w:t xml:space="preserve">Why this may be the </w:t>
      </w:r>
      <w:proofErr w:type="gramStart"/>
      <w:r w:rsidRPr="0013363D">
        <w:rPr>
          <w:rFonts w:ascii="Verdana" w:hAnsi="Verdana"/>
          <w:b/>
          <w:bCs/>
          <w:sz w:val="20"/>
          <w:szCs w:val="20"/>
        </w:rPr>
        <w:t>case</w:t>
      </w:r>
      <w:proofErr w:type="gramEnd"/>
    </w:p>
    <w:p w14:paraId="13B7BA18" w14:textId="77777777" w:rsidR="0013363D" w:rsidRPr="0013363D" w:rsidRDefault="0013363D" w:rsidP="0013363D">
      <w:pPr>
        <w:rPr>
          <w:rFonts w:ascii="Verdana" w:hAnsi="Verdana"/>
          <w:sz w:val="20"/>
          <w:szCs w:val="20"/>
        </w:rPr>
      </w:pPr>
    </w:p>
    <w:p w14:paraId="0A6AF846" w14:textId="77777777" w:rsidR="0013363D" w:rsidRPr="0013363D" w:rsidRDefault="0013363D" w:rsidP="0013363D">
      <w:pPr>
        <w:rPr>
          <w:rFonts w:ascii="Verdana" w:hAnsi="Verdana"/>
          <w:sz w:val="20"/>
          <w:szCs w:val="20"/>
        </w:rPr>
      </w:pPr>
      <w:r w:rsidRPr="0013363D">
        <w:rPr>
          <w:rFonts w:ascii="Verdana" w:hAnsi="Verdana"/>
          <w:sz w:val="20"/>
          <w:szCs w:val="20"/>
        </w:rPr>
        <w:t>The rand tends to be a risk-on/risk-off currency (</w:t>
      </w:r>
      <w:proofErr w:type="gramStart"/>
      <w:r w:rsidRPr="0013363D">
        <w:rPr>
          <w:rFonts w:ascii="Verdana" w:hAnsi="Verdana"/>
          <w:sz w:val="20"/>
          <w:szCs w:val="20"/>
        </w:rPr>
        <w:t>i.e.</w:t>
      </w:r>
      <w:proofErr w:type="gramEnd"/>
      <w:r w:rsidRPr="0013363D">
        <w:rPr>
          <w:rFonts w:ascii="Verdana" w:hAnsi="Verdana"/>
          <w:sz w:val="20"/>
          <w:szCs w:val="20"/>
        </w:rPr>
        <w:t xml:space="preserve"> a cyclical asset). Simplistically, in a risk-on environment, investors switch exposure from developed markets (DMs) to emerging markets (EMs), depressing DM asset prices and strengthening EM asset prices and currencies like the rand. In a risk-off environment, the reverse is true, with investors moving their allocation back to DM assets, resulting in a weakening rand, which then acts as a ‘shock absorber’ for an offshore investment.</w:t>
      </w:r>
    </w:p>
    <w:p w14:paraId="44C348D5" w14:textId="77777777" w:rsidR="0013363D" w:rsidRPr="0013363D" w:rsidRDefault="0013363D" w:rsidP="0013363D">
      <w:pPr>
        <w:rPr>
          <w:rFonts w:ascii="Verdana" w:hAnsi="Verdana"/>
          <w:sz w:val="20"/>
          <w:szCs w:val="20"/>
        </w:rPr>
      </w:pPr>
    </w:p>
    <w:p w14:paraId="12CDDE16" w14:textId="77777777" w:rsidR="0013363D" w:rsidRPr="0013363D" w:rsidRDefault="0013363D" w:rsidP="0013363D">
      <w:pPr>
        <w:rPr>
          <w:rFonts w:ascii="Verdana" w:hAnsi="Verdana"/>
          <w:sz w:val="20"/>
          <w:szCs w:val="20"/>
        </w:rPr>
      </w:pPr>
      <w:r w:rsidRPr="0013363D">
        <w:rPr>
          <w:rFonts w:ascii="Verdana" w:hAnsi="Verdana"/>
          <w:sz w:val="20"/>
          <w:szCs w:val="20"/>
        </w:rPr>
        <w:t>So, what the rand may give you in terms of a potential offshore investment entry point, offshore asset valuations (and asset price momentum) tend to take away, and vice versa.</w:t>
      </w:r>
    </w:p>
    <w:p w14:paraId="7ECDA923" w14:textId="77777777" w:rsidR="0013363D" w:rsidRPr="0013363D" w:rsidRDefault="0013363D" w:rsidP="0013363D">
      <w:pPr>
        <w:rPr>
          <w:rFonts w:ascii="Verdana" w:hAnsi="Verdana"/>
          <w:sz w:val="20"/>
          <w:szCs w:val="20"/>
        </w:rPr>
      </w:pPr>
    </w:p>
    <w:p w14:paraId="32DE97EE" w14:textId="77777777" w:rsidR="0013363D" w:rsidRPr="0013363D" w:rsidRDefault="0013363D" w:rsidP="0013363D">
      <w:pPr>
        <w:rPr>
          <w:rFonts w:ascii="Verdana" w:hAnsi="Verdana"/>
          <w:sz w:val="20"/>
          <w:szCs w:val="20"/>
        </w:rPr>
      </w:pPr>
      <w:r w:rsidRPr="0013363D">
        <w:rPr>
          <w:rFonts w:ascii="Verdana" w:hAnsi="Verdana"/>
          <w:sz w:val="20"/>
          <w:szCs w:val="20"/>
        </w:rPr>
        <w:t xml:space="preserve">When investing offshore, we would therefore argue that investors take a longer-term view and look past the shorter-term movements of the currency. Where investors choose to invest is therefore more important than short-term currency fluctuations. The majority of South Africans investing offshore should look to global equities or high-equity global multi-asset solutions with long-term track records that have proven their mettle through investment cycles. </w:t>
      </w:r>
    </w:p>
    <w:p w14:paraId="207754D0" w14:textId="77777777" w:rsidR="0013363D" w:rsidRPr="0013363D" w:rsidRDefault="0013363D" w:rsidP="0013363D">
      <w:pPr>
        <w:rPr>
          <w:rFonts w:ascii="Verdana" w:hAnsi="Verdana"/>
          <w:sz w:val="20"/>
          <w:szCs w:val="20"/>
        </w:rPr>
      </w:pPr>
    </w:p>
    <w:p w14:paraId="75328046" w14:textId="77777777" w:rsidR="00AB3127" w:rsidRPr="0013363D" w:rsidRDefault="00AB3127">
      <w:pPr>
        <w:rPr>
          <w:rFonts w:ascii="Verdana" w:hAnsi="Verdana"/>
          <w:sz w:val="20"/>
          <w:szCs w:val="20"/>
        </w:rPr>
      </w:pPr>
    </w:p>
    <w:sectPr w:rsidR="00AB3127" w:rsidRPr="001336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0DAA" w14:textId="77777777" w:rsidR="0013363D" w:rsidRDefault="0013363D" w:rsidP="0013363D">
      <w:r>
        <w:separator/>
      </w:r>
    </w:p>
  </w:endnote>
  <w:endnote w:type="continuationSeparator" w:id="0">
    <w:p w14:paraId="509F7D1E" w14:textId="77777777" w:rsidR="0013363D" w:rsidRDefault="0013363D" w:rsidP="0013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ova">
    <w:altName w:val="Arial Nova"/>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B9FA3" w14:textId="77777777" w:rsidR="0013363D" w:rsidRDefault="0013363D" w:rsidP="0013363D">
      <w:r>
        <w:separator/>
      </w:r>
    </w:p>
  </w:footnote>
  <w:footnote w:type="continuationSeparator" w:id="0">
    <w:p w14:paraId="786350D2" w14:textId="77777777" w:rsidR="0013363D" w:rsidRDefault="0013363D" w:rsidP="0013363D">
      <w:r>
        <w:continuationSeparator/>
      </w:r>
    </w:p>
  </w:footnote>
  <w:footnote w:id="1">
    <w:p w14:paraId="1CFD70C1" w14:textId="77777777" w:rsidR="0013363D" w:rsidRDefault="0013363D" w:rsidP="0013363D">
      <w:pPr>
        <w:pStyle w:val="FootnoteText"/>
        <w:rPr>
          <w:rFonts w:ascii="Arial Nova" w:hAnsi="Arial Nova"/>
          <w:sz w:val="18"/>
          <w:szCs w:val="18"/>
          <w:lang w:val="en-US"/>
        </w:rPr>
      </w:pPr>
      <w:r>
        <w:rPr>
          <w:rStyle w:val="FootnoteReference"/>
          <w:rFonts w:ascii="Arial Nova" w:hAnsi="Arial Nova"/>
          <w:sz w:val="18"/>
          <w:szCs w:val="18"/>
          <w:lang w:val="en-US"/>
        </w:rPr>
        <w:t>[1]</w:t>
      </w:r>
      <w:r>
        <w:rPr>
          <w:rFonts w:ascii="Arial Nova" w:hAnsi="Arial Nova"/>
          <w:sz w:val="18"/>
          <w:szCs w:val="18"/>
          <w:lang w:val="en-US"/>
        </w:rPr>
        <w:t xml:space="preserve">Fund launch date: 4 July 2009.  Performance is based on the UK-domiciled Global Select Equity Fund from 10 April 2007 which then merged into the Luxembourg-domiciled Global Franchise Fund on 4 July 2009. Performance prior to 4 July 2009 has been simulated.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A0EAE"/>
    <w:multiLevelType w:val="hybridMultilevel"/>
    <w:tmpl w:val="527CB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705D7FF4"/>
    <w:multiLevelType w:val="hybridMultilevel"/>
    <w:tmpl w:val="260869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720053793">
    <w:abstractNumId w:val="1"/>
    <w:lvlOverride w:ilvl="0"/>
    <w:lvlOverride w:ilvl="1"/>
    <w:lvlOverride w:ilvl="2"/>
    <w:lvlOverride w:ilvl="3"/>
    <w:lvlOverride w:ilvl="4"/>
    <w:lvlOverride w:ilvl="5"/>
    <w:lvlOverride w:ilvl="6"/>
    <w:lvlOverride w:ilvl="7"/>
    <w:lvlOverride w:ilvl="8"/>
  </w:num>
  <w:num w:numId="2" w16cid:durableId="76087506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3D"/>
    <w:rsid w:val="0013363D"/>
    <w:rsid w:val="00AB31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E377"/>
  <w15:chartTrackingRefBased/>
  <w15:docId w15:val="{06B5EEA3-36E0-48DB-BEC6-0FFB6FE6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63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363D"/>
    <w:rPr>
      <w:color w:val="0563C1"/>
      <w:u w:val="single"/>
    </w:rPr>
  </w:style>
  <w:style w:type="paragraph" w:styleId="FootnoteText">
    <w:name w:val="footnote text"/>
    <w:basedOn w:val="Normal"/>
    <w:link w:val="FootnoteTextChar"/>
    <w:uiPriority w:val="99"/>
    <w:semiHidden/>
    <w:unhideWhenUsed/>
    <w:rsid w:val="0013363D"/>
    <w:rPr>
      <w:sz w:val="20"/>
      <w:szCs w:val="20"/>
    </w:rPr>
  </w:style>
  <w:style w:type="character" w:customStyle="1" w:styleId="FootnoteTextChar">
    <w:name w:val="Footnote Text Char"/>
    <w:basedOn w:val="DefaultParagraphFont"/>
    <w:link w:val="FootnoteText"/>
    <w:uiPriority w:val="99"/>
    <w:semiHidden/>
    <w:rsid w:val="0013363D"/>
    <w:rPr>
      <w:rFonts w:ascii="Calibri" w:hAnsi="Calibri" w:cs="Calibri"/>
      <w:sz w:val="20"/>
      <w:szCs w:val="20"/>
    </w:rPr>
  </w:style>
  <w:style w:type="paragraph" w:styleId="ListParagraph">
    <w:name w:val="List Paragraph"/>
    <w:basedOn w:val="Normal"/>
    <w:uiPriority w:val="34"/>
    <w:qFormat/>
    <w:rsid w:val="0013363D"/>
    <w:pPr>
      <w:spacing w:after="160" w:line="252" w:lineRule="auto"/>
      <w:ind w:left="720"/>
      <w:contextualSpacing/>
    </w:pPr>
  </w:style>
  <w:style w:type="paragraph" w:customStyle="1" w:styleId="xmsonormal">
    <w:name w:val="x_msonormal"/>
    <w:basedOn w:val="Normal"/>
    <w:rsid w:val="0013363D"/>
  </w:style>
  <w:style w:type="character" w:styleId="FootnoteReference">
    <w:name w:val="footnote reference"/>
    <w:basedOn w:val="DefaultParagraphFont"/>
    <w:uiPriority w:val="99"/>
    <w:semiHidden/>
    <w:unhideWhenUsed/>
    <w:rsid w:val="001336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01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9510A.ED6321C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2.png@01D95101.85733F40"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ninetyone.com/en/south-africa/funds-strategies/funds/global-franchise-a-acc-usd-lu04264129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4781</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2023-03-08T04:38:00Z</dcterms:created>
  <dcterms:modified xsi:type="dcterms:W3CDTF">2023-03-08T04:39:00Z</dcterms:modified>
</cp:coreProperties>
</file>