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41762" w14:textId="77777777" w:rsidR="00382ADA" w:rsidRDefault="00AB5637">
      <w:r>
        <w:rPr>
          <w:rFonts w:ascii="Verdana" w:hAnsi="Verdana"/>
          <w:noProof/>
          <w:lang w:eastAsia="en-ZA"/>
        </w:rPr>
        <w:drawing>
          <wp:inline distT="0" distB="0" distL="0" distR="0" wp14:anchorId="540417E4" wp14:editId="6D4ECA21">
            <wp:extent cx="3878001" cy="819150"/>
            <wp:effectExtent l="0" t="0" r="8255"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8113" cy="819174"/>
                    </a:xfrm>
                    <a:prstGeom prst="rect">
                      <a:avLst/>
                    </a:prstGeom>
                    <a:noFill/>
                    <a:ln>
                      <a:noFill/>
                    </a:ln>
                  </pic:spPr>
                </pic:pic>
              </a:graphicData>
            </a:graphic>
          </wp:inline>
        </w:drawing>
      </w:r>
    </w:p>
    <w:p w14:paraId="54041764" w14:textId="1F476E6E" w:rsidR="00AB5637" w:rsidRPr="00A06583" w:rsidRDefault="008C19C4" w:rsidP="00467DA9">
      <w:pPr>
        <w:pStyle w:val="Heading1"/>
        <w:spacing w:before="0" w:after="0" w:line="36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3C6031">
        <w:rPr>
          <w:rFonts w:ascii="Verdana" w:hAnsi="Verdana"/>
          <w:sz w:val="24"/>
          <w:szCs w:val="24"/>
        </w:rPr>
        <w:t>3</w:t>
      </w:r>
      <w:r w:rsidR="00F70B89">
        <w:rPr>
          <w:rFonts w:ascii="Verdana" w:hAnsi="Verdana"/>
          <w:sz w:val="24"/>
          <w:szCs w:val="24"/>
        </w:rPr>
        <w:t>1</w:t>
      </w:r>
      <w:r w:rsidR="00B47480">
        <w:rPr>
          <w:rFonts w:ascii="Verdana" w:hAnsi="Verdana"/>
          <w:sz w:val="24"/>
          <w:szCs w:val="24"/>
        </w:rPr>
        <w:t xml:space="preserve"> </w:t>
      </w:r>
      <w:r w:rsidR="00F70B89">
        <w:rPr>
          <w:rFonts w:ascii="Verdana" w:hAnsi="Verdana"/>
          <w:sz w:val="24"/>
          <w:szCs w:val="24"/>
        </w:rPr>
        <w:t>Dec</w:t>
      </w:r>
      <w:r w:rsidR="00D653E2">
        <w:rPr>
          <w:rFonts w:ascii="Verdana" w:hAnsi="Verdana"/>
          <w:sz w:val="24"/>
          <w:szCs w:val="24"/>
        </w:rPr>
        <w:t>ember</w:t>
      </w:r>
      <w:r w:rsidR="00870751">
        <w:rPr>
          <w:rFonts w:ascii="Verdana" w:hAnsi="Verdana"/>
          <w:sz w:val="24"/>
          <w:szCs w:val="24"/>
        </w:rPr>
        <w:t xml:space="preserve"> 20</w:t>
      </w:r>
      <w:r w:rsidR="00863949">
        <w:rPr>
          <w:rFonts w:ascii="Verdana" w:hAnsi="Verdana"/>
          <w:sz w:val="24"/>
          <w:szCs w:val="24"/>
        </w:rPr>
        <w:t>2</w:t>
      </w:r>
      <w:r w:rsidR="002F5364">
        <w:rPr>
          <w:rFonts w:ascii="Verdana" w:hAnsi="Verdana"/>
          <w:sz w:val="24"/>
          <w:szCs w:val="24"/>
        </w:rPr>
        <w:t>1</w:t>
      </w:r>
    </w:p>
    <w:p w14:paraId="54041766" w14:textId="77777777" w:rsidR="00AB5637" w:rsidRPr="00F7786F" w:rsidRDefault="00AB5637" w:rsidP="00467DA9">
      <w:pPr>
        <w:pStyle w:val="Heading1"/>
        <w:spacing w:before="0" w:after="0" w:line="360" w:lineRule="atLeast"/>
        <w:rPr>
          <w:rFonts w:ascii="Verdana" w:hAnsi="Verdana"/>
          <w:b w:val="0"/>
          <w:sz w:val="22"/>
          <w:szCs w:val="22"/>
        </w:rPr>
      </w:pPr>
      <w:r w:rsidRPr="00F7786F">
        <w:rPr>
          <w:rFonts w:ascii="Verdana" w:hAnsi="Verdana"/>
          <w:sz w:val="22"/>
          <w:szCs w:val="22"/>
        </w:rPr>
        <w:t>Mike Brown, Managing Director, etfSA.co.za</w:t>
      </w:r>
    </w:p>
    <w:p w14:paraId="70EF2D12" w14:textId="7A010DF8" w:rsidR="00F70B89" w:rsidRDefault="00F70B89" w:rsidP="001976A7">
      <w:pPr>
        <w:spacing w:after="0" w:line="320" w:lineRule="atLeast"/>
        <w:jc w:val="both"/>
        <w:rPr>
          <w:rFonts w:ascii="Verdana" w:hAnsi="Verdan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51"/>
        <w:gridCol w:w="7146"/>
      </w:tblGrid>
      <w:tr w:rsidR="005509A2" w14:paraId="1F965989" w14:textId="77777777" w:rsidTr="00A92F14">
        <w:tc>
          <w:tcPr>
            <w:tcW w:w="3544" w:type="dxa"/>
            <w:vAlign w:val="center"/>
          </w:tcPr>
          <w:p w14:paraId="7AAB780B" w14:textId="15A3D19D" w:rsidR="00DF3BA1" w:rsidRDefault="00DF3BA1" w:rsidP="00A92F14">
            <w:pPr>
              <w:spacing w:line="360" w:lineRule="atLeast"/>
              <w:rPr>
                <w:rFonts w:ascii="Verdana" w:hAnsi="Verdana"/>
                <w:sz w:val="21"/>
                <w:szCs w:val="21"/>
              </w:rPr>
            </w:pPr>
            <w:r>
              <w:rPr>
                <w:rFonts w:ascii="Verdana" w:hAnsi="Verdana"/>
                <w:sz w:val="21"/>
                <w:szCs w:val="21"/>
              </w:rPr>
              <w:t>At the end of 2021, the total market capitalisation (AUM) of the entire South African ETF and ETN industry, stood at R136 049 million, an increase of 22,5% on the R111 026 million, at the end of 2020.</w:t>
            </w:r>
          </w:p>
        </w:tc>
        <w:tc>
          <w:tcPr>
            <w:tcW w:w="284" w:type="dxa"/>
          </w:tcPr>
          <w:p w14:paraId="1F293369" w14:textId="6ED72F79" w:rsidR="005509A2" w:rsidRDefault="005509A2" w:rsidP="00467DA9">
            <w:pPr>
              <w:spacing w:line="360" w:lineRule="atLeast"/>
              <w:jc w:val="both"/>
              <w:rPr>
                <w:rFonts w:ascii="Verdana" w:hAnsi="Verdana"/>
                <w:sz w:val="21"/>
                <w:szCs w:val="21"/>
              </w:rPr>
            </w:pPr>
          </w:p>
        </w:tc>
        <w:tc>
          <w:tcPr>
            <w:tcW w:w="6083" w:type="dxa"/>
          </w:tcPr>
          <w:p w14:paraId="0AA60EE7" w14:textId="77462CBE" w:rsidR="00467DA9" w:rsidRDefault="00DF3BA1" w:rsidP="00DF3BA1">
            <w:pPr>
              <w:spacing w:line="360" w:lineRule="atLeast"/>
              <w:jc w:val="center"/>
              <w:rPr>
                <w:rFonts w:ascii="Verdana" w:hAnsi="Verdana"/>
                <w:sz w:val="21"/>
                <w:szCs w:val="21"/>
              </w:rPr>
            </w:pPr>
            <w:r>
              <w:rPr>
                <w:noProof/>
              </w:rPr>
              <w:drawing>
                <wp:inline distT="0" distB="0" distL="0" distR="0" wp14:anchorId="5A2F6B8F" wp14:editId="1E7DFAB6">
                  <wp:extent cx="4387850" cy="2908300"/>
                  <wp:effectExtent l="0" t="0" r="12700" b="6350"/>
                  <wp:docPr id="2" name="Chart 2">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601F2344" w14:textId="5D489CDA" w:rsidR="00AE1262" w:rsidRDefault="00A92F14" w:rsidP="007F439B">
      <w:pPr>
        <w:spacing w:before="120" w:after="0" w:line="340" w:lineRule="atLeast"/>
        <w:jc w:val="both"/>
        <w:rPr>
          <w:rFonts w:ascii="Verdana" w:hAnsi="Verdana"/>
          <w:sz w:val="21"/>
          <w:szCs w:val="21"/>
        </w:rPr>
      </w:pPr>
      <w:r>
        <w:rPr>
          <w:rFonts w:ascii="Verdana" w:hAnsi="Verdana"/>
          <w:sz w:val="21"/>
          <w:szCs w:val="21"/>
        </w:rPr>
        <w:t xml:space="preserve">The </w:t>
      </w:r>
      <w:r w:rsidR="006607FA">
        <w:rPr>
          <w:rFonts w:ascii="Verdana" w:hAnsi="Verdana"/>
          <w:sz w:val="21"/>
          <w:szCs w:val="21"/>
        </w:rPr>
        <w:t xml:space="preserve">2021 </w:t>
      </w:r>
      <w:r>
        <w:rPr>
          <w:rFonts w:ascii="Verdana" w:hAnsi="Verdana"/>
          <w:sz w:val="21"/>
          <w:szCs w:val="21"/>
        </w:rPr>
        <w:t>growth of the index tracking exchange traded products, listed on the JSE, was propelled largely by the good returns on the global and local equity markets, which raised the market capitalisation of leading companies and assets covered by the ETP portfolios</w:t>
      </w:r>
      <w:r w:rsidR="00D1779C">
        <w:rPr>
          <w:rFonts w:ascii="Verdana" w:hAnsi="Verdana"/>
          <w:sz w:val="21"/>
          <w:szCs w:val="21"/>
        </w:rPr>
        <w:t xml:space="preserve">.  However, there </w:t>
      </w:r>
      <w:r w:rsidR="00864626">
        <w:rPr>
          <w:rFonts w:ascii="Verdana" w:hAnsi="Verdana"/>
          <w:sz w:val="21"/>
          <w:szCs w:val="21"/>
        </w:rPr>
        <w:t xml:space="preserve">was </w:t>
      </w:r>
      <w:r w:rsidR="00D1779C">
        <w:rPr>
          <w:rFonts w:ascii="Verdana" w:hAnsi="Verdana"/>
          <w:sz w:val="21"/>
          <w:szCs w:val="21"/>
        </w:rPr>
        <w:t xml:space="preserve">also </w:t>
      </w:r>
      <w:r w:rsidR="00864626">
        <w:rPr>
          <w:rFonts w:ascii="Verdana" w:hAnsi="Verdana"/>
          <w:sz w:val="21"/>
          <w:szCs w:val="21"/>
        </w:rPr>
        <w:t>some new capital raised by new and existing ETPs, which are open-ended and can increase or decrease capital in issue a</w:t>
      </w:r>
      <w:r w:rsidR="006607FA">
        <w:rPr>
          <w:rFonts w:ascii="Verdana" w:hAnsi="Verdana"/>
          <w:sz w:val="21"/>
          <w:szCs w:val="21"/>
        </w:rPr>
        <w:t>t</w:t>
      </w:r>
      <w:r w:rsidR="00864626">
        <w:rPr>
          <w:rFonts w:ascii="Verdana" w:hAnsi="Verdana"/>
          <w:sz w:val="21"/>
          <w:szCs w:val="21"/>
        </w:rPr>
        <w:t xml:space="preserve"> any time.  A total R5 195,8 million new capital was raised in 2021 in this manner. </w:t>
      </w:r>
    </w:p>
    <w:p w14:paraId="14FE0CB9" w14:textId="77777777" w:rsidR="000871E0" w:rsidRDefault="00864626" w:rsidP="007F439B">
      <w:pPr>
        <w:spacing w:before="120" w:after="0" w:line="340" w:lineRule="atLeast"/>
        <w:jc w:val="both"/>
        <w:rPr>
          <w:rFonts w:ascii="Verdana" w:hAnsi="Verdana"/>
          <w:sz w:val="21"/>
          <w:szCs w:val="21"/>
        </w:rPr>
      </w:pPr>
      <w:r>
        <w:rPr>
          <w:rFonts w:ascii="Verdana" w:hAnsi="Verdana"/>
          <w:sz w:val="21"/>
          <w:szCs w:val="21"/>
        </w:rPr>
        <w:t xml:space="preserve">The number of ETFs and ETNs in issue grew from 137 at end-December 2020 to 168 at end of 2021.  </w:t>
      </w:r>
    </w:p>
    <w:p w14:paraId="0D00D63E" w14:textId="2B37C144" w:rsidR="00864626" w:rsidRDefault="00864626" w:rsidP="007F439B">
      <w:pPr>
        <w:spacing w:before="120" w:after="0" w:line="340" w:lineRule="atLeast"/>
        <w:jc w:val="both"/>
        <w:rPr>
          <w:rFonts w:ascii="Verdana" w:hAnsi="Verdana"/>
          <w:sz w:val="21"/>
          <w:szCs w:val="21"/>
        </w:rPr>
      </w:pPr>
      <w:r>
        <w:rPr>
          <w:rFonts w:ascii="Verdana" w:hAnsi="Verdana"/>
          <w:sz w:val="21"/>
          <w:szCs w:val="21"/>
        </w:rPr>
        <w:t xml:space="preserve">There has been a consistent rise in the number of ETPs in issue on the Johannesburg Stock Exchange (JSE) over the past three years, as shown in the table below. </w:t>
      </w:r>
    </w:p>
    <w:p w14:paraId="7D5C0AF0" w14:textId="77777777" w:rsidR="00864626" w:rsidRDefault="00864626" w:rsidP="007F439B">
      <w:pPr>
        <w:spacing w:after="0" w:line="240" w:lineRule="auto"/>
        <w:rPr>
          <w:rFonts w:ascii="Verdana" w:hAnsi="Verdana"/>
          <w:color w:val="000000"/>
          <w:sz w:val="21"/>
          <w:szCs w:val="21"/>
        </w:rPr>
      </w:pPr>
    </w:p>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134"/>
        <w:gridCol w:w="1134"/>
        <w:gridCol w:w="1134"/>
      </w:tblGrid>
      <w:tr w:rsidR="00864626" w:rsidRPr="00AB6CBE" w14:paraId="5E920EE9" w14:textId="55E31FB4" w:rsidTr="00363CC2">
        <w:tc>
          <w:tcPr>
            <w:tcW w:w="7654" w:type="dxa"/>
            <w:gridSpan w:val="4"/>
            <w:shd w:val="clear" w:color="auto" w:fill="C00000"/>
          </w:tcPr>
          <w:p w14:paraId="102C3DA2" w14:textId="77777777" w:rsidR="00864626" w:rsidRDefault="00864626" w:rsidP="007F439B">
            <w:pPr>
              <w:spacing w:before="40" w:after="0" w:line="280" w:lineRule="atLeast"/>
              <w:jc w:val="center"/>
              <w:rPr>
                <w:rFonts w:ascii="Verdana" w:hAnsi="Verdana"/>
                <w:b/>
                <w:color w:val="FFFFFF"/>
                <w:sz w:val="18"/>
                <w:szCs w:val="18"/>
              </w:rPr>
            </w:pPr>
            <w:r>
              <w:rPr>
                <w:rFonts w:ascii="Verdana" w:hAnsi="Verdana"/>
                <w:b/>
                <w:color w:val="FFFFFF"/>
                <w:sz w:val="18"/>
                <w:szCs w:val="18"/>
              </w:rPr>
              <w:t>Number of Products in Issue</w:t>
            </w:r>
          </w:p>
          <w:p w14:paraId="05442957" w14:textId="0C451A44" w:rsidR="00864626" w:rsidRDefault="00864626" w:rsidP="007F439B">
            <w:pPr>
              <w:spacing w:before="40" w:after="0" w:line="280" w:lineRule="atLeast"/>
              <w:jc w:val="center"/>
              <w:rPr>
                <w:rFonts w:ascii="Verdana" w:hAnsi="Verdana"/>
                <w:b/>
                <w:color w:val="FFFFFF"/>
                <w:sz w:val="18"/>
                <w:szCs w:val="18"/>
              </w:rPr>
            </w:pPr>
            <w:r>
              <w:rPr>
                <w:rFonts w:ascii="Verdana" w:hAnsi="Verdana"/>
                <w:b/>
                <w:color w:val="FFFFFF"/>
                <w:sz w:val="18"/>
                <w:szCs w:val="18"/>
              </w:rPr>
              <w:t>(end of period)</w:t>
            </w:r>
          </w:p>
        </w:tc>
      </w:tr>
      <w:tr w:rsidR="00864626" w:rsidRPr="00AB6CBE" w14:paraId="5E335D24" w14:textId="22F2A621" w:rsidTr="00864626">
        <w:trPr>
          <w:trHeight w:val="360"/>
        </w:trPr>
        <w:tc>
          <w:tcPr>
            <w:tcW w:w="4252" w:type="dxa"/>
            <w:shd w:val="clear" w:color="auto" w:fill="4C4C4C"/>
          </w:tcPr>
          <w:p w14:paraId="2452FC21" w14:textId="0DC60BE0" w:rsidR="00864626" w:rsidRPr="003B4F95" w:rsidRDefault="00864626" w:rsidP="007F439B">
            <w:pPr>
              <w:spacing w:before="40" w:after="0" w:line="280" w:lineRule="atLeast"/>
              <w:rPr>
                <w:rFonts w:ascii="Verdana" w:hAnsi="Verdana"/>
                <w:b/>
                <w:color w:val="FFFFFF"/>
                <w:sz w:val="18"/>
                <w:szCs w:val="18"/>
              </w:rPr>
            </w:pPr>
          </w:p>
        </w:tc>
        <w:tc>
          <w:tcPr>
            <w:tcW w:w="1134" w:type="dxa"/>
            <w:shd w:val="clear" w:color="auto" w:fill="4C4C4C"/>
            <w:vAlign w:val="center"/>
          </w:tcPr>
          <w:p w14:paraId="1E9F3EA7" w14:textId="487726A1" w:rsidR="00864626" w:rsidRPr="003B4F95" w:rsidRDefault="00864626" w:rsidP="007F439B">
            <w:pPr>
              <w:spacing w:before="40" w:after="0" w:line="280" w:lineRule="atLeast"/>
              <w:jc w:val="right"/>
              <w:rPr>
                <w:rFonts w:ascii="Verdana" w:hAnsi="Verdana"/>
                <w:b/>
                <w:color w:val="FFFFFF"/>
                <w:sz w:val="18"/>
                <w:szCs w:val="18"/>
              </w:rPr>
            </w:pPr>
            <w:r>
              <w:rPr>
                <w:rFonts w:ascii="Verdana" w:hAnsi="Verdana"/>
                <w:b/>
                <w:color w:val="FFFFFF"/>
                <w:sz w:val="18"/>
                <w:szCs w:val="18"/>
              </w:rPr>
              <w:t>2019</w:t>
            </w:r>
          </w:p>
        </w:tc>
        <w:tc>
          <w:tcPr>
            <w:tcW w:w="1134" w:type="dxa"/>
            <w:shd w:val="clear" w:color="auto" w:fill="4C4C4C"/>
          </w:tcPr>
          <w:p w14:paraId="4A76A27D" w14:textId="6BA03EB6" w:rsidR="00864626" w:rsidRPr="003B4F95" w:rsidRDefault="00864626" w:rsidP="007F439B">
            <w:pPr>
              <w:spacing w:before="40" w:after="0" w:line="280" w:lineRule="atLeast"/>
              <w:jc w:val="right"/>
              <w:rPr>
                <w:rFonts w:ascii="Verdana" w:hAnsi="Verdana"/>
                <w:b/>
                <w:color w:val="FFFFFF"/>
                <w:sz w:val="18"/>
                <w:szCs w:val="18"/>
              </w:rPr>
            </w:pPr>
            <w:r>
              <w:rPr>
                <w:rFonts w:ascii="Verdana" w:hAnsi="Verdana"/>
                <w:b/>
                <w:color w:val="FFFFFF"/>
                <w:sz w:val="18"/>
                <w:szCs w:val="18"/>
              </w:rPr>
              <w:t>2020</w:t>
            </w:r>
          </w:p>
        </w:tc>
        <w:tc>
          <w:tcPr>
            <w:tcW w:w="1134" w:type="dxa"/>
            <w:shd w:val="clear" w:color="auto" w:fill="4C4C4C"/>
          </w:tcPr>
          <w:p w14:paraId="51DC0A51" w14:textId="24DE7AAC" w:rsidR="00864626" w:rsidRPr="003B4F95" w:rsidRDefault="00864626" w:rsidP="007F439B">
            <w:pPr>
              <w:spacing w:before="40" w:after="0" w:line="280" w:lineRule="atLeast"/>
              <w:jc w:val="right"/>
              <w:rPr>
                <w:rFonts w:ascii="Verdana" w:hAnsi="Verdana"/>
                <w:b/>
                <w:color w:val="FFFFFF"/>
                <w:sz w:val="18"/>
                <w:szCs w:val="18"/>
              </w:rPr>
            </w:pPr>
            <w:r>
              <w:rPr>
                <w:rFonts w:ascii="Verdana" w:hAnsi="Verdana"/>
                <w:b/>
                <w:color w:val="FFFFFF"/>
                <w:sz w:val="18"/>
                <w:szCs w:val="18"/>
              </w:rPr>
              <w:t>2021</w:t>
            </w:r>
          </w:p>
        </w:tc>
      </w:tr>
      <w:tr w:rsidR="00864626" w:rsidRPr="00AB6CBE" w14:paraId="3B4023C8" w14:textId="0184A676" w:rsidTr="00864626">
        <w:tc>
          <w:tcPr>
            <w:tcW w:w="4252" w:type="dxa"/>
            <w:shd w:val="clear" w:color="auto" w:fill="auto"/>
          </w:tcPr>
          <w:p w14:paraId="6B7A4E9C" w14:textId="277B8983" w:rsidR="00864626" w:rsidRDefault="00864626" w:rsidP="007F439B">
            <w:pPr>
              <w:spacing w:before="40" w:after="0" w:line="280" w:lineRule="atLeast"/>
              <w:rPr>
                <w:rFonts w:ascii="Verdana" w:hAnsi="Verdana"/>
                <w:color w:val="000000"/>
                <w:sz w:val="18"/>
                <w:szCs w:val="18"/>
              </w:rPr>
            </w:pPr>
            <w:r>
              <w:rPr>
                <w:rFonts w:ascii="Verdana" w:hAnsi="Verdana"/>
                <w:color w:val="000000"/>
                <w:sz w:val="18"/>
                <w:szCs w:val="18"/>
              </w:rPr>
              <w:t>Exchange Traded Funds (ETFs)</w:t>
            </w:r>
          </w:p>
        </w:tc>
        <w:tc>
          <w:tcPr>
            <w:tcW w:w="1134" w:type="dxa"/>
            <w:vAlign w:val="center"/>
          </w:tcPr>
          <w:p w14:paraId="4E26A2CB" w14:textId="75D02326" w:rsidR="00864626" w:rsidRDefault="000871E0" w:rsidP="007F439B">
            <w:pPr>
              <w:spacing w:before="40" w:after="0" w:line="280" w:lineRule="atLeast"/>
              <w:jc w:val="right"/>
              <w:rPr>
                <w:rFonts w:ascii="Verdana" w:hAnsi="Verdana"/>
                <w:color w:val="000000"/>
                <w:sz w:val="18"/>
                <w:szCs w:val="18"/>
              </w:rPr>
            </w:pPr>
            <w:r>
              <w:rPr>
                <w:rFonts w:ascii="Verdana" w:hAnsi="Verdana"/>
                <w:color w:val="000000"/>
                <w:sz w:val="18"/>
                <w:szCs w:val="18"/>
              </w:rPr>
              <w:t>73</w:t>
            </w:r>
          </w:p>
        </w:tc>
        <w:tc>
          <w:tcPr>
            <w:tcW w:w="1134" w:type="dxa"/>
          </w:tcPr>
          <w:p w14:paraId="103BE996" w14:textId="489EDCD1" w:rsidR="00864626" w:rsidRDefault="000871E0" w:rsidP="007F439B">
            <w:pPr>
              <w:spacing w:before="40" w:after="0" w:line="280" w:lineRule="atLeast"/>
              <w:jc w:val="right"/>
              <w:rPr>
                <w:rFonts w:ascii="Verdana" w:hAnsi="Verdana"/>
                <w:color w:val="000000"/>
                <w:sz w:val="18"/>
                <w:szCs w:val="18"/>
              </w:rPr>
            </w:pPr>
            <w:r>
              <w:rPr>
                <w:rFonts w:ascii="Verdana" w:hAnsi="Verdana"/>
                <w:color w:val="000000"/>
                <w:sz w:val="18"/>
                <w:szCs w:val="18"/>
              </w:rPr>
              <w:t>78</w:t>
            </w:r>
          </w:p>
        </w:tc>
        <w:tc>
          <w:tcPr>
            <w:tcW w:w="1134" w:type="dxa"/>
          </w:tcPr>
          <w:p w14:paraId="58F2B8F5" w14:textId="356BE9F9" w:rsidR="00864626" w:rsidRDefault="000871E0" w:rsidP="007F439B">
            <w:pPr>
              <w:spacing w:before="40" w:after="0" w:line="280" w:lineRule="atLeast"/>
              <w:jc w:val="right"/>
              <w:rPr>
                <w:rFonts w:ascii="Verdana" w:hAnsi="Verdana"/>
                <w:color w:val="000000"/>
                <w:sz w:val="18"/>
                <w:szCs w:val="18"/>
              </w:rPr>
            </w:pPr>
            <w:r>
              <w:rPr>
                <w:rFonts w:ascii="Verdana" w:hAnsi="Verdana"/>
                <w:color w:val="000000"/>
                <w:sz w:val="18"/>
                <w:szCs w:val="18"/>
              </w:rPr>
              <w:t>86</w:t>
            </w:r>
          </w:p>
        </w:tc>
      </w:tr>
      <w:tr w:rsidR="00864626" w:rsidRPr="00AB6CBE" w14:paraId="48722548" w14:textId="77777777" w:rsidTr="00864626">
        <w:tc>
          <w:tcPr>
            <w:tcW w:w="4252" w:type="dxa"/>
            <w:shd w:val="clear" w:color="auto" w:fill="auto"/>
          </w:tcPr>
          <w:p w14:paraId="1E32FD64" w14:textId="6636F67D" w:rsidR="00864626" w:rsidRDefault="00864626" w:rsidP="007F439B">
            <w:pPr>
              <w:spacing w:before="40" w:after="0" w:line="280" w:lineRule="atLeast"/>
              <w:rPr>
                <w:rFonts w:ascii="Verdana" w:hAnsi="Verdana"/>
                <w:color w:val="000000"/>
                <w:sz w:val="18"/>
                <w:szCs w:val="18"/>
              </w:rPr>
            </w:pPr>
            <w:r>
              <w:rPr>
                <w:rFonts w:ascii="Verdana" w:hAnsi="Verdana"/>
                <w:color w:val="000000"/>
                <w:sz w:val="18"/>
                <w:szCs w:val="18"/>
              </w:rPr>
              <w:t>Exchange Traded Notes (ETNs)</w:t>
            </w:r>
          </w:p>
        </w:tc>
        <w:tc>
          <w:tcPr>
            <w:tcW w:w="1134" w:type="dxa"/>
            <w:vAlign w:val="center"/>
          </w:tcPr>
          <w:p w14:paraId="252FB581" w14:textId="7FB13605" w:rsidR="00864626" w:rsidRDefault="000871E0" w:rsidP="007F439B">
            <w:pPr>
              <w:spacing w:before="40" w:after="0" w:line="280" w:lineRule="atLeast"/>
              <w:jc w:val="right"/>
              <w:rPr>
                <w:rFonts w:ascii="Verdana" w:hAnsi="Verdana"/>
                <w:color w:val="000000"/>
                <w:sz w:val="18"/>
                <w:szCs w:val="18"/>
              </w:rPr>
            </w:pPr>
            <w:r>
              <w:rPr>
                <w:rFonts w:ascii="Verdana" w:hAnsi="Verdana"/>
                <w:color w:val="000000"/>
                <w:sz w:val="18"/>
                <w:szCs w:val="18"/>
              </w:rPr>
              <w:t>29</w:t>
            </w:r>
          </w:p>
        </w:tc>
        <w:tc>
          <w:tcPr>
            <w:tcW w:w="1134" w:type="dxa"/>
          </w:tcPr>
          <w:p w14:paraId="3252D6FA" w14:textId="79B30C64" w:rsidR="00864626" w:rsidRDefault="000871E0" w:rsidP="007F439B">
            <w:pPr>
              <w:spacing w:before="40" w:after="0" w:line="280" w:lineRule="atLeast"/>
              <w:jc w:val="right"/>
              <w:rPr>
                <w:rFonts w:ascii="Verdana" w:hAnsi="Verdana"/>
                <w:color w:val="000000"/>
                <w:sz w:val="18"/>
                <w:szCs w:val="18"/>
              </w:rPr>
            </w:pPr>
            <w:r>
              <w:rPr>
                <w:rFonts w:ascii="Verdana" w:hAnsi="Verdana"/>
                <w:color w:val="000000"/>
                <w:sz w:val="18"/>
                <w:szCs w:val="18"/>
              </w:rPr>
              <w:t>59</w:t>
            </w:r>
          </w:p>
        </w:tc>
        <w:tc>
          <w:tcPr>
            <w:tcW w:w="1134" w:type="dxa"/>
          </w:tcPr>
          <w:p w14:paraId="2F0E08BE" w14:textId="6007C267" w:rsidR="00864626" w:rsidRDefault="000871E0" w:rsidP="007F439B">
            <w:pPr>
              <w:spacing w:before="40" w:after="0" w:line="280" w:lineRule="atLeast"/>
              <w:jc w:val="right"/>
              <w:rPr>
                <w:rFonts w:ascii="Verdana" w:hAnsi="Verdana"/>
                <w:color w:val="000000"/>
                <w:sz w:val="18"/>
                <w:szCs w:val="18"/>
              </w:rPr>
            </w:pPr>
            <w:r>
              <w:rPr>
                <w:rFonts w:ascii="Verdana" w:hAnsi="Verdana"/>
                <w:color w:val="000000"/>
                <w:sz w:val="18"/>
                <w:szCs w:val="18"/>
              </w:rPr>
              <w:t>82</w:t>
            </w:r>
          </w:p>
        </w:tc>
      </w:tr>
      <w:tr w:rsidR="00864626" w:rsidRPr="00864626" w14:paraId="2A49D0FF" w14:textId="77777777" w:rsidTr="00864626">
        <w:tc>
          <w:tcPr>
            <w:tcW w:w="4252" w:type="dxa"/>
            <w:shd w:val="clear" w:color="auto" w:fill="auto"/>
          </w:tcPr>
          <w:p w14:paraId="5184F8F0" w14:textId="0CDA3BE0" w:rsidR="00864626" w:rsidRPr="00864626" w:rsidRDefault="000871E0" w:rsidP="007F439B">
            <w:pPr>
              <w:spacing w:before="40" w:after="0" w:line="280" w:lineRule="atLeast"/>
              <w:rPr>
                <w:rFonts w:ascii="Verdana" w:hAnsi="Verdana"/>
                <w:b/>
                <w:bCs/>
                <w:color w:val="000000"/>
                <w:sz w:val="18"/>
                <w:szCs w:val="18"/>
              </w:rPr>
            </w:pPr>
            <w:r>
              <w:rPr>
                <w:rFonts w:ascii="Verdana" w:hAnsi="Verdana"/>
                <w:b/>
                <w:bCs/>
                <w:color w:val="000000"/>
                <w:sz w:val="18"/>
                <w:szCs w:val="18"/>
              </w:rPr>
              <w:t>Total</w:t>
            </w:r>
          </w:p>
        </w:tc>
        <w:tc>
          <w:tcPr>
            <w:tcW w:w="1134" w:type="dxa"/>
            <w:vAlign w:val="center"/>
          </w:tcPr>
          <w:p w14:paraId="754EE32E" w14:textId="1B8465A7" w:rsidR="00864626" w:rsidRPr="00864626" w:rsidRDefault="000871E0" w:rsidP="007F439B">
            <w:pPr>
              <w:spacing w:before="40" w:after="0" w:line="280" w:lineRule="atLeast"/>
              <w:jc w:val="right"/>
              <w:rPr>
                <w:rFonts w:ascii="Verdana" w:hAnsi="Verdana"/>
                <w:b/>
                <w:bCs/>
                <w:color w:val="000000"/>
                <w:sz w:val="18"/>
                <w:szCs w:val="18"/>
              </w:rPr>
            </w:pPr>
            <w:r>
              <w:rPr>
                <w:rFonts w:ascii="Verdana" w:hAnsi="Verdana"/>
                <w:b/>
                <w:bCs/>
                <w:color w:val="000000"/>
                <w:sz w:val="18"/>
                <w:szCs w:val="18"/>
              </w:rPr>
              <w:t>102</w:t>
            </w:r>
          </w:p>
        </w:tc>
        <w:tc>
          <w:tcPr>
            <w:tcW w:w="1134" w:type="dxa"/>
          </w:tcPr>
          <w:p w14:paraId="6E6E4D4D" w14:textId="21A1141C" w:rsidR="00864626" w:rsidRPr="00864626" w:rsidRDefault="000871E0" w:rsidP="007F439B">
            <w:pPr>
              <w:spacing w:before="40" w:after="0" w:line="280" w:lineRule="atLeast"/>
              <w:jc w:val="right"/>
              <w:rPr>
                <w:rFonts w:ascii="Verdana" w:hAnsi="Verdana"/>
                <w:b/>
                <w:bCs/>
                <w:color w:val="000000"/>
                <w:sz w:val="18"/>
                <w:szCs w:val="18"/>
              </w:rPr>
            </w:pPr>
            <w:r>
              <w:rPr>
                <w:rFonts w:ascii="Verdana" w:hAnsi="Verdana"/>
                <w:b/>
                <w:bCs/>
                <w:color w:val="000000"/>
                <w:sz w:val="18"/>
                <w:szCs w:val="18"/>
              </w:rPr>
              <w:t>137</w:t>
            </w:r>
          </w:p>
        </w:tc>
        <w:tc>
          <w:tcPr>
            <w:tcW w:w="1134" w:type="dxa"/>
          </w:tcPr>
          <w:p w14:paraId="18986AE7" w14:textId="69E62F35" w:rsidR="00864626" w:rsidRPr="00864626" w:rsidRDefault="000871E0" w:rsidP="007F439B">
            <w:pPr>
              <w:spacing w:before="40" w:after="0" w:line="280" w:lineRule="atLeast"/>
              <w:jc w:val="right"/>
              <w:rPr>
                <w:rFonts w:ascii="Verdana" w:hAnsi="Verdana"/>
                <w:b/>
                <w:bCs/>
                <w:color w:val="000000"/>
                <w:sz w:val="18"/>
                <w:szCs w:val="18"/>
              </w:rPr>
            </w:pPr>
            <w:r>
              <w:rPr>
                <w:rFonts w:ascii="Verdana" w:hAnsi="Verdana"/>
                <w:b/>
                <w:bCs/>
                <w:color w:val="000000"/>
                <w:sz w:val="18"/>
                <w:szCs w:val="18"/>
              </w:rPr>
              <w:t>168</w:t>
            </w:r>
          </w:p>
        </w:tc>
      </w:tr>
    </w:tbl>
    <w:p w14:paraId="3F0CE191" w14:textId="3FEBDC33" w:rsidR="007520C0" w:rsidRDefault="00F4332E" w:rsidP="00F4332E">
      <w:pPr>
        <w:spacing w:before="120" w:after="0" w:line="340" w:lineRule="atLeast"/>
        <w:jc w:val="both"/>
        <w:rPr>
          <w:rFonts w:ascii="Verdana" w:hAnsi="Verdana"/>
          <w:sz w:val="21"/>
          <w:szCs w:val="21"/>
        </w:rPr>
      </w:pPr>
      <w:r>
        <w:rPr>
          <w:rFonts w:ascii="Verdana" w:hAnsi="Verdana"/>
          <w:sz w:val="21"/>
          <w:szCs w:val="21"/>
        </w:rPr>
        <w:t>The local ETP industry has continued to be innovative in finding new tracker products to list on the local exchange.  A feature of the past two years has been the increase in the number of Exchange Traded Notes (ETNs) now in issue, which has grown from 29 in 2019 to 82 today.</w:t>
      </w:r>
    </w:p>
    <w:p w14:paraId="566B59CE" w14:textId="77777777" w:rsidR="007520C0" w:rsidRDefault="007520C0">
      <w:pPr>
        <w:rPr>
          <w:rFonts w:ascii="Verdana" w:hAnsi="Verdana"/>
          <w:sz w:val="21"/>
          <w:szCs w:val="21"/>
        </w:rPr>
      </w:pPr>
      <w:r>
        <w:rPr>
          <w:rFonts w:ascii="Verdana" w:hAnsi="Verdana"/>
          <w:sz w:val="21"/>
          <w:szCs w:val="21"/>
        </w:rPr>
        <w:br w:type="page"/>
      </w:r>
    </w:p>
    <w:p w14:paraId="52F9457E" w14:textId="21014360" w:rsidR="000871E0" w:rsidRDefault="000871E0" w:rsidP="00307DE7">
      <w:pPr>
        <w:spacing w:after="0" w:line="240" w:lineRule="auto"/>
        <w:jc w:val="both"/>
        <w:rPr>
          <w:rFonts w:ascii="Verdana" w:hAnsi="Verdana"/>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813"/>
      </w:tblGrid>
      <w:tr w:rsidR="007520C0" w14:paraId="588F03F8" w14:textId="77777777" w:rsidTr="001F137C">
        <w:tc>
          <w:tcPr>
            <w:tcW w:w="4815" w:type="dxa"/>
          </w:tcPr>
          <w:p w14:paraId="6460D268" w14:textId="3BE68C49" w:rsidR="007520C0" w:rsidRDefault="007520C0" w:rsidP="00307DE7">
            <w:pPr>
              <w:spacing w:before="120" w:line="340" w:lineRule="atLeast"/>
              <w:jc w:val="both"/>
              <w:rPr>
                <w:rFonts w:ascii="Verdana" w:hAnsi="Verdana"/>
                <w:sz w:val="21"/>
                <w:szCs w:val="21"/>
              </w:rPr>
            </w:pPr>
            <w:r>
              <w:rPr>
                <w:rFonts w:ascii="Verdana" w:hAnsi="Verdana"/>
                <w:sz w:val="21"/>
                <w:szCs w:val="21"/>
              </w:rPr>
              <w:t xml:space="preserve">ETNs offer greater flexibility than ETFs in that: </w:t>
            </w:r>
          </w:p>
          <w:p w14:paraId="7174CC6D" w14:textId="77777777" w:rsidR="007520C0" w:rsidRDefault="007520C0" w:rsidP="00307DE7">
            <w:pPr>
              <w:pStyle w:val="ListParagraph"/>
              <w:numPr>
                <w:ilvl w:val="0"/>
                <w:numId w:val="24"/>
              </w:numPr>
              <w:spacing w:before="120" w:line="340" w:lineRule="atLeast"/>
              <w:ind w:left="357" w:hanging="357"/>
              <w:jc w:val="both"/>
              <w:rPr>
                <w:rFonts w:ascii="Verdana" w:hAnsi="Verdana"/>
                <w:sz w:val="21"/>
                <w:szCs w:val="21"/>
              </w:rPr>
            </w:pPr>
            <w:r w:rsidRPr="00C849A0">
              <w:rPr>
                <w:rFonts w:ascii="Verdana" w:hAnsi="Verdana"/>
                <w:sz w:val="21"/>
                <w:szCs w:val="21"/>
              </w:rPr>
              <w:t xml:space="preserve">they can allow for actively managed as well as index tracking portfolios; </w:t>
            </w:r>
          </w:p>
          <w:p w14:paraId="122A13A0" w14:textId="276C379E" w:rsidR="007520C0" w:rsidRDefault="007520C0" w:rsidP="00307DE7">
            <w:pPr>
              <w:pStyle w:val="ListParagraph"/>
              <w:numPr>
                <w:ilvl w:val="0"/>
                <w:numId w:val="24"/>
              </w:numPr>
              <w:spacing w:before="120" w:line="340" w:lineRule="atLeast"/>
              <w:ind w:left="357" w:hanging="357"/>
              <w:jc w:val="both"/>
              <w:rPr>
                <w:rFonts w:ascii="Verdana" w:hAnsi="Verdana"/>
                <w:sz w:val="21"/>
                <w:szCs w:val="21"/>
              </w:rPr>
            </w:pPr>
            <w:r w:rsidRPr="007520C0">
              <w:rPr>
                <w:rFonts w:ascii="Verdana" w:hAnsi="Verdana"/>
                <w:sz w:val="21"/>
                <w:szCs w:val="21"/>
              </w:rPr>
              <w:t>they are cheaper to list and operate than ETFs; they do not require 100% physical cover for the indices they track and so allow for quantitative technologies which can track indices without having to fully replicate them</w:t>
            </w:r>
            <w:r>
              <w:rPr>
                <w:rFonts w:ascii="Verdana" w:hAnsi="Verdana"/>
                <w:sz w:val="21"/>
                <w:szCs w:val="21"/>
              </w:rPr>
              <w:t>; and</w:t>
            </w:r>
          </w:p>
          <w:p w14:paraId="145DC6E4" w14:textId="7AF7017F" w:rsidR="007520C0" w:rsidRPr="007520C0" w:rsidRDefault="007520C0" w:rsidP="00307DE7">
            <w:pPr>
              <w:pStyle w:val="ListParagraph"/>
              <w:numPr>
                <w:ilvl w:val="0"/>
                <w:numId w:val="24"/>
              </w:numPr>
              <w:spacing w:before="120" w:line="340" w:lineRule="atLeast"/>
              <w:ind w:left="357" w:hanging="357"/>
              <w:jc w:val="both"/>
              <w:rPr>
                <w:rFonts w:ascii="Verdana" w:hAnsi="Verdana"/>
                <w:sz w:val="21"/>
                <w:szCs w:val="21"/>
              </w:rPr>
            </w:pPr>
            <w:r w:rsidRPr="00C849A0">
              <w:rPr>
                <w:rFonts w:ascii="Verdana" w:hAnsi="Verdana"/>
                <w:sz w:val="21"/>
                <w:szCs w:val="21"/>
              </w:rPr>
              <w:t>they rely on the “guarantee” of the issuer company to provide the full return of the index being tracked</w:t>
            </w:r>
            <w:r w:rsidR="00307DE7">
              <w:rPr>
                <w:rFonts w:ascii="Verdana" w:hAnsi="Verdana"/>
                <w:sz w:val="21"/>
                <w:szCs w:val="21"/>
              </w:rPr>
              <w:t xml:space="preserve">, rather than physically holding the index constituent assets. </w:t>
            </w:r>
          </w:p>
        </w:tc>
        <w:tc>
          <w:tcPr>
            <w:tcW w:w="283" w:type="dxa"/>
          </w:tcPr>
          <w:p w14:paraId="6CA3E3C1" w14:textId="16A0AEC1" w:rsidR="007520C0" w:rsidRDefault="001F137C" w:rsidP="00307DE7">
            <w:pPr>
              <w:spacing w:before="120" w:line="340" w:lineRule="atLeast"/>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79744" behindDoc="0" locked="0" layoutInCell="1" allowOverlap="1" wp14:anchorId="0312DE40" wp14:editId="323EFA24">
                      <wp:simplePos x="0" y="0"/>
                      <wp:positionH relativeFrom="column">
                        <wp:posOffset>46355</wp:posOffset>
                      </wp:positionH>
                      <wp:positionV relativeFrom="paragraph">
                        <wp:posOffset>148590</wp:posOffset>
                      </wp:positionV>
                      <wp:extent cx="19050" cy="32385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 cy="32385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DFF07"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1.7pt" to="5.15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" strokecolor="#c00000" strokeweight=".5pt">
                      <v:stroke joinstyle="miter"/>
                    </v:line>
                  </w:pict>
                </mc:Fallback>
              </mc:AlternateContent>
            </w:r>
          </w:p>
        </w:tc>
        <w:tc>
          <w:tcPr>
            <w:tcW w:w="4813" w:type="dxa"/>
          </w:tcPr>
          <w:p w14:paraId="32E0D06F" w14:textId="620B9DAF" w:rsidR="007520C0" w:rsidRDefault="001F137C" w:rsidP="00307DE7">
            <w:pPr>
              <w:spacing w:before="120" w:line="340" w:lineRule="atLeast"/>
              <w:jc w:val="both"/>
              <w:rPr>
                <w:rFonts w:ascii="Verdana" w:hAnsi="Verdana"/>
                <w:sz w:val="21"/>
                <w:szCs w:val="21"/>
              </w:rPr>
            </w:pPr>
            <w:r>
              <w:rPr>
                <w:rFonts w:ascii="Verdana" w:hAnsi="Verdana"/>
                <w:sz w:val="21"/>
                <w:szCs w:val="21"/>
              </w:rPr>
              <w:t xml:space="preserve">However, the creditworthiness of the issuer of the Exchange Traded Note has to be taken into account.  To date in South Africa, only blue chip local banks and the Union Bank of Switzerland (UBS) have issued ETNs and all have strong credit ratings. </w:t>
            </w:r>
          </w:p>
          <w:p w14:paraId="66655587" w14:textId="2457C23A" w:rsidR="001F137C" w:rsidRDefault="001F137C" w:rsidP="00307DE7">
            <w:pPr>
              <w:spacing w:before="120" w:line="340" w:lineRule="atLeast"/>
              <w:jc w:val="both"/>
              <w:rPr>
                <w:rFonts w:ascii="Verdana" w:hAnsi="Verdana"/>
                <w:sz w:val="21"/>
                <w:szCs w:val="21"/>
              </w:rPr>
            </w:pPr>
            <w:r>
              <w:rPr>
                <w:rFonts w:ascii="Verdana" w:hAnsi="Verdana"/>
                <w:sz w:val="21"/>
                <w:szCs w:val="21"/>
              </w:rPr>
              <w:t xml:space="preserve">Public acceptance of ETNs has been slow, mainly because they do not fully replicate indices, as in the in case of ETFs, and accordingly, are regarded by many as “more risky”.  </w:t>
            </w:r>
            <w:r w:rsidR="00DB77B9">
              <w:rPr>
                <w:rFonts w:ascii="Verdana" w:hAnsi="Verdana"/>
                <w:sz w:val="21"/>
                <w:szCs w:val="21"/>
              </w:rPr>
              <w:t xml:space="preserve">They are also not allowed as investments in tax-free accounts, and some portfolio mandates also restrict investment in ETNs. </w:t>
            </w:r>
          </w:p>
        </w:tc>
      </w:tr>
    </w:tbl>
    <w:p w14:paraId="59320C8E" w14:textId="77777777" w:rsidR="007520C0" w:rsidRDefault="007520C0" w:rsidP="00307DE7">
      <w:pPr>
        <w:spacing w:after="0" w:line="240" w:lineRule="auto"/>
        <w:jc w:val="both"/>
        <w:rPr>
          <w:rFonts w:ascii="Verdana" w:hAnsi="Verdana"/>
          <w:sz w:val="21"/>
          <w:szCs w:val="21"/>
        </w:rPr>
      </w:pPr>
    </w:p>
    <w:p w14:paraId="175F8A2F" w14:textId="49BFE47B" w:rsidR="00F2662C" w:rsidRDefault="00784C81" w:rsidP="00307DE7">
      <w:pPr>
        <w:spacing w:after="0" w:line="240" w:lineRule="auto"/>
        <w:jc w:val="both"/>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62336" behindDoc="0" locked="0" layoutInCell="1" allowOverlap="1" wp14:anchorId="2E263F76" wp14:editId="278BD6E5">
                <wp:simplePos x="0" y="0"/>
                <wp:positionH relativeFrom="margin">
                  <wp:posOffset>130810</wp:posOffset>
                </wp:positionH>
                <wp:positionV relativeFrom="paragraph">
                  <wp:posOffset>74930</wp:posOffset>
                </wp:positionV>
                <wp:extent cx="5962650" cy="44450"/>
                <wp:effectExtent l="0" t="0" r="19050" b="31750"/>
                <wp:wrapNone/>
                <wp:docPr id="5" name="Straight Connector 5"/>
                <wp:cNvGraphicFramePr/>
                <a:graphic xmlns:a="http://schemas.openxmlformats.org/drawingml/2006/main">
                  <a:graphicData uri="http://schemas.microsoft.com/office/word/2010/wordprocessingShape">
                    <wps:wsp>
                      <wps:cNvCnPr/>
                      <wps:spPr>
                        <a:xfrm flipH="1">
                          <a:off x="0" y="0"/>
                          <a:ext cx="5962650" cy="4445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E1AE0" id="Straight Connector 5" o:spid="_x0000_s1026" style="position:absolute;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pt,5.9pt" to="479.8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" strokecolor="#c00000">
                <v:stroke joinstyle="miter"/>
                <w10:wrap anchorx="margin"/>
              </v:line>
            </w:pict>
          </mc:Fallback>
        </mc:AlternateContent>
      </w:r>
    </w:p>
    <w:p w14:paraId="226B7314" w14:textId="77777777" w:rsidR="004F60D3" w:rsidRDefault="004F60D3" w:rsidP="00307DE7">
      <w:pPr>
        <w:spacing w:after="0" w:line="240" w:lineRule="auto"/>
        <w:jc w:val="both"/>
        <w:rPr>
          <w:rFonts w:ascii="Verdana" w:hAnsi="Verdana"/>
          <w:color w:val="000000" w:themeColor="text1"/>
          <w:sz w:val="21"/>
          <w:szCs w:val="21"/>
        </w:rPr>
      </w:pPr>
    </w:p>
    <w:p w14:paraId="0F2A783F" w14:textId="77777777" w:rsidR="004F60D3" w:rsidRPr="003A3D19" w:rsidRDefault="004F60D3" w:rsidP="004F60D3">
      <w:pPr>
        <w:spacing w:after="120" w:line="340" w:lineRule="atLeast"/>
        <w:jc w:val="both"/>
        <w:rPr>
          <w:rFonts w:ascii="Verdana" w:hAnsi="Verdana"/>
          <w:b/>
          <w:color w:val="C00000"/>
          <w:sz w:val="24"/>
          <w:szCs w:val="24"/>
        </w:rPr>
      </w:pPr>
      <w:r>
        <w:rPr>
          <w:rFonts w:ascii="Verdana" w:hAnsi="Verdana"/>
          <w:b/>
          <w:color w:val="C00000"/>
          <w:sz w:val="24"/>
          <w:szCs w:val="24"/>
        </w:rPr>
        <w:t>New Capital Raised</w:t>
      </w:r>
    </w:p>
    <w:p w14:paraId="6B53C248" w14:textId="492D645E" w:rsidR="004F60D3" w:rsidRDefault="004F60D3" w:rsidP="001F137C">
      <w:pPr>
        <w:spacing w:after="0" w:line="360" w:lineRule="atLeast"/>
        <w:jc w:val="both"/>
        <w:rPr>
          <w:rFonts w:ascii="Verdana" w:hAnsi="Verdana"/>
          <w:color w:val="000000"/>
          <w:sz w:val="21"/>
          <w:szCs w:val="21"/>
        </w:rPr>
      </w:pPr>
      <w:r>
        <w:rPr>
          <w:rFonts w:ascii="Verdana" w:hAnsi="Verdana"/>
          <w:color w:val="000000"/>
          <w:sz w:val="21"/>
          <w:szCs w:val="21"/>
        </w:rPr>
        <w:t>The growth of R</w:t>
      </w:r>
      <w:r w:rsidR="00A84E5F">
        <w:rPr>
          <w:rFonts w:ascii="Verdana" w:hAnsi="Verdana"/>
          <w:color w:val="000000"/>
          <w:sz w:val="21"/>
          <w:szCs w:val="21"/>
        </w:rPr>
        <w:t>2</w:t>
      </w:r>
      <w:r>
        <w:rPr>
          <w:rFonts w:ascii="Verdana" w:hAnsi="Verdana"/>
          <w:color w:val="000000"/>
          <w:sz w:val="21"/>
          <w:szCs w:val="21"/>
        </w:rPr>
        <w:t>5 billion in the total market capitalisation of the entire ETP industry during 2021, was due to both growth in the underlying value of the ETPs already in issue, plus incremental capital raised from the new listings or delistings of ETPs, as well as creations or redemptions of ETPs already in issue.  The net new capital raised in 2021 amounted to R5 </w:t>
      </w:r>
      <w:r w:rsidR="00A84E5F">
        <w:rPr>
          <w:rFonts w:ascii="Verdana" w:hAnsi="Verdana"/>
          <w:color w:val="000000"/>
          <w:sz w:val="21"/>
          <w:szCs w:val="21"/>
        </w:rPr>
        <w:t>195</w:t>
      </w:r>
      <w:r>
        <w:rPr>
          <w:rFonts w:ascii="Verdana" w:hAnsi="Verdana"/>
          <w:color w:val="000000"/>
          <w:sz w:val="21"/>
          <w:szCs w:val="21"/>
        </w:rPr>
        <w:t>,</w:t>
      </w:r>
      <w:r w:rsidR="00A84E5F">
        <w:rPr>
          <w:rFonts w:ascii="Verdana" w:hAnsi="Verdana"/>
          <w:color w:val="000000"/>
          <w:sz w:val="21"/>
          <w:szCs w:val="21"/>
        </w:rPr>
        <w:t>8</w:t>
      </w:r>
      <w:r>
        <w:rPr>
          <w:rFonts w:ascii="Verdana" w:hAnsi="Verdana"/>
          <w:color w:val="000000"/>
          <w:sz w:val="21"/>
          <w:szCs w:val="21"/>
        </w:rPr>
        <w:t xml:space="preserve"> million. </w:t>
      </w:r>
    </w:p>
    <w:p w14:paraId="0751233E" w14:textId="77777777" w:rsidR="004F60D3" w:rsidRDefault="004F60D3" w:rsidP="004F60D3">
      <w:pPr>
        <w:spacing w:after="0" w:line="360" w:lineRule="atLeast"/>
        <w:rPr>
          <w:rFonts w:ascii="Verdana" w:hAnsi="Verdana"/>
          <w:color w:val="000000"/>
          <w:sz w:val="21"/>
          <w:szCs w:val="21"/>
        </w:rPr>
      </w:pPr>
    </w:p>
    <w:tbl>
      <w:tblPr>
        <w:tblW w:w="7371"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9"/>
        <w:gridCol w:w="1985"/>
      </w:tblGrid>
      <w:tr w:rsidR="004F60D3" w:rsidRPr="00AB6CBE" w14:paraId="374698FD" w14:textId="77777777" w:rsidTr="005D2AEB">
        <w:tc>
          <w:tcPr>
            <w:tcW w:w="7371" w:type="dxa"/>
            <w:gridSpan w:val="3"/>
            <w:shd w:val="clear" w:color="auto" w:fill="C00000"/>
          </w:tcPr>
          <w:p w14:paraId="4EC1C855" w14:textId="77777777" w:rsidR="004F60D3" w:rsidRDefault="004F60D3" w:rsidP="001F137C">
            <w:pPr>
              <w:spacing w:before="40" w:after="20" w:line="280" w:lineRule="atLeast"/>
              <w:jc w:val="center"/>
              <w:rPr>
                <w:rFonts w:ascii="Verdana" w:hAnsi="Verdana"/>
                <w:b/>
                <w:color w:val="FFFFFF"/>
                <w:sz w:val="18"/>
                <w:szCs w:val="18"/>
              </w:rPr>
            </w:pPr>
            <w:r>
              <w:rPr>
                <w:rFonts w:ascii="Verdana" w:hAnsi="Verdana"/>
                <w:b/>
                <w:color w:val="FFFFFF"/>
                <w:sz w:val="18"/>
                <w:szCs w:val="18"/>
              </w:rPr>
              <w:t>New Capital Raised / Redeemed</w:t>
            </w:r>
          </w:p>
          <w:p w14:paraId="5C8361AA" w14:textId="033D1BFE" w:rsidR="004F60D3" w:rsidRPr="003B4F95" w:rsidRDefault="004F60D3" w:rsidP="001F137C">
            <w:pPr>
              <w:spacing w:before="40" w:after="20" w:line="280" w:lineRule="atLeast"/>
              <w:jc w:val="center"/>
              <w:rPr>
                <w:rFonts w:ascii="Verdana" w:hAnsi="Verdana"/>
                <w:b/>
                <w:color w:val="FFFFFF"/>
                <w:sz w:val="18"/>
                <w:szCs w:val="18"/>
              </w:rPr>
            </w:pPr>
            <w:r>
              <w:rPr>
                <w:rFonts w:ascii="Verdana" w:hAnsi="Verdana"/>
                <w:b/>
                <w:color w:val="FFFFFF"/>
                <w:sz w:val="18"/>
                <w:szCs w:val="18"/>
              </w:rPr>
              <w:t>(1 January - 3</w:t>
            </w:r>
            <w:r w:rsidR="00A84E5F">
              <w:rPr>
                <w:rFonts w:ascii="Verdana" w:hAnsi="Verdana"/>
                <w:b/>
                <w:color w:val="FFFFFF"/>
                <w:sz w:val="18"/>
                <w:szCs w:val="18"/>
              </w:rPr>
              <w:t>1</w:t>
            </w:r>
            <w:r>
              <w:rPr>
                <w:rFonts w:ascii="Verdana" w:hAnsi="Verdana"/>
                <w:b/>
                <w:color w:val="FFFFFF"/>
                <w:sz w:val="18"/>
                <w:szCs w:val="18"/>
              </w:rPr>
              <w:t xml:space="preserve"> </w:t>
            </w:r>
            <w:r w:rsidR="00A84E5F">
              <w:rPr>
                <w:rFonts w:ascii="Verdana" w:hAnsi="Verdana"/>
                <w:b/>
                <w:color w:val="FFFFFF"/>
                <w:sz w:val="18"/>
                <w:szCs w:val="18"/>
              </w:rPr>
              <w:t>Dec</w:t>
            </w:r>
            <w:r>
              <w:rPr>
                <w:rFonts w:ascii="Verdana" w:hAnsi="Verdana"/>
                <w:b/>
                <w:color w:val="FFFFFF"/>
                <w:sz w:val="18"/>
                <w:szCs w:val="18"/>
              </w:rPr>
              <w:t>ember 2021)</w:t>
            </w:r>
            <w:r w:rsidR="00A84E5F">
              <w:rPr>
                <w:rFonts w:ascii="Verdana" w:hAnsi="Verdana"/>
                <w:b/>
                <w:color w:val="FFFFFF"/>
                <w:sz w:val="18"/>
                <w:szCs w:val="18"/>
              </w:rPr>
              <w:t xml:space="preserve"> </w:t>
            </w:r>
            <w:r>
              <w:rPr>
                <w:rFonts w:ascii="Verdana" w:hAnsi="Verdana"/>
                <w:b/>
                <w:color w:val="FFFFFF"/>
                <w:sz w:val="18"/>
                <w:szCs w:val="18"/>
              </w:rPr>
              <w:t>(by Issuing House)</w:t>
            </w:r>
          </w:p>
        </w:tc>
      </w:tr>
      <w:tr w:rsidR="004F60D3" w:rsidRPr="00AB6CBE" w14:paraId="5703AD4C" w14:textId="77777777" w:rsidTr="005D2AEB">
        <w:trPr>
          <w:trHeight w:val="360"/>
        </w:trPr>
        <w:tc>
          <w:tcPr>
            <w:tcW w:w="5386" w:type="dxa"/>
            <w:gridSpan w:val="2"/>
            <w:shd w:val="clear" w:color="auto" w:fill="4C4C4C"/>
          </w:tcPr>
          <w:p w14:paraId="2A6800C5" w14:textId="77777777" w:rsidR="004F60D3" w:rsidRPr="003B4F95" w:rsidRDefault="004F60D3" w:rsidP="001F137C">
            <w:pPr>
              <w:spacing w:before="40" w:after="20" w:line="280" w:lineRule="atLeast"/>
              <w:rPr>
                <w:rFonts w:ascii="Verdana" w:hAnsi="Verdana"/>
                <w:b/>
                <w:color w:val="FFFFFF"/>
                <w:sz w:val="18"/>
                <w:szCs w:val="18"/>
              </w:rPr>
            </w:pPr>
            <w:r>
              <w:rPr>
                <w:rFonts w:ascii="Verdana" w:hAnsi="Verdana"/>
                <w:b/>
                <w:color w:val="FFFFFF"/>
                <w:sz w:val="18"/>
                <w:szCs w:val="18"/>
              </w:rPr>
              <w:t>Issuing Product</w:t>
            </w:r>
          </w:p>
        </w:tc>
        <w:tc>
          <w:tcPr>
            <w:tcW w:w="1985" w:type="dxa"/>
            <w:shd w:val="clear" w:color="auto" w:fill="4C4C4C"/>
            <w:vAlign w:val="center"/>
          </w:tcPr>
          <w:p w14:paraId="72F25DC1" w14:textId="77777777" w:rsidR="004F60D3" w:rsidRPr="003B4F95" w:rsidRDefault="004F60D3" w:rsidP="001F137C">
            <w:pPr>
              <w:spacing w:before="40" w:after="20" w:line="280" w:lineRule="atLeast"/>
              <w:jc w:val="right"/>
              <w:rPr>
                <w:rFonts w:ascii="Verdana" w:hAnsi="Verdana"/>
                <w:b/>
                <w:color w:val="FFFFFF"/>
                <w:sz w:val="18"/>
                <w:szCs w:val="18"/>
              </w:rPr>
            </w:pPr>
            <w:r>
              <w:rPr>
                <w:rFonts w:ascii="Verdana" w:hAnsi="Verdana"/>
                <w:b/>
                <w:color w:val="FFFFFF"/>
                <w:sz w:val="18"/>
                <w:szCs w:val="18"/>
              </w:rPr>
              <w:t>(R million)</w:t>
            </w:r>
          </w:p>
        </w:tc>
      </w:tr>
      <w:tr w:rsidR="004F60D3" w:rsidRPr="00AB6CBE" w14:paraId="4DB4E858" w14:textId="77777777" w:rsidTr="005D2AEB">
        <w:tc>
          <w:tcPr>
            <w:tcW w:w="567" w:type="dxa"/>
            <w:shd w:val="clear" w:color="auto" w:fill="auto"/>
          </w:tcPr>
          <w:p w14:paraId="431C23F0" w14:textId="77777777" w:rsidR="004F60D3" w:rsidRPr="00DD1C15" w:rsidRDefault="004F60D3"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299B742C" w14:textId="77777777" w:rsidR="004F60D3" w:rsidRDefault="004F60D3" w:rsidP="001F137C">
            <w:pPr>
              <w:spacing w:before="40" w:after="20" w:line="280" w:lineRule="atLeast"/>
              <w:rPr>
                <w:rFonts w:ascii="Verdana" w:hAnsi="Verdana"/>
                <w:color w:val="000000"/>
                <w:sz w:val="18"/>
                <w:szCs w:val="18"/>
              </w:rPr>
            </w:pPr>
            <w:r>
              <w:rPr>
                <w:rFonts w:ascii="Verdana" w:hAnsi="Verdana"/>
                <w:color w:val="000000"/>
                <w:sz w:val="18"/>
                <w:szCs w:val="18"/>
              </w:rPr>
              <w:t>Satrix Managers (ETFs)</w:t>
            </w:r>
          </w:p>
        </w:tc>
        <w:tc>
          <w:tcPr>
            <w:tcW w:w="1985" w:type="dxa"/>
            <w:vAlign w:val="center"/>
          </w:tcPr>
          <w:p w14:paraId="4BC4887C" w14:textId="041F82D4" w:rsidR="004F60D3"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4 746,1</w:t>
            </w:r>
          </w:p>
        </w:tc>
      </w:tr>
      <w:tr w:rsidR="004F60D3" w:rsidRPr="00AB6CBE" w14:paraId="71B11812" w14:textId="77777777" w:rsidTr="005D2AEB">
        <w:tc>
          <w:tcPr>
            <w:tcW w:w="567" w:type="dxa"/>
            <w:shd w:val="clear" w:color="auto" w:fill="auto"/>
          </w:tcPr>
          <w:p w14:paraId="30425601" w14:textId="77777777" w:rsidR="004F60D3" w:rsidRPr="00DD1C15" w:rsidRDefault="004F60D3"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7BEA3CA0" w14:textId="77777777" w:rsidR="004F60D3" w:rsidRDefault="004F60D3" w:rsidP="001F137C">
            <w:pPr>
              <w:spacing w:before="40" w:after="20" w:line="280" w:lineRule="atLeast"/>
              <w:rPr>
                <w:rFonts w:ascii="Verdana" w:hAnsi="Verdana"/>
                <w:color w:val="000000"/>
                <w:sz w:val="18"/>
                <w:szCs w:val="18"/>
              </w:rPr>
            </w:pPr>
            <w:r>
              <w:rPr>
                <w:rFonts w:ascii="Verdana" w:hAnsi="Verdana"/>
                <w:color w:val="000000"/>
                <w:sz w:val="18"/>
                <w:szCs w:val="18"/>
              </w:rPr>
              <w:t>Sygnia Itrix (ETFs)</w:t>
            </w:r>
          </w:p>
        </w:tc>
        <w:tc>
          <w:tcPr>
            <w:tcW w:w="1985" w:type="dxa"/>
            <w:vAlign w:val="center"/>
          </w:tcPr>
          <w:p w14:paraId="6424C547" w14:textId="11FFE4D2" w:rsidR="004F60D3"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3 080,0</w:t>
            </w:r>
          </w:p>
        </w:tc>
      </w:tr>
      <w:tr w:rsidR="00DD487F" w:rsidRPr="00AB6CBE" w14:paraId="16D91074" w14:textId="77777777" w:rsidTr="005D2AEB">
        <w:tc>
          <w:tcPr>
            <w:tcW w:w="567" w:type="dxa"/>
            <w:shd w:val="clear" w:color="auto" w:fill="auto"/>
          </w:tcPr>
          <w:p w14:paraId="045BDB9F"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53050D8C" w14:textId="1D861822" w:rsidR="00DD487F"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Union Bank of Switzerland (ETNs)</w:t>
            </w:r>
          </w:p>
        </w:tc>
        <w:tc>
          <w:tcPr>
            <w:tcW w:w="1985" w:type="dxa"/>
            <w:vAlign w:val="center"/>
          </w:tcPr>
          <w:p w14:paraId="03E582D6" w14:textId="3C5882DB" w:rsidR="00DD487F"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1 175,0</w:t>
            </w:r>
          </w:p>
        </w:tc>
      </w:tr>
      <w:tr w:rsidR="00DD487F" w:rsidRPr="00AB6CBE" w14:paraId="2F67B1D1" w14:textId="77777777" w:rsidTr="005D2AEB">
        <w:tc>
          <w:tcPr>
            <w:tcW w:w="567" w:type="dxa"/>
            <w:shd w:val="clear" w:color="auto" w:fill="auto"/>
          </w:tcPr>
          <w:p w14:paraId="6FF74B0D"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7D072A5B" w14:textId="3945BD7E" w:rsidR="00DD487F"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Ashburton (ETFs)</w:t>
            </w:r>
          </w:p>
        </w:tc>
        <w:tc>
          <w:tcPr>
            <w:tcW w:w="1985" w:type="dxa"/>
            <w:vAlign w:val="center"/>
          </w:tcPr>
          <w:p w14:paraId="16F0CFFC" w14:textId="438359BF" w:rsidR="00DD487F"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769,4</w:t>
            </w:r>
          </w:p>
        </w:tc>
      </w:tr>
      <w:tr w:rsidR="00DD487F" w:rsidRPr="00AB6CBE" w14:paraId="472E6F73" w14:textId="77777777" w:rsidTr="005D2AEB">
        <w:tc>
          <w:tcPr>
            <w:tcW w:w="567" w:type="dxa"/>
            <w:shd w:val="clear" w:color="auto" w:fill="auto"/>
          </w:tcPr>
          <w:p w14:paraId="31F55E3B"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2D2CC24B" w14:textId="77777777" w:rsidR="00DD487F"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Absa Capital (ETNs)</w:t>
            </w:r>
          </w:p>
        </w:tc>
        <w:tc>
          <w:tcPr>
            <w:tcW w:w="1985" w:type="dxa"/>
            <w:vAlign w:val="center"/>
          </w:tcPr>
          <w:p w14:paraId="29268E51" w14:textId="225CD495" w:rsidR="00DD487F"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681,4</w:t>
            </w:r>
          </w:p>
        </w:tc>
      </w:tr>
      <w:tr w:rsidR="00DD487F" w:rsidRPr="006015AB" w14:paraId="5F65CF4E" w14:textId="77777777" w:rsidTr="005D2AEB">
        <w:tc>
          <w:tcPr>
            <w:tcW w:w="567" w:type="dxa"/>
            <w:shd w:val="clear" w:color="auto" w:fill="auto"/>
          </w:tcPr>
          <w:p w14:paraId="751AA15E"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19AD80EC" w14:textId="66011428" w:rsidR="00DD487F"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FirstRand (ETNs)</w:t>
            </w:r>
          </w:p>
        </w:tc>
        <w:tc>
          <w:tcPr>
            <w:tcW w:w="1985" w:type="dxa"/>
            <w:vAlign w:val="center"/>
          </w:tcPr>
          <w:p w14:paraId="30379542" w14:textId="526F335F" w:rsidR="00DD487F"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423,0</w:t>
            </w:r>
          </w:p>
        </w:tc>
      </w:tr>
      <w:tr w:rsidR="00DD487F" w:rsidRPr="006015AB" w14:paraId="18C679B4" w14:textId="77777777" w:rsidTr="005D2AEB">
        <w:tc>
          <w:tcPr>
            <w:tcW w:w="567" w:type="dxa"/>
            <w:shd w:val="clear" w:color="auto" w:fill="auto"/>
          </w:tcPr>
          <w:p w14:paraId="6B3F2D32"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71B5B50C" w14:textId="77777777" w:rsidR="00DD487F" w:rsidRPr="006015AB"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CoreShares (ETFs)</w:t>
            </w:r>
          </w:p>
        </w:tc>
        <w:tc>
          <w:tcPr>
            <w:tcW w:w="1985" w:type="dxa"/>
            <w:vAlign w:val="center"/>
          </w:tcPr>
          <w:p w14:paraId="62EF7E20" w14:textId="2DE87612" w:rsidR="00DD487F" w:rsidRPr="006015AB"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184,9</w:t>
            </w:r>
          </w:p>
        </w:tc>
      </w:tr>
      <w:tr w:rsidR="00DD487F" w:rsidRPr="006015AB" w14:paraId="396520F3" w14:textId="77777777" w:rsidTr="005D2AEB">
        <w:tc>
          <w:tcPr>
            <w:tcW w:w="567" w:type="dxa"/>
            <w:shd w:val="clear" w:color="auto" w:fill="auto"/>
          </w:tcPr>
          <w:p w14:paraId="01C07E7A"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50C0B429" w14:textId="77777777" w:rsidR="00DD487F" w:rsidRPr="00AE03BE"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FirstRand (ETFs)</w:t>
            </w:r>
          </w:p>
        </w:tc>
        <w:tc>
          <w:tcPr>
            <w:tcW w:w="1985" w:type="dxa"/>
            <w:vAlign w:val="center"/>
          </w:tcPr>
          <w:p w14:paraId="0BCC5853" w14:textId="06094988" w:rsidR="00DD487F" w:rsidRPr="00AE03BE"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1,8</w:t>
            </w:r>
          </w:p>
        </w:tc>
      </w:tr>
      <w:tr w:rsidR="00DD487F" w:rsidRPr="006015AB" w14:paraId="0A9CC738" w14:textId="77777777" w:rsidTr="005D2AEB">
        <w:tc>
          <w:tcPr>
            <w:tcW w:w="567" w:type="dxa"/>
            <w:shd w:val="clear" w:color="auto" w:fill="auto"/>
          </w:tcPr>
          <w:p w14:paraId="35ACAA86"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3C16A38F" w14:textId="7A49D551" w:rsidR="00DD487F"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Cloud Atlas (ETFs)</w:t>
            </w:r>
          </w:p>
        </w:tc>
        <w:tc>
          <w:tcPr>
            <w:tcW w:w="1985" w:type="dxa"/>
            <w:vAlign w:val="center"/>
          </w:tcPr>
          <w:p w14:paraId="4B8D665C" w14:textId="1DA2C868" w:rsidR="00DD487F" w:rsidRPr="00AE03BE"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1,3</w:t>
            </w:r>
          </w:p>
        </w:tc>
      </w:tr>
      <w:tr w:rsidR="00DD487F" w:rsidRPr="00FA556D" w14:paraId="5D395F56" w14:textId="77777777" w:rsidTr="005D2AEB">
        <w:tc>
          <w:tcPr>
            <w:tcW w:w="567" w:type="dxa"/>
            <w:shd w:val="clear" w:color="auto" w:fill="auto"/>
          </w:tcPr>
          <w:p w14:paraId="77ADD7FA"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63437985" w14:textId="77777777" w:rsidR="00DD487F" w:rsidRPr="00FA556D"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Standard Bank (ETNs)</w:t>
            </w:r>
          </w:p>
        </w:tc>
        <w:tc>
          <w:tcPr>
            <w:tcW w:w="1985" w:type="dxa"/>
            <w:vAlign w:val="center"/>
          </w:tcPr>
          <w:p w14:paraId="2E99CC24" w14:textId="46AE5695" w:rsidR="00DD487F" w:rsidRPr="00FA556D"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(274,0)</w:t>
            </w:r>
          </w:p>
        </w:tc>
      </w:tr>
      <w:tr w:rsidR="00DD487F" w:rsidRPr="00FA556D" w14:paraId="31ADB853" w14:textId="77777777" w:rsidTr="005D2AEB">
        <w:tc>
          <w:tcPr>
            <w:tcW w:w="567" w:type="dxa"/>
            <w:shd w:val="clear" w:color="auto" w:fill="auto"/>
          </w:tcPr>
          <w:p w14:paraId="7D0B5369"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368BD5F0" w14:textId="77777777" w:rsidR="00DD487F" w:rsidRPr="00FA556D"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Absa Capital (ETFs)</w:t>
            </w:r>
          </w:p>
        </w:tc>
        <w:tc>
          <w:tcPr>
            <w:tcW w:w="1985" w:type="dxa"/>
            <w:vAlign w:val="center"/>
          </w:tcPr>
          <w:p w14:paraId="2D9B1628" w14:textId="0CDB34EA" w:rsidR="00DD487F" w:rsidRPr="00FA556D"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(1 674,3)</w:t>
            </w:r>
          </w:p>
        </w:tc>
      </w:tr>
      <w:tr w:rsidR="00DD487F" w:rsidRPr="00FA556D" w14:paraId="21EF304B" w14:textId="77777777" w:rsidTr="005D2AEB">
        <w:tc>
          <w:tcPr>
            <w:tcW w:w="567" w:type="dxa"/>
            <w:shd w:val="clear" w:color="auto" w:fill="auto"/>
          </w:tcPr>
          <w:p w14:paraId="7085200A" w14:textId="77777777" w:rsidR="00DD487F" w:rsidRPr="00DD1C15" w:rsidRDefault="00DD487F" w:rsidP="001F137C">
            <w:pPr>
              <w:pStyle w:val="ListParagraph"/>
              <w:numPr>
                <w:ilvl w:val="0"/>
                <w:numId w:val="21"/>
              </w:numPr>
              <w:spacing w:before="40" w:after="20" w:line="280" w:lineRule="atLeast"/>
              <w:ind w:left="357" w:hanging="357"/>
              <w:rPr>
                <w:rFonts w:ascii="Verdana" w:hAnsi="Verdana"/>
                <w:color w:val="000000"/>
                <w:sz w:val="18"/>
                <w:szCs w:val="18"/>
              </w:rPr>
            </w:pPr>
          </w:p>
        </w:tc>
        <w:tc>
          <w:tcPr>
            <w:tcW w:w="4819" w:type="dxa"/>
            <w:shd w:val="clear" w:color="auto" w:fill="auto"/>
          </w:tcPr>
          <w:p w14:paraId="3E2B224F" w14:textId="77777777" w:rsidR="00DD487F" w:rsidRPr="00FA556D" w:rsidRDefault="00DD487F" w:rsidP="001F137C">
            <w:pPr>
              <w:spacing w:before="40" w:after="20" w:line="280" w:lineRule="atLeast"/>
              <w:rPr>
                <w:rFonts w:ascii="Verdana" w:hAnsi="Verdana"/>
                <w:color w:val="000000"/>
                <w:sz w:val="18"/>
                <w:szCs w:val="18"/>
              </w:rPr>
            </w:pPr>
            <w:r>
              <w:rPr>
                <w:rFonts w:ascii="Verdana" w:hAnsi="Verdana"/>
                <w:color w:val="000000"/>
                <w:sz w:val="18"/>
                <w:szCs w:val="18"/>
              </w:rPr>
              <w:t>1nvest (ETFs)</w:t>
            </w:r>
          </w:p>
        </w:tc>
        <w:tc>
          <w:tcPr>
            <w:tcW w:w="1985" w:type="dxa"/>
            <w:vAlign w:val="center"/>
          </w:tcPr>
          <w:p w14:paraId="17D00226" w14:textId="596C466C" w:rsidR="00DD487F" w:rsidRPr="00FA556D" w:rsidRDefault="00DD487F" w:rsidP="001F137C">
            <w:pPr>
              <w:spacing w:before="40" w:after="20" w:line="280" w:lineRule="atLeast"/>
              <w:jc w:val="right"/>
              <w:rPr>
                <w:rFonts w:ascii="Verdana" w:hAnsi="Verdana"/>
                <w:color w:val="000000"/>
                <w:sz w:val="18"/>
                <w:szCs w:val="18"/>
              </w:rPr>
            </w:pPr>
            <w:r>
              <w:rPr>
                <w:rFonts w:ascii="Verdana" w:hAnsi="Verdana"/>
                <w:color w:val="000000"/>
                <w:sz w:val="18"/>
                <w:szCs w:val="18"/>
              </w:rPr>
              <w:t>(3 918,8)</w:t>
            </w:r>
          </w:p>
        </w:tc>
      </w:tr>
      <w:tr w:rsidR="001F137C" w:rsidRPr="00DD1C15" w14:paraId="37C1C93E" w14:textId="77777777" w:rsidTr="00C84EA7">
        <w:tc>
          <w:tcPr>
            <w:tcW w:w="5386" w:type="dxa"/>
            <w:gridSpan w:val="2"/>
            <w:shd w:val="clear" w:color="auto" w:fill="auto"/>
          </w:tcPr>
          <w:p w14:paraId="0BD42997" w14:textId="77777777" w:rsidR="001F137C" w:rsidRPr="00DD1C15" w:rsidRDefault="001F137C" w:rsidP="001F137C">
            <w:pPr>
              <w:spacing w:before="40" w:after="20" w:line="280" w:lineRule="atLeast"/>
              <w:rPr>
                <w:rFonts w:ascii="Verdana" w:hAnsi="Verdana"/>
                <w:b/>
                <w:bCs/>
                <w:color w:val="000000"/>
                <w:sz w:val="18"/>
                <w:szCs w:val="18"/>
              </w:rPr>
            </w:pPr>
            <w:r>
              <w:rPr>
                <w:rFonts w:ascii="Verdana" w:hAnsi="Verdana"/>
                <w:b/>
                <w:bCs/>
                <w:color w:val="000000"/>
                <w:sz w:val="18"/>
                <w:szCs w:val="18"/>
              </w:rPr>
              <w:t>Total</w:t>
            </w:r>
          </w:p>
        </w:tc>
        <w:tc>
          <w:tcPr>
            <w:tcW w:w="1985" w:type="dxa"/>
            <w:vAlign w:val="center"/>
          </w:tcPr>
          <w:p w14:paraId="654C3608" w14:textId="72B5B77B" w:rsidR="001F137C" w:rsidRPr="00DD1C15" w:rsidRDefault="001F137C" w:rsidP="001F137C">
            <w:pPr>
              <w:spacing w:before="40" w:after="20" w:line="280" w:lineRule="atLeast"/>
              <w:jc w:val="right"/>
              <w:rPr>
                <w:rFonts w:ascii="Verdana" w:hAnsi="Verdana"/>
                <w:b/>
                <w:bCs/>
                <w:color w:val="000000"/>
                <w:sz w:val="18"/>
                <w:szCs w:val="18"/>
              </w:rPr>
            </w:pPr>
            <w:r>
              <w:rPr>
                <w:rFonts w:ascii="Verdana" w:hAnsi="Verdana"/>
                <w:b/>
                <w:bCs/>
                <w:color w:val="000000"/>
                <w:sz w:val="18"/>
                <w:szCs w:val="18"/>
              </w:rPr>
              <w:t>5 195,8</w:t>
            </w:r>
          </w:p>
        </w:tc>
      </w:tr>
      <w:tr w:rsidR="00DD487F" w:rsidRPr="006015AB" w14:paraId="0965F958" w14:textId="77777777" w:rsidTr="005D2AEB">
        <w:trPr>
          <w:trHeight w:val="217"/>
        </w:trPr>
        <w:tc>
          <w:tcPr>
            <w:tcW w:w="7371" w:type="dxa"/>
            <w:gridSpan w:val="3"/>
            <w:shd w:val="clear" w:color="auto" w:fill="auto"/>
            <w:vAlign w:val="center"/>
          </w:tcPr>
          <w:p w14:paraId="20521E6D" w14:textId="38893C0B" w:rsidR="00DD487F" w:rsidRPr="006015AB" w:rsidRDefault="00DD487F" w:rsidP="00DD487F">
            <w:pPr>
              <w:spacing w:after="40" w:line="280" w:lineRule="atLeast"/>
              <w:rPr>
                <w:rFonts w:ascii="Verdana" w:hAnsi="Verdana"/>
                <w:i/>
                <w:color w:val="000000"/>
                <w:sz w:val="14"/>
                <w:szCs w:val="14"/>
              </w:rPr>
            </w:pPr>
            <w:r w:rsidRPr="006015AB">
              <w:rPr>
                <w:rFonts w:ascii="Verdana" w:hAnsi="Verdana"/>
                <w:i/>
                <w:color w:val="000000"/>
                <w:sz w:val="14"/>
                <w:szCs w:val="14"/>
              </w:rPr>
              <w:t>Source: etfSA.co.za Quarterly S</w:t>
            </w:r>
            <w:r>
              <w:rPr>
                <w:rFonts w:ascii="Verdana" w:hAnsi="Verdana"/>
                <w:i/>
                <w:color w:val="000000"/>
                <w:sz w:val="14"/>
                <w:szCs w:val="14"/>
              </w:rPr>
              <w:t>ecurities in Issue and New Capital Raised Survey December 2021).</w:t>
            </w:r>
          </w:p>
        </w:tc>
      </w:tr>
    </w:tbl>
    <w:p w14:paraId="434D4F03" w14:textId="77777777" w:rsidR="001F137C" w:rsidRDefault="001F137C">
      <w:r>
        <w:br w:type="page"/>
      </w:r>
    </w:p>
    <w:p w14:paraId="780E5E05" w14:textId="77777777" w:rsidR="00D14769" w:rsidRDefault="00D14769" w:rsidP="00C72345">
      <w:pPr>
        <w:spacing w:after="0" w:line="240" w:lineRule="auto"/>
        <w:jc w:val="cente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813"/>
      </w:tblGrid>
      <w:tr w:rsidR="00D14769" w14:paraId="0FA8C869" w14:textId="77777777" w:rsidTr="00D14769">
        <w:tc>
          <w:tcPr>
            <w:tcW w:w="4815" w:type="dxa"/>
          </w:tcPr>
          <w:p w14:paraId="3EBD373C" w14:textId="6A4A9293" w:rsidR="00D14769" w:rsidRPr="00C72345" w:rsidRDefault="00D14769" w:rsidP="00C72345">
            <w:pPr>
              <w:spacing w:before="120" w:line="360" w:lineRule="atLeast"/>
              <w:jc w:val="both"/>
              <w:rPr>
                <w:rFonts w:ascii="Verdana" w:hAnsi="Verdana"/>
                <w:sz w:val="21"/>
                <w:szCs w:val="21"/>
              </w:rPr>
            </w:pPr>
            <w:r w:rsidRPr="00C72345">
              <w:rPr>
                <w:rFonts w:ascii="Verdana" w:hAnsi="Verdana"/>
                <w:b/>
                <w:bCs/>
                <w:sz w:val="21"/>
                <w:szCs w:val="21"/>
              </w:rPr>
              <w:t>Satrix Managers</w:t>
            </w:r>
            <w:r w:rsidRPr="00C72345">
              <w:rPr>
                <w:rFonts w:ascii="Verdana" w:hAnsi="Verdana"/>
                <w:sz w:val="21"/>
                <w:szCs w:val="21"/>
              </w:rPr>
              <w:t xml:space="preserve">, with R4 746 million in new capital, from the issue of new ETFs, , but also additions to existing ETFs, has been the most successful </w:t>
            </w:r>
            <w:r w:rsidR="00C72345">
              <w:rPr>
                <w:rFonts w:ascii="Verdana" w:hAnsi="Verdana"/>
                <w:sz w:val="21"/>
                <w:szCs w:val="21"/>
              </w:rPr>
              <w:t>raiser</w:t>
            </w:r>
            <w:r w:rsidRPr="00C72345">
              <w:rPr>
                <w:rFonts w:ascii="Verdana" w:hAnsi="Verdana"/>
                <w:sz w:val="21"/>
                <w:szCs w:val="21"/>
              </w:rPr>
              <w:t xml:space="preserve"> of new capital in 2021.  Its </w:t>
            </w:r>
            <w:r w:rsidR="00C72345">
              <w:rPr>
                <w:rFonts w:ascii="Verdana" w:hAnsi="Verdana"/>
                <w:sz w:val="21"/>
                <w:szCs w:val="21"/>
              </w:rPr>
              <w:t xml:space="preserve">more </w:t>
            </w:r>
            <w:r w:rsidRPr="00C72345">
              <w:rPr>
                <w:rFonts w:ascii="Verdana" w:hAnsi="Verdana"/>
                <w:sz w:val="21"/>
                <w:szCs w:val="21"/>
              </w:rPr>
              <w:t>recent focus on foreign referenced ETFs is paying off.  Most South African investors, with the exception of institutional investors, can access “inward listed” ETFs/ETPs, without using their foreign exchange allowances.  This adds greatly to investor choice at significantly reduced costs, to physically moving money abroad</w:t>
            </w:r>
            <w:r w:rsidR="00C72345">
              <w:rPr>
                <w:rFonts w:ascii="Verdana" w:hAnsi="Verdana"/>
                <w:sz w:val="21"/>
                <w:szCs w:val="21"/>
              </w:rPr>
              <w:t xml:space="preserve"> for investment in foreign assets</w:t>
            </w:r>
            <w:r w:rsidRPr="00C72345">
              <w:rPr>
                <w:rFonts w:ascii="Verdana" w:hAnsi="Verdana"/>
                <w:sz w:val="21"/>
                <w:szCs w:val="21"/>
              </w:rPr>
              <w:t>.</w:t>
            </w:r>
          </w:p>
          <w:p w14:paraId="6BB681F4" w14:textId="2B8B026B" w:rsidR="00D14769" w:rsidRPr="00C72345" w:rsidRDefault="00D14769" w:rsidP="00C72345">
            <w:pPr>
              <w:spacing w:before="120" w:line="360" w:lineRule="atLeast"/>
              <w:jc w:val="both"/>
              <w:rPr>
                <w:rFonts w:ascii="Verdana" w:hAnsi="Verdana"/>
                <w:sz w:val="21"/>
                <w:szCs w:val="21"/>
              </w:rPr>
            </w:pPr>
            <w:r w:rsidRPr="00C72345">
              <w:rPr>
                <w:rFonts w:ascii="Verdana" w:hAnsi="Verdana"/>
                <w:b/>
                <w:bCs/>
                <w:sz w:val="21"/>
                <w:szCs w:val="21"/>
              </w:rPr>
              <w:t xml:space="preserve">Sygnia Itrix, </w:t>
            </w:r>
            <w:r w:rsidRPr="00C72345">
              <w:rPr>
                <w:rFonts w:ascii="Verdana" w:hAnsi="Verdana"/>
                <w:sz w:val="21"/>
                <w:szCs w:val="21"/>
              </w:rPr>
              <w:t>follows a similar strategy to</w:t>
            </w:r>
            <w:r w:rsidRPr="00C72345">
              <w:rPr>
                <w:rFonts w:ascii="Verdana" w:hAnsi="Verdana"/>
                <w:b/>
                <w:bCs/>
                <w:sz w:val="21"/>
                <w:szCs w:val="21"/>
              </w:rPr>
              <w:t xml:space="preserve"> </w:t>
            </w:r>
            <w:r w:rsidRPr="00C72345">
              <w:rPr>
                <w:rFonts w:ascii="Verdana" w:hAnsi="Verdana"/>
                <w:sz w:val="21"/>
                <w:szCs w:val="21"/>
              </w:rPr>
              <w:t>Satrix Managers, i</w:t>
            </w:r>
            <w:r w:rsidR="000F3F0B">
              <w:rPr>
                <w:rFonts w:ascii="Verdana" w:hAnsi="Verdana"/>
                <w:sz w:val="21"/>
                <w:szCs w:val="21"/>
              </w:rPr>
              <w:t>n</w:t>
            </w:r>
            <w:r w:rsidRPr="00C72345">
              <w:rPr>
                <w:rFonts w:ascii="Verdana" w:hAnsi="Verdana"/>
                <w:sz w:val="21"/>
                <w:szCs w:val="21"/>
              </w:rPr>
              <w:t xml:space="preserve"> </w:t>
            </w:r>
            <w:r w:rsidR="00C72345">
              <w:rPr>
                <w:rFonts w:ascii="Verdana" w:hAnsi="Verdana"/>
                <w:sz w:val="21"/>
                <w:szCs w:val="21"/>
              </w:rPr>
              <w:t xml:space="preserve">largely </w:t>
            </w:r>
            <w:r w:rsidRPr="00C72345">
              <w:rPr>
                <w:rFonts w:ascii="Verdana" w:hAnsi="Verdana"/>
                <w:sz w:val="21"/>
                <w:szCs w:val="21"/>
              </w:rPr>
              <w:t>focusing on foreign referenced ETFs and raise</w:t>
            </w:r>
            <w:r w:rsidR="000F3F0B">
              <w:rPr>
                <w:rFonts w:ascii="Verdana" w:hAnsi="Verdana"/>
                <w:sz w:val="21"/>
                <w:szCs w:val="21"/>
              </w:rPr>
              <w:t>d</w:t>
            </w:r>
            <w:r w:rsidRPr="00C72345">
              <w:rPr>
                <w:rFonts w:ascii="Verdana" w:hAnsi="Verdana"/>
                <w:sz w:val="21"/>
                <w:szCs w:val="21"/>
              </w:rPr>
              <w:t xml:space="preserve"> R3 080 </w:t>
            </w:r>
            <w:r w:rsidR="00C72345">
              <w:rPr>
                <w:rFonts w:ascii="Verdana" w:hAnsi="Verdana"/>
                <w:sz w:val="21"/>
                <w:szCs w:val="21"/>
              </w:rPr>
              <w:t xml:space="preserve">million </w:t>
            </w:r>
            <w:r w:rsidRPr="00C72345">
              <w:rPr>
                <w:rFonts w:ascii="Verdana" w:hAnsi="Verdana"/>
                <w:sz w:val="21"/>
                <w:szCs w:val="21"/>
              </w:rPr>
              <w:t xml:space="preserve">in new capital last year. </w:t>
            </w:r>
          </w:p>
          <w:p w14:paraId="53A459E9" w14:textId="306A9FF1" w:rsidR="00D14769" w:rsidRPr="00C72345" w:rsidRDefault="00D14769" w:rsidP="00C72345">
            <w:pPr>
              <w:spacing w:before="120" w:line="360" w:lineRule="atLeast"/>
              <w:jc w:val="both"/>
              <w:rPr>
                <w:rFonts w:ascii="Verdana" w:hAnsi="Verdana"/>
                <w:sz w:val="21"/>
                <w:szCs w:val="21"/>
              </w:rPr>
            </w:pPr>
            <w:r w:rsidRPr="00C72345">
              <w:rPr>
                <w:rFonts w:ascii="Verdana" w:hAnsi="Verdana"/>
                <w:sz w:val="21"/>
                <w:szCs w:val="21"/>
              </w:rPr>
              <w:t xml:space="preserve">Both of these companies were also active in listing new ETFs during 2021.  Sygnia Itrix added two new ETFs, focussing on ESG criteria for world and emerging market equity indices and </w:t>
            </w:r>
            <w:r w:rsidR="000B1353">
              <w:rPr>
                <w:rFonts w:ascii="Verdana" w:hAnsi="Verdana"/>
                <w:sz w:val="21"/>
                <w:szCs w:val="21"/>
              </w:rPr>
              <w:t xml:space="preserve">also </w:t>
            </w:r>
            <w:r w:rsidRPr="00C72345">
              <w:rPr>
                <w:rFonts w:ascii="Verdana" w:hAnsi="Verdana"/>
                <w:sz w:val="21"/>
                <w:szCs w:val="21"/>
              </w:rPr>
              <w:t xml:space="preserve">brought another “thematic ETF” to the South Africa </w:t>
            </w:r>
            <w:r w:rsidR="00C72345">
              <w:rPr>
                <w:rFonts w:ascii="Verdana" w:hAnsi="Verdana"/>
                <w:sz w:val="21"/>
                <w:szCs w:val="21"/>
              </w:rPr>
              <w:t>market</w:t>
            </w:r>
            <w:r w:rsidRPr="00C72345">
              <w:rPr>
                <w:rFonts w:ascii="Verdana" w:hAnsi="Verdana"/>
                <w:sz w:val="21"/>
                <w:szCs w:val="21"/>
              </w:rPr>
              <w:t xml:space="preserve"> in the form of the </w:t>
            </w:r>
            <w:r w:rsidRPr="00C72345">
              <w:rPr>
                <w:rFonts w:ascii="Verdana" w:hAnsi="Verdana"/>
                <w:b/>
                <w:bCs/>
                <w:sz w:val="21"/>
                <w:szCs w:val="21"/>
              </w:rPr>
              <w:t>Solactive Healthcare ETF</w:t>
            </w:r>
            <w:r w:rsidRPr="00C72345">
              <w:rPr>
                <w:rFonts w:ascii="Verdana" w:hAnsi="Verdana"/>
                <w:sz w:val="21"/>
                <w:szCs w:val="21"/>
              </w:rPr>
              <w:t xml:space="preserve"> that invests in innovative healthcare companies worldwide. </w:t>
            </w:r>
          </w:p>
          <w:p w14:paraId="25953432" w14:textId="6CAE153F" w:rsidR="00D14769" w:rsidRPr="00C72345" w:rsidRDefault="00D14769" w:rsidP="00C72345">
            <w:pPr>
              <w:spacing w:before="120" w:line="360" w:lineRule="atLeast"/>
              <w:jc w:val="both"/>
              <w:rPr>
                <w:rFonts w:ascii="Verdana" w:hAnsi="Verdana"/>
                <w:b/>
                <w:bCs/>
                <w:sz w:val="21"/>
                <w:szCs w:val="21"/>
              </w:rPr>
            </w:pPr>
            <w:r w:rsidRPr="00C72345">
              <w:rPr>
                <w:rFonts w:ascii="Verdana" w:hAnsi="Verdana"/>
                <w:sz w:val="21"/>
                <w:szCs w:val="21"/>
              </w:rPr>
              <w:t xml:space="preserve">Satrix Managers joined the “thematic ETF” school in issuing a </w:t>
            </w:r>
            <w:r w:rsidRPr="00C72345">
              <w:rPr>
                <w:rFonts w:ascii="Verdana" w:hAnsi="Verdana"/>
                <w:b/>
                <w:bCs/>
                <w:sz w:val="21"/>
                <w:szCs w:val="21"/>
              </w:rPr>
              <w:t>Global Infrastructure ETF</w:t>
            </w:r>
            <w:r w:rsidRPr="00C72345">
              <w:rPr>
                <w:rFonts w:ascii="Verdana" w:hAnsi="Verdana"/>
                <w:sz w:val="21"/>
                <w:szCs w:val="21"/>
              </w:rPr>
              <w:t xml:space="preserve">, which is a broad theme that is attracting global pension fund money, as well as issuing an </w:t>
            </w:r>
            <w:r w:rsidRPr="00C72345">
              <w:rPr>
                <w:rFonts w:ascii="Verdana" w:hAnsi="Verdana"/>
                <w:b/>
                <w:bCs/>
                <w:sz w:val="21"/>
                <w:szCs w:val="21"/>
              </w:rPr>
              <w:t>Innovative &amp; Diversity ETF</w:t>
            </w:r>
            <w:r w:rsidRPr="00C72345">
              <w:rPr>
                <w:rFonts w:ascii="Verdana" w:hAnsi="Verdana"/>
                <w:sz w:val="21"/>
                <w:szCs w:val="21"/>
              </w:rPr>
              <w:t>, tracking quali</w:t>
            </w:r>
            <w:r w:rsidR="00C72345">
              <w:rPr>
                <w:rFonts w:ascii="Verdana" w:hAnsi="Verdana"/>
                <w:sz w:val="21"/>
                <w:szCs w:val="21"/>
              </w:rPr>
              <w:t>fying</w:t>
            </w:r>
            <w:r w:rsidRPr="00C72345">
              <w:rPr>
                <w:rFonts w:ascii="Verdana" w:hAnsi="Verdana"/>
                <w:sz w:val="21"/>
                <w:szCs w:val="21"/>
              </w:rPr>
              <w:t xml:space="preserve"> companies in South Africa that focus on ge</w:t>
            </w:r>
            <w:r w:rsidR="00C72345">
              <w:rPr>
                <w:rFonts w:ascii="Verdana" w:hAnsi="Verdana"/>
                <w:sz w:val="21"/>
                <w:szCs w:val="21"/>
              </w:rPr>
              <w:t>nder</w:t>
            </w:r>
            <w:r w:rsidRPr="00C72345">
              <w:rPr>
                <w:rFonts w:ascii="Verdana" w:hAnsi="Verdana"/>
                <w:sz w:val="21"/>
                <w:szCs w:val="21"/>
              </w:rPr>
              <w:t xml:space="preserve"> equality and inclusion practices.</w:t>
            </w:r>
          </w:p>
        </w:tc>
        <w:tc>
          <w:tcPr>
            <w:tcW w:w="283" w:type="dxa"/>
          </w:tcPr>
          <w:p w14:paraId="68003ACD" w14:textId="243F8315" w:rsidR="00D14769" w:rsidRPr="00C72345" w:rsidRDefault="00D14769" w:rsidP="00C72345">
            <w:pPr>
              <w:spacing w:before="120" w:line="360" w:lineRule="atLeast"/>
              <w:jc w:val="both"/>
              <w:rPr>
                <w:sz w:val="21"/>
                <w:szCs w:val="21"/>
              </w:rPr>
            </w:pPr>
            <w:r w:rsidRPr="00C72345">
              <w:rPr>
                <w:rFonts w:ascii="Verdana" w:hAnsi="Verdana"/>
                <w:noProof/>
                <w:sz w:val="21"/>
                <w:szCs w:val="21"/>
              </w:rPr>
              <mc:AlternateContent>
                <mc:Choice Requires="wps">
                  <w:drawing>
                    <wp:anchor distT="0" distB="0" distL="114300" distR="114300" simplePos="0" relativeHeight="251681792" behindDoc="0" locked="0" layoutInCell="1" allowOverlap="1" wp14:anchorId="4C7CE160" wp14:editId="4147CE57">
                      <wp:simplePos x="0" y="0"/>
                      <wp:positionH relativeFrom="column">
                        <wp:posOffset>33655</wp:posOffset>
                      </wp:positionH>
                      <wp:positionV relativeFrom="paragraph">
                        <wp:posOffset>146050</wp:posOffset>
                      </wp:positionV>
                      <wp:extent cx="12700" cy="872490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2700" cy="872490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F63F8"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1.5pt" to="3.6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" strokecolor="#c00000" strokeweight=".5pt">
                      <v:stroke joinstyle="miter"/>
                    </v:line>
                  </w:pict>
                </mc:Fallback>
              </mc:AlternateContent>
            </w:r>
          </w:p>
        </w:tc>
        <w:tc>
          <w:tcPr>
            <w:tcW w:w="4813" w:type="dxa"/>
          </w:tcPr>
          <w:p w14:paraId="4FC7ACE4" w14:textId="675E67B6" w:rsidR="00D14769" w:rsidRPr="00C72345" w:rsidRDefault="00D14769" w:rsidP="00C72345">
            <w:pPr>
              <w:spacing w:before="120" w:line="360" w:lineRule="atLeast"/>
              <w:jc w:val="both"/>
              <w:rPr>
                <w:rFonts w:ascii="Verdana" w:hAnsi="Verdana"/>
                <w:sz w:val="21"/>
                <w:szCs w:val="21"/>
              </w:rPr>
            </w:pPr>
            <w:r w:rsidRPr="00C72345">
              <w:rPr>
                <w:rFonts w:ascii="Verdana" w:hAnsi="Verdana"/>
                <w:b/>
                <w:bCs/>
                <w:sz w:val="21"/>
                <w:szCs w:val="21"/>
              </w:rPr>
              <w:t>Union Bank of Switzerland</w:t>
            </w:r>
            <w:r w:rsidRPr="00C72345">
              <w:rPr>
                <w:rFonts w:ascii="Verdana" w:hAnsi="Verdana"/>
                <w:sz w:val="21"/>
                <w:szCs w:val="21"/>
              </w:rPr>
              <w:t xml:space="preserve"> (UBS) is now the only global provider of ETPs in South Africa. For the past few years, it has offered its balance sheet to asset managers in South Africa that wish to list actively managed portfolios on the JSE.  There are now 14 such products available on the JSE. </w:t>
            </w:r>
          </w:p>
          <w:p w14:paraId="3A407D99" w14:textId="49E5FB6D" w:rsidR="00D14769" w:rsidRPr="00C72345" w:rsidRDefault="00D14769" w:rsidP="00C72345">
            <w:pPr>
              <w:spacing w:before="120" w:line="360" w:lineRule="atLeast"/>
              <w:jc w:val="both"/>
              <w:rPr>
                <w:rFonts w:ascii="Verdana" w:hAnsi="Verdana"/>
                <w:sz w:val="21"/>
                <w:szCs w:val="21"/>
              </w:rPr>
            </w:pPr>
            <w:r w:rsidRPr="00C72345">
              <w:rPr>
                <w:rFonts w:ascii="Verdana" w:hAnsi="Verdana"/>
                <w:sz w:val="21"/>
                <w:szCs w:val="21"/>
              </w:rPr>
              <w:t>In late-2021, UBS itself became a direct provider of ETNs listed on the JSE, that passively track global indices.  17 such products were listed, with a total market capital</w:t>
            </w:r>
            <w:r w:rsidR="00C72345">
              <w:rPr>
                <w:rFonts w:ascii="Verdana" w:hAnsi="Verdana"/>
                <w:sz w:val="21"/>
                <w:szCs w:val="21"/>
              </w:rPr>
              <w:t>isation</w:t>
            </w:r>
            <w:r w:rsidRPr="00C72345">
              <w:rPr>
                <w:rFonts w:ascii="Verdana" w:hAnsi="Verdana"/>
                <w:sz w:val="21"/>
                <w:szCs w:val="21"/>
              </w:rPr>
              <w:t xml:space="preserve"> of R425 million.  Many of these tracker ETNs are highly innovative and add unique investment exposure to trends and themes not available elsewhere in listed format</w:t>
            </w:r>
            <w:r w:rsidR="00C72345">
              <w:rPr>
                <w:rFonts w:ascii="Verdana" w:hAnsi="Verdana"/>
                <w:sz w:val="21"/>
                <w:szCs w:val="21"/>
              </w:rPr>
              <w:t xml:space="preserve"> in South Africa</w:t>
            </w:r>
            <w:r w:rsidRPr="00C72345">
              <w:rPr>
                <w:rFonts w:ascii="Verdana" w:hAnsi="Verdana"/>
                <w:sz w:val="21"/>
                <w:szCs w:val="21"/>
              </w:rPr>
              <w:t xml:space="preserve">. </w:t>
            </w:r>
          </w:p>
          <w:p w14:paraId="571F1718" w14:textId="3ED5EFD7" w:rsidR="00D14769" w:rsidRPr="00C72345" w:rsidRDefault="00D14769" w:rsidP="00C72345">
            <w:pPr>
              <w:spacing w:before="120" w:line="360" w:lineRule="atLeast"/>
              <w:jc w:val="both"/>
              <w:rPr>
                <w:rFonts w:ascii="Verdana" w:hAnsi="Verdana"/>
                <w:sz w:val="21"/>
                <w:szCs w:val="21"/>
              </w:rPr>
            </w:pPr>
            <w:r w:rsidRPr="00C72345">
              <w:rPr>
                <w:rFonts w:ascii="Verdana" w:hAnsi="Verdana"/>
                <w:sz w:val="21"/>
                <w:szCs w:val="21"/>
              </w:rPr>
              <w:t xml:space="preserve">As a result of its </w:t>
            </w:r>
            <w:r w:rsidR="00C72345">
              <w:rPr>
                <w:rFonts w:ascii="Verdana" w:hAnsi="Verdana"/>
                <w:sz w:val="21"/>
                <w:szCs w:val="21"/>
              </w:rPr>
              <w:t xml:space="preserve">new products listed </w:t>
            </w:r>
            <w:r w:rsidRPr="00C72345">
              <w:rPr>
                <w:rFonts w:ascii="Verdana" w:hAnsi="Verdana"/>
                <w:sz w:val="21"/>
                <w:szCs w:val="21"/>
              </w:rPr>
              <w:t>in 2021, the Union Bank of Switzerland was the third most successful raiser of new capital for ETPs in the local market, after Satrix and Sygnia Itrix.</w:t>
            </w:r>
          </w:p>
          <w:p w14:paraId="5EC5DC9E" w14:textId="32503678" w:rsidR="00D14769" w:rsidRPr="00C72345" w:rsidRDefault="00D14769" w:rsidP="00C72345">
            <w:pPr>
              <w:spacing w:before="120" w:line="360" w:lineRule="atLeast"/>
              <w:jc w:val="both"/>
              <w:rPr>
                <w:rFonts w:ascii="Verdana" w:hAnsi="Verdana"/>
                <w:sz w:val="21"/>
                <w:szCs w:val="21"/>
              </w:rPr>
            </w:pPr>
            <w:r w:rsidRPr="00C72345">
              <w:rPr>
                <w:rFonts w:ascii="Verdana" w:hAnsi="Verdana"/>
                <w:sz w:val="21"/>
                <w:szCs w:val="21"/>
              </w:rPr>
              <w:t>Commodity</w:t>
            </w:r>
            <w:r w:rsidR="00DB77B9">
              <w:rPr>
                <w:rFonts w:ascii="Verdana" w:hAnsi="Verdana"/>
                <w:sz w:val="21"/>
                <w:szCs w:val="21"/>
              </w:rPr>
              <w:t>-</w:t>
            </w:r>
            <w:r w:rsidRPr="00C72345">
              <w:rPr>
                <w:rFonts w:ascii="Verdana" w:hAnsi="Verdana"/>
                <w:sz w:val="21"/>
                <w:szCs w:val="21"/>
              </w:rPr>
              <w:t xml:space="preserve">based ETFs came under price and redemption pressure during the course of last year.  Of course, these ETFs, particularly </w:t>
            </w:r>
            <w:r w:rsidR="00C72345">
              <w:rPr>
                <w:rFonts w:ascii="Verdana" w:hAnsi="Verdana"/>
                <w:sz w:val="21"/>
                <w:szCs w:val="21"/>
              </w:rPr>
              <w:t xml:space="preserve">those linked </w:t>
            </w:r>
            <w:r w:rsidRPr="00C72345">
              <w:rPr>
                <w:rFonts w:ascii="Verdana" w:hAnsi="Verdana"/>
                <w:sz w:val="21"/>
                <w:szCs w:val="21"/>
              </w:rPr>
              <w:t>to Platinum Group Metals (PGMs) ha</w:t>
            </w:r>
            <w:r w:rsidR="001435C1">
              <w:rPr>
                <w:rFonts w:ascii="Verdana" w:hAnsi="Verdana"/>
                <w:sz w:val="21"/>
                <w:szCs w:val="21"/>
              </w:rPr>
              <w:t>ve</w:t>
            </w:r>
            <w:r w:rsidRPr="00C72345">
              <w:rPr>
                <w:rFonts w:ascii="Verdana" w:hAnsi="Verdana"/>
                <w:sz w:val="21"/>
                <w:szCs w:val="21"/>
              </w:rPr>
              <w:t xml:space="preserve"> provided very strong investment returns over the p</w:t>
            </w:r>
            <w:r w:rsidR="001435C1">
              <w:rPr>
                <w:rFonts w:ascii="Verdana" w:hAnsi="Verdana"/>
                <w:sz w:val="21"/>
                <w:szCs w:val="21"/>
              </w:rPr>
              <w:t>eriod</w:t>
            </w:r>
            <w:r w:rsidRPr="00C72345">
              <w:rPr>
                <w:rFonts w:ascii="Verdana" w:hAnsi="Verdana"/>
                <w:sz w:val="21"/>
                <w:szCs w:val="21"/>
              </w:rPr>
              <w:t xml:space="preserve"> 2016 to 2020, but some profit-taking set in during 2021. </w:t>
            </w:r>
          </w:p>
          <w:p w14:paraId="33DE1453" w14:textId="5EB25EEF" w:rsidR="00D14769" w:rsidRPr="00C72345" w:rsidRDefault="00D14769" w:rsidP="00C72345">
            <w:pPr>
              <w:spacing w:before="120" w:line="360" w:lineRule="atLeast"/>
              <w:jc w:val="both"/>
              <w:rPr>
                <w:sz w:val="21"/>
                <w:szCs w:val="21"/>
              </w:rPr>
            </w:pPr>
            <w:r w:rsidRPr="00C72345">
              <w:rPr>
                <w:rFonts w:ascii="Verdana" w:hAnsi="Verdana"/>
                <w:b/>
                <w:bCs/>
                <w:sz w:val="21"/>
                <w:szCs w:val="21"/>
              </w:rPr>
              <w:t>Absa Capital</w:t>
            </w:r>
            <w:r w:rsidRPr="00C72345">
              <w:rPr>
                <w:rFonts w:ascii="Verdana" w:hAnsi="Verdana"/>
                <w:sz w:val="21"/>
                <w:szCs w:val="21"/>
              </w:rPr>
              <w:t>, which issues the NewGold ETF</w:t>
            </w:r>
            <w:r w:rsidR="001435C1">
              <w:rPr>
                <w:rFonts w:ascii="Verdana" w:hAnsi="Verdana"/>
                <w:sz w:val="21"/>
                <w:szCs w:val="21"/>
              </w:rPr>
              <w:t>s</w:t>
            </w:r>
            <w:r w:rsidRPr="00C72345">
              <w:rPr>
                <w:rFonts w:ascii="Verdana" w:hAnsi="Verdana"/>
                <w:sz w:val="21"/>
                <w:szCs w:val="21"/>
              </w:rPr>
              <w:t>, tracking gold, platinum and palladium, re</w:t>
            </w:r>
            <w:r w:rsidR="001435C1">
              <w:rPr>
                <w:rFonts w:ascii="Verdana" w:hAnsi="Verdana"/>
                <w:sz w:val="21"/>
                <w:szCs w:val="21"/>
              </w:rPr>
              <w:t>deeme</w:t>
            </w:r>
            <w:r w:rsidRPr="00C72345">
              <w:rPr>
                <w:rFonts w:ascii="Verdana" w:hAnsi="Verdana"/>
                <w:sz w:val="21"/>
                <w:szCs w:val="21"/>
              </w:rPr>
              <w:t xml:space="preserve">d R2 537 million of these </w:t>
            </w:r>
            <w:r w:rsidR="001435C1">
              <w:rPr>
                <w:rFonts w:ascii="Verdana" w:hAnsi="Verdana"/>
                <w:sz w:val="21"/>
                <w:szCs w:val="21"/>
              </w:rPr>
              <w:t xml:space="preserve">commodity </w:t>
            </w:r>
            <w:r w:rsidRPr="00C72345">
              <w:rPr>
                <w:rFonts w:ascii="Verdana" w:hAnsi="Verdana"/>
                <w:sz w:val="21"/>
                <w:szCs w:val="21"/>
              </w:rPr>
              <w:t xml:space="preserve">ETFs during the course of the past 12 months.  </w:t>
            </w:r>
            <w:r w:rsidR="002D7097">
              <w:rPr>
                <w:rFonts w:ascii="Verdana" w:hAnsi="Verdana"/>
                <w:b/>
                <w:bCs/>
                <w:sz w:val="21"/>
                <w:szCs w:val="21"/>
              </w:rPr>
              <w:t>1</w:t>
            </w:r>
            <w:r w:rsidRPr="00C72345">
              <w:rPr>
                <w:rFonts w:ascii="Verdana" w:hAnsi="Verdana"/>
                <w:b/>
                <w:bCs/>
                <w:sz w:val="21"/>
                <w:szCs w:val="21"/>
              </w:rPr>
              <w:t>nvest</w:t>
            </w:r>
            <w:r w:rsidRPr="00C72345">
              <w:rPr>
                <w:rFonts w:ascii="Verdana" w:hAnsi="Verdana"/>
                <w:sz w:val="21"/>
                <w:szCs w:val="21"/>
              </w:rPr>
              <w:t xml:space="preserve">, which also issues ETFs tracking PGMs (including Rhodium), showed </w:t>
            </w:r>
            <w:r w:rsidR="001435C1">
              <w:rPr>
                <w:rFonts w:ascii="Verdana" w:hAnsi="Verdana"/>
                <w:sz w:val="21"/>
                <w:szCs w:val="21"/>
              </w:rPr>
              <w:t xml:space="preserve">a </w:t>
            </w:r>
            <w:r w:rsidRPr="00C72345">
              <w:rPr>
                <w:rFonts w:ascii="Verdana" w:hAnsi="Verdana"/>
                <w:sz w:val="21"/>
                <w:szCs w:val="21"/>
              </w:rPr>
              <w:t xml:space="preserve">similar trend and </w:t>
            </w:r>
            <w:r w:rsidR="001435C1">
              <w:rPr>
                <w:rFonts w:ascii="Verdana" w:hAnsi="Verdana"/>
                <w:sz w:val="21"/>
                <w:szCs w:val="21"/>
              </w:rPr>
              <w:t>redeem</w:t>
            </w:r>
            <w:r w:rsidRPr="00C72345">
              <w:rPr>
                <w:rFonts w:ascii="Verdana" w:hAnsi="Verdana"/>
                <w:sz w:val="21"/>
                <w:szCs w:val="21"/>
              </w:rPr>
              <w:t xml:space="preserve">ed R3 842 million </w:t>
            </w:r>
            <w:r w:rsidR="001435C1">
              <w:rPr>
                <w:rFonts w:ascii="Verdana" w:hAnsi="Verdana"/>
                <w:sz w:val="21"/>
                <w:szCs w:val="21"/>
              </w:rPr>
              <w:t>commodity</w:t>
            </w:r>
            <w:r w:rsidRPr="00C72345">
              <w:rPr>
                <w:rFonts w:ascii="Verdana" w:hAnsi="Verdana"/>
                <w:sz w:val="21"/>
                <w:szCs w:val="21"/>
              </w:rPr>
              <w:t xml:space="preserve"> ETFs. </w:t>
            </w:r>
          </w:p>
        </w:tc>
      </w:tr>
    </w:tbl>
    <w:p w14:paraId="37A89403" w14:textId="5942FB6C" w:rsidR="00D14769" w:rsidRDefault="00D14769" w:rsidP="001F137C">
      <w:pPr>
        <w:spacing w:after="0" w:line="240" w:lineRule="auto"/>
      </w:pPr>
    </w:p>
    <w:p w14:paraId="79B4513F" w14:textId="07A6A265" w:rsidR="00C72345" w:rsidRDefault="00C72345">
      <w:r>
        <w:br w:type="page"/>
      </w:r>
    </w:p>
    <w:p w14:paraId="1EB0B1BE" w14:textId="77777777" w:rsidR="00D14769" w:rsidRDefault="00D14769" w:rsidP="001F137C">
      <w:pPr>
        <w:spacing w:after="0" w:line="240" w:lineRule="auto"/>
      </w:pPr>
    </w:p>
    <w:p w14:paraId="346C865D" w14:textId="57E33734" w:rsidR="0048656A" w:rsidRDefault="00F472B8" w:rsidP="00420382">
      <w:pPr>
        <w:spacing w:after="240" w:line="360" w:lineRule="atLeast"/>
        <w:jc w:val="both"/>
        <w:rPr>
          <w:rFonts w:ascii="Verdana" w:hAnsi="Verdana"/>
          <w:b/>
          <w:bCs/>
          <w:color w:val="C00000"/>
        </w:rPr>
      </w:pPr>
      <w:r>
        <w:rPr>
          <w:rFonts w:ascii="Verdana" w:hAnsi="Verdana"/>
          <w:sz w:val="21"/>
          <w:szCs w:val="21"/>
        </w:rPr>
        <w:t xml:space="preserve">There is no clear evidence that the global commodity cycle has turned negative, but the speculation </w:t>
      </w:r>
      <w:r w:rsidR="00AF6530">
        <w:rPr>
          <w:rFonts w:ascii="Verdana" w:hAnsi="Verdana"/>
          <w:sz w:val="21"/>
          <w:szCs w:val="21"/>
        </w:rPr>
        <w:t>i</w:t>
      </w:r>
      <w:r>
        <w:rPr>
          <w:rFonts w:ascii="Verdana" w:hAnsi="Verdana"/>
          <w:sz w:val="21"/>
          <w:szCs w:val="21"/>
        </w:rPr>
        <w:t>n pre</w:t>
      </w:r>
      <w:r w:rsidR="00AF6530">
        <w:rPr>
          <w:rFonts w:ascii="Verdana" w:hAnsi="Verdana"/>
          <w:sz w:val="21"/>
          <w:szCs w:val="21"/>
        </w:rPr>
        <w:t>c</w:t>
      </w:r>
      <w:r>
        <w:rPr>
          <w:rFonts w:ascii="Verdana" w:hAnsi="Verdana"/>
          <w:sz w:val="21"/>
          <w:szCs w:val="21"/>
        </w:rPr>
        <w:t xml:space="preserve">ious </w:t>
      </w:r>
      <w:r w:rsidR="00DB77B9">
        <w:rPr>
          <w:rFonts w:ascii="Verdana" w:hAnsi="Verdana"/>
          <w:sz w:val="21"/>
          <w:szCs w:val="21"/>
        </w:rPr>
        <w:t xml:space="preserve">metal </w:t>
      </w:r>
      <w:r>
        <w:rPr>
          <w:rFonts w:ascii="Verdana" w:hAnsi="Verdana"/>
          <w:sz w:val="21"/>
          <w:szCs w:val="21"/>
        </w:rPr>
        <w:t xml:space="preserve">markets, in particular, now appears to have abated.  </w:t>
      </w:r>
      <w:r w:rsidR="00BE1EE9">
        <w:rPr>
          <w:rFonts w:ascii="Verdana" w:hAnsi="Verdana"/>
          <w:sz w:val="21"/>
          <w:szCs w:val="21"/>
        </w:rPr>
        <w:t>Continued</w:t>
      </w:r>
      <w:r>
        <w:rPr>
          <w:rFonts w:ascii="Verdana" w:hAnsi="Verdana"/>
          <w:sz w:val="21"/>
          <w:szCs w:val="21"/>
        </w:rPr>
        <w:t xml:space="preserve"> growth in the global economy, plus some recovery in supply s</w:t>
      </w:r>
      <w:r w:rsidR="00AF6530">
        <w:rPr>
          <w:rFonts w:ascii="Verdana" w:hAnsi="Verdana"/>
          <w:sz w:val="21"/>
          <w:szCs w:val="21"/>
        </w:rPr>
        <w:t>hortages</w:t>
      </w:r>
      <w:r>
        <w:rPr>
          <w:rFonts w:ascii="Verdana" w:hAnsi="Verdana"/>
          <w:sz w:val="21"/>
          <w:szCs w:val="21"/>
        </w:rPr>
        <w:t xml:space="preserve"> which hav</w:t>
      </w:r>
      <w:r w:rsidR="00BE1EE9">
        <w:rPr>
          <w:rFonts w:ascii="Verdana" w:hAnsi="Verdana"/>
          <w:sz w:val="21"/>
          <w:szCs w:val="21"/>
        </w:rPr>
        <w:t>e</w:t>
      </w:r>
      <w:r>
        <w:rPr>
          <w:rFonts w:ascii="Verdana" w:hAnsi="Verdana"/>
          <w:sz w:val="21"/>
          <w:szCs w:val="21"/>
        </w:rPr>
        <w:t xml:space="preserve"> held back growth in ma</w:t>
      </w:r>
      <w:r w:rsidR="00AF6530">
        <w:rPr>
          <w:rFonts w:ascii="Verdana" w:hAnsi="Verdana"/>
          <w:sz w:val="21"/>
          <w:szCs w:val="21"/>
        </w:rPr>
        <w:t>n</w:t>
      </w:r>
      <w:r>
        <w:rPr>
          <w:rFonts w:ascii="Verdana" w:hAnsi="Verdana"/>
          <w:sz w:val="21"/>
          <w:szCs w:val="21"/>
        </w:rPr>
        <w:t>y m</w:t>
      </w:r>
      <w:r w:rsidR="00BE1EE9">
        <w:rPr>
          <w:rFonts w:ascii="Verdana" w:hAnsi="Verdana"/>
          <w:sz w:val="21"/>
          <w:szCs w:val="21"/>
        </w:rPr>
        <w:t xml:space="preserve">etal consuming industries, might see a revival in certain metal prices during the course of 2022.  </w:t>
      </w:r>
    </w:p>
    <w:p w14:paraId="7AF34A1E" w14:textId="02BF9E71" w:rsidR="006015AB" w:rsidRPr="00617B74" w:rsidRDefault="003F5A9C" w:rsidP="00617B74">
      <w:pPr>
        <w:spacing w:after="240" w:line="320" w:lineRule="atLeast"/>
        <w:rPr>
          <w:rFonts w:ascii="Verdana" w:hAnsi="Verdana"/>
          <w:b/>
          <w:bCs/>
          <w:color w:val="C00000"/>
        </w:rPr>
      </w:pPr>
      <w:r w:rsidRPr="007A7050">
        <w:rPr>
          <w:rFonts w:ascii="Verdana" w:hAnsi="Verdana"/>
          <w:b/>
          <w:bCs/>
          <w:color w:val="C00000"/>
        </w:rPr>
        <w:t>Snapshot of the SA ETP Industry as at 3</w:t>
      </w:r>
      <w:r w:rsidR="00BE1EE9">
        <w:rPr>
          <w:rFonts w:ascii="Verdana" w:hAnsi="Verdana"/>
          <w:b/>
          <w:bCs/>
          <w:color w:val="C00000"/>
        </w:rPr>
        <w:t>1</w:t>
      </w:r>
      <w:r w:rsidRPr="007A7050">
        <w:rPr>
          <w:rFonts w:ascii="Verdana" w:hAnsi="Verdana"/>
          <w:b/>
          <w:bCs/>
          <w:color w:val="C00000"/>
        </w:rPr>
        <w:t xml:space="preserve"> </w:t>
      </w:r>
      <w:r w:rsidR="00BE1EE9">
        <w:rPr>
          <w:rFonts w:ascii="Verdana" w:hAnsi="Verdana"/>
          <w:b/>
          <w:bCs/>
          <w:color w:val="C00000"/>
        </w:rPr>
        <w:t>Dece</w:t>
      </w:r>
      <w:r w:rsidR="00D653E2">
        <w:rPr>
          <w:rFonts w:ascii="Verdana" w:hAnsi="Verdana"/>
          <w:b/>
          <w:bCs/>
          <w:color w:val="C00000"/>
        </w:rPr>
        <w:t>mber</w:t>
      </w:r>
      <w:r w:rsidRPr="007A7050">
        <w:rPr>
          <w:rFonts w:ascii="Verdana" w:hAnsi="Verdana"/>
          <w:b/>
          <w:bCs/>
          <w:color w:val="C00000"/>
        </w:rPr>
        <w:t xml:space="preserve"> 20</w:t>
      </w:r>
      <w:r>
        <w:rPr>
          <w:rFonts w:ascii="Verdana" w:hAnsi="Verdana"/>
          <w:b/>
          <w:bCs/>
          <w:color w:val="C00000"/>
        </w:rPr>
        <w:t>2</w:t>
      </w:r>
      <w:r w:rsidR="006015AB">
        <w:rPr>
          <w:rFonts w:ascii="Verdana" w:hAnsi="Verdana"/>
          <w:b/>
          <w:bCs/>
          <w:color w:val="C00000"/>
        </w:rPr>
        <w:t>1</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6015AB" w:rsidRPr="00AB6CBE" w14:paraId="1D20FF11" w14:textId="77777777" w:rsidTr="001C1A83">
        <w:tc>
          <w:tcPr>
            <w:tcW w:w="9214" w:type="dxa"/>
            <w:gridSpan w:val="8"/>
            <w:shd w:val="clear" w:color="auto" w:fill="C00000"/>
            <w:vAlign w:val="center"/>
          </w:tcPr>
          <w:p w14:paraId="626F61D9" w14:textId="77777777"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6609B2E6" w14:textId="264CDF25"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 xml:space="preserve">(as at </w:t>
            </w:r>
            <w:r>
              <w:rPr>
                <w:rFonts w:ascii="Verdana" w:hAnsi="Verdana"/>
                <w:b/>
                <w:color w:val="FFFFFF"/>
                <w:sz w:val="18"/>
                <w:szCs w:val="18"/>
              </w:rPr>
              <w:t>3</w:t>
            </w:r>
            <w:r w:rsidR="00BE1EE9">
              <w:rPr>
                <w:rFonts w:ascii="Verdana" w:hAnsi="Verdana"/>
                <w:b/>
                <w:color w:val="FFFFFF"/>
                <w:sz w:val="18"/>
                <w:szCs w:val="18"/>
              </w:rPr>
              <w:t>1</w:t>
            </w:r>
            <w:r>
              <w:rPr>
                <w:rFonts w:ascii="Verdana" w:hAnsi="Verdana"/>
                <w:b/>
                <w:color w:val="FFFFFF"/>
                <w:sz w:val="18"/>
                <w:szCs w:val="18"/>
              </w:rPr>
              <w:t xml:space="preserve"> </w:t>
            </w:r>
            <w:r w:rsidR="00BE1EE9">
              <w:rPr>
                <w:rFonts w:ascii="Verdana" w:hAnsi="Verdana"/>
                <w:b/>
                <w:color w:val="FFFFFF"/>
                <w:sz w:val="18"/>
                <w:szCs w:val="18"/>
              </w:rPr>
              <w:t>Dec</w:t>
            </w:r>
            <w:r w:rsidR="00D653E2">
              <w:rPr>
                <w:rFonts w:ascii="Verdana" w:hAnsi="Verdana"/>
                <w:b/>
                <w:color w:val="FFFFFF"/>
                <w:sz w:val="18"/>
                <w:szCs w:val="18"/>
              </w:rPr>
              <w:t>ember</w:t>
            </w:r>
            <w:r w:rsidRPr="003B4F95">
              <w:rPr>
                <w:rFonts w:ascii="Verdana" w:hAnsi="Verdana"/>
                <w:b/>
                <w:color w:val="FFFFFF"/>
                <w:sz w:val="18"/>
                <w:szCs w:val="18"/>
              </w:rPr>
              <w:t xml:space="preserve"> 20</w:t>
            </w:r>
            <w:r>
              <w:rPr>
                <w:rFonts w:ascii="Verdana" w:hAnsi="Verdana"/>
                <w:b/>
                <w:color w:val="FFFFFF"/>
                <w:sz w:val="18"/>
                <w:szCs w:val="18"/>
              </w:rPr>
              <w:t>21</w:t>
            </w:r>
            <w:r w:rsidRPr="003B4F95">
              <w:rPr>
                <w:rFonts w:ascii="Verdana" w:hAnsi="Verdana"/>
                <w:b/>
                <w:color w:val="FFFFFF"/>
                <w:sz w:val="18"/>
                <w:szCs w:val="18"/>
              </w:rPr>
              <w:t>)</w:t>
            </w:r>
          </w:p>
        </w:tc>
      </w:tr>
      <w:tr w:rsidR="006015AB" w:rsidRPr="00AB6CBE" w14:paraId="76BF6CAD" w14:textId="77777777" w:rsidTr="001C1A83">
        <w:trPr>
          <w:trHeight w:val="311"/>
        </w:trPr>
        <w:tc>
          <w:tcPr>
            <w:tcW w:w="567" w:type="dxa"/>
            <w:vMerge w:val="restart"/>
            <w:shd w:val="clear" w:color="auto" w:fill="4C4C4C"/>
            <w:vAlign w:val="center"/>
          </w:tcPr>
          <w:p w14:paraId="15E5FD07" w14:textId="77777777" w:rsidR="006015AB" w:rsidRPr="003B4F95" w:rsidRDefault="006015AB" w:rsidP="00420382">
            <w:pPr>
              <w:spacing w:before="40" w:after="40" w:line="300" w:lineRule="atLeast"/>
              <w:rPr>
                <w:rFonts w:ascii="Verdana" w:hAnsi="Verdana"/>
                <w:b/>
                <w:color w:val="FFFFFF"/>
                <w:sz w:val="18"/>
                <w:szCs w:val="18"/>
              </w:rPr>
            </w:pPr>
          </w:p>
        </w:tc>
        <w:tc>
          <w:tcPr>
            <w:tcW w:w="1984" w:type="dxa"/>
            <w:gridSpan w:val="2"/>
            <w:vMerge w:val="restart"/>
            <w:shd w:val="clear" w:color="auto" w:fill="4C4C4C"/>
            <w:vAlign w:val="center"/>
          </w:tcPr>
          <w:p w14:paraId="3328C4D1" w14:textId="77777777" w:rsidR="006015AB" w:rsidRPr="003B4F95" w:rsidRDefault="006015AB" w:rsidP="00420382">
            <w:pPr>
              <w:spacing w:before="40" w:after="40" w:line="300" w:lineRule="atLeast"/>
              <w:rPr>
                <w:rFonts w:ascii="Verdana" w:hAnsi="Verdana"/>
                <w:b/>
                <w:color w:val="FFFFFF"/>
                <w:sz w:val="18"/>
                <w:szCs w:val="18"/>
              </w:rPr>
            </w:pPr>
            <w:r w:rsidRPr="003B4F95">
              <w:rPr>
                <w:rFonts w:ascii="Verdana" w:hAnsi="Verdana"/>
                <w:b/>
                <w:color w:val="FFFFFF"/>
                <w:sz w:val="18"/>
                <w:szCs w:val="18"/>
              </w:rPr>
              <w:t>Issuer</w:t>
            </w:r>
          </w:p>
        </w:tc>
        <w:tc>
          <w:tcPr>
            <w:tcW w:w="1985" w:type="dxa"/>
            <w:gridSpan w:val="2"/>
            <w:shd w:val="clear" w:color="auto" w:fill="4C4C4C"/>
            <w:vAlign w:val="center"/>
          </w:tcPr>
          <w:p w14:paraId="3E136682" w14:textId="77777777" w:rsidR="006015AB" w:rsidRPr="003B4F95" w:rsidRDefault="006015AB" w:rsidP="00420382">
            <w:pPr>
              <w:spacing w:before="40" w:after="40" w:line="30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950683D" w14:textId="77777777"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CBBABEC" w14:textId="77777777" w:rsidR="006015AB" w:rsidRPr="003B4F95" w:rsidRDefault="006015AB" w:rsidP="00420382">
            <w:pPr>
              <w:spacing w:before="40" w:after="40" w:line="300" w:lineRule="atLeast"/>
              <w:jc w:val="right"/>
              <w:rPr>
                <w:rFonts w:ascii="Verdana" w:hAnsi="Verdana"/>
                <w:b/>
                <w:color w:val="FFFFFF"/>
                <w:sz w:val="18"/>
                <w:szCs w:val="18"/>
              </w:rPr>
            </w:pPr>
            <w:r>
              <w:rPr>
                <w:rFonts w:ascii="Verdana" w:hAnsi="Verdana"/>
                <w:b/>
                <w:color w:val="FFFFFF"/>
                <w:sz w:val="18"/>
                <w:szCs w:val="18"/>
              </w:rPr>
              <w:t>Total Market Capitalisation</w:t>
            </w:r>
            <w:r w:rsidRPr="003B4F95">
              <w:rPr>
                <w:rFonts w:ascii="Verdana" w:hAnsi="Verdana"/>
                <w:b/>
                <w:color w:val="FFFFFF"/>
                <w:sz w:val="18"/>
                <w:szCs w:val="18"/>
              </w:rPr>
              <w:t xml:space="preserve"> (Rm)</w:t>
            </w:r>
          </w:p>
        </w:tc>
      </w:tr>
      <w:tr w:rsidR="006015AB" w:rsidRPr="00AB6CBE" w14:paraId="17CB071B" w14:textId="77777777" w:rsidTr="001C1A83">
        <w:trPr>
          <w:trHeight w:val="311"/>
        </w:trPr>
        <w:tc>
          <w:tcPr>
            <w:tcW w:w="567" w:type="dxa"/>
            <w:vMerge/>
            <w:shd w:val="clear" w:color="auto" w:fill="4C4C4C"/>
            <w:vAlign w:val="center"/>
          </w:tcPr>
          <w:p w14:paraId="28B91113" w14:textId="77777777" w:rsidR="006015AB" w:rsidRPr="003B4F95" w:rsidRDefault="006015AB" w:rsidP="00420382">
            <w:pPr>
              <w:spacing w:before="40" w:after="40" w:line="300" w:lineRule="atLeast"/>
              <w:rPr>
                <w:rFonts w:ascii="Verdana" w:hAnsi="Verdana"/>
                <w:b/>
                <w:color w:val="FFFFFF"/>
                <w:sz w:val="18"/>
                <w:szCs w:val="18"/>
              </w:rPr>
            </w:pPr>
          </w:p>
        </w:tc>
        <w:tc>
          <w:tcPr>
            <w:tcW w:w="1984" w:type="dxa"/>
            <w:gridSpan w:val="2"/>
            <w:vMerge/>
            <w:shd w:val="clear" w:color="auto" w:fill="4C4C4C"/>
          </w:tcPr>
          <w:p w14:paraId="5ED0D2DA" w14:textId="77777777" w:rsidR="006015AB" w:rsidRPr="003B4F95" w:rsidRDefault="006015AB" w:rsidP="00420382">
            <w:pPr>
              <w:spacing w:before="40" w:after="40" w:line="300" w:lineRule="atLeast"/>
              <w:rPr>
                <w:rFonts w:ascii="Verdana" w:hAnsi="Verdana"/>
                <w:b/>
                <w:color w:val="FFFFFF"/>
                <w:sz w:val="18"/>
                <w:szCs w:val="18"/>
              </w:rPr>
            </w:pPr>
          </w:p>
        </w:tc>
        <w:tc>
          <w:tcPr>
            <w:tcW w:w="993" w:type="dxa"/>
            <w:shd w:val="clear" w:color="auto" w:fill="4C4C4C"/>
            <w:vAlign w:val="center"/>
          </w:tcPr>
          <w:p w14:paraId="0C35E3F1" w14:textId="77777777" w:rsidR="006015AB" w:rsidRPr="003B4F95" w:rsidRDefault="006015AB" w:rsidP="00420382">
            <w:pPr>
              <w:spacing w:before="40" w:after="40" w:line="30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0A7659DD" w14:textId="77777777" w:rsidR="006015AB" w:rsidRPr="003B4F95" w:rsidRDefault="006015AB" w:rsidP="00420382">
            <w:pPr>
              <w:spacing w:before="40" w:after="40" w:line="30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962276F" w14:textId="77777777" w:rsidR="006015AB" w:rsidRPr="003B4F95" w:rsidRDefault="006015AB" w:rsidP="00420382">
            <w:pPr>
              <w:spacing w:before="40" w:after="40" w:line="30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458FB759" w14:textId="77777777" w:rsidR="006015AB" w:rsidRPr="003B4F95" w:rsidRDefault="006015AB" w:rsidP="00420382">
            <w:pPr>
              <w:spacing w:before="40" w:after="40" w:line="30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3579AC12" w14:textId="77777777" w:rsidR="006015AB" w:rsidRPr="003B4F95" w:rsidRDefault="006015AB" w:rsidP="00420382">
            <w:pPr>
              <w:spacing w:before="40" w:after="40" w:line="300" w:lineRule="atLeast"/>
              <w:jc w:val="right"/>
              <w:rPr>
                <w:rFonts w:ascii="Verdana" w:hAnsi="Verdana"/>
                <w:b/>
                <w:color w:val="FFFFFF"/>
                <w:sz w:val="18"/>
                <w:szCs w:val="18"/>
              </w:rPr>
            </w:pPr>
          </w:p>
        </w:tc>
      </w:tr>
      <w:tr w:rsidR="00BE1EE9" w:rsidRPr="00AB6CBE" w14:paraId="4B891F5E" w14:textId="77777777" w:rsidTr="001C1A83">
        <w:tc>
          <w:tcPr>
            <w:tcW w:w="567" w:type="dxa"/>
            <w:shd w:val="clear" w:color="auto" w:fill="auto"/>
          </w:tcPr>
          <w:p w14:paraId="4B77F61A"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54291318" w14:textId="2CB37C84"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46CE5CC8" w14:textId="36BF14E1"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23</w:t>
            </w:r>
          </w:p>
        </w:tc>
        <w:tc>
          <w:tcPr>
            <w:tcW w:w="992" w:type="dxa"/>
            <w:shd w:val="clear" w:color="auto" w:fill="auto"/>
            <w:vAlign w:val="center"/>
          </w:tcPr>
          <w:p w14:paraId="75CA2F0F" w14:textId="25DAB28B"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87C3A73" w14:textId="14213057" w:rsidR="00BE1EE9"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37 097,8</w:t>
            </w:r>
          </w:p>
        </w:tc>
        <w:tc>
          <w:tcPr>
            <w:tcW w:w="1418" w:type="dxa"/>
            <w:vAlign w:val="center"/>
          </w:tcPr>
          <w:p w14:paraId="00DB2C1E" w14:textId="5B1CE098" w:rsidR="00BE1EE9"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338224F" w14:textId="728A2DDE" w:rsidR="00BE1EE9"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37 097,8</w:t>
            </w:r>
          </w:p>
        </w:tc>
      </w:tr>
      <w:tr w:rsidR="00BE1EE9" w:rsidRPr="00AB6CBE" w14:paraId="0FE5F3BE" w14:textId="77777777" w:rsidTr="001C1A83">
        <w:tc>
          <w:tcPr>
            <w:tcW w:w="567" w:type="dxa"/>
            <w:shd w:val="clear" w:color="auto" w:fill="auto"/>
          </w:tcPr>
          <w:p w14:paraId="3512065C"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0F8AB803" w14:textId="34697103" w:rsidR="00BE1EE9" w:rsidRPr="003B4F95" w:rsidRDefault="00BE1EE9" w:rsidP="00420382">
            <w:pPr>
              <w:spacing w:before="40" w:after="40" w:line="300" w:lineRule="atLeast"/>
              <w:rPr>
                <w:rFonts w:ascii="Verdana" w:hAnsi="Verdana"/>
                <w:color w:val="000000"/>
                <w:sz w:val="18"/>
                <w:szCs w:val="18"/>
              </w:rPr>
            </w:pPr>
            <w:r>
              <w:rPr>
                <w:rFonts w:ascii="Verdana" w:hAnsi="Verdana"/>
                <w:color w:val="000000"/>
                <w:sz w:val="18"/>
                <w:szCs w:val="18"/>
              </w:rPr>
              <w:t>Sygnia Itrix</w:t>
            </w:r>
          </w:p>
        </w:tc>
        <w:tc>
          <w:tcPr>
            <w:tcW w:w="993" w:type="dxa"/>
            <w:shd w:val="clear" w:color="auto" w:fill="auto"/>
            <w:vAlign w:val="center"/>
          </w:tcPr>
          <w:p w14:paraId="57C21498" w14:textId="6C832D2F"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4B9CEC53" w14:textId="52004DEB"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E231593" w14:textId="7C22C482" w:rsidR="00BE1EE9" w:rsidRPr="003B4F95"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34 875,6</w:t>
            </w:r>
          </w:p>
        </w:tc>
        <w:tc>
          <w:tcPr>
            <w:tcW w:w="1418" w:type="dxa"/>
            <w:vAlign w:val="center"/>
          </w:tcPr>
          <w:p w14:paraId="02FF980D" w14:textId="7DE0FAD6" w:rsidR="00BE1EE9" w:rsidRPr="003B4F95"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278D090" w14:textId="3A0E8BFB" w:rsidR="00BE1EE9" w:rsidRPr="003B4F95"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34 875,6</w:t>
            </w:r>
          </w:p>
        </w:tc>
      </w:tr>
      <w:tr w:rsidR="00BE1EE9" w:rsidRPr="00AB6CBE" w14:paraId="3E5AB5DE" w14:textId="77777777" w:rsidTr="001C1A83">
        <w:tc>
          <w:tcPr>
            <w:tcW w:w="567" w:type="dxa"/>
            <w:shd w:val="clear" w:color="auto" w:fill="auto"/>
          </w:tcPr>
          <w:p w14:paraId="62DC651B"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3C1FB5E5" w14:textId="77777777"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 xml:space="preserve">Absa </w:t>
            </w:r>
            <w:r>
              <w:rPr>
                <w:rFonts w:ascii="Verdana" w:hAnsi="Verdana"/>
                <w:color w:val="000000"/>
                <w:sz w:val="18"/>
                <w:szCs w:val="18"/>
              </w:rPr>
              <w:t>Capital</w:t>
            </w:r>
          </w:p>
        </w:tc>
        <w:tc>
          <w:tcPr>
            <w:tcW w:w="993" w:type="dxa"/>
            <w:shd w:val="clear" w:color="auto" w:fill="auto"/>
            <w:vAlign w:val="center"/>
          </w:tcPr>
          <w:p w14:paraId="2791DA0D" w14:textId="078F5CAF"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18</w:t>
            </w:r>
          </w:p>
        </w:tc>
        <w:tc>
          <w:tcPr>
            <w:tcW w:w="992" w:type="dxa"/>
            <w:shd w:val="clear" w:color="auto" w:fill="auto"/>
            <w:vAlign w:val="center"/>
          </w:tcPr>
          <w:p w14:paraId="2166DF9E" w14:textId="70BA1EE3"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29D8166" w14:textId="12174BC4" w:rsidR="00BE1EE9" w:rsidRPr="003B4F95"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29 009,2</w:t>
            </w:r>
          </w:p>
        </w:tc>
        <w:tc>
          <w:tcPr>
            <w:tcW w:w="1418" w:type="dxa"/>
            <w:vAlign w:val="center"/>
          </w:tcPr>
          <w:p w14:paraId="6F79E717" w14:textId="164E228B" w:rsidR="00BE1EE9" w:rsidRPr="003B4F95"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1 611,0</w:t>
            </w:r>
          </w:p>
        </w:tc>
        <w:tc>
          <w:tcPr>
            <w:tcW w:w="1843" w:type="dxa"/>
            <w:vAlign w:val="center"/>
          </w:tcPr>
          <w:p w14:paraId="32A350AC" w14:textId="5A5646D2" w:rsidR="00BE1EE9" w:rsidRPr="003B4F95" w:rsidRDefault="00BE1EE9" w:rsidP="00420382">
            <w:pPr>
              <w:spacing w:before="40" w:after="40" w:line="300" w:lineRule="atLeast"/>
              <w:jc w:val="right"/>
              <w:rPr>
                <w:rFonts w:ascii="Verdana" w:hAnsi="Verdana"/>
                <w:color w:val="000000"/>
                <w:sz w:val="18"/>
                <w:szCs w:val="18"/>
              </w:rPr>
            </w:pPr>
            <w:r>
              <w:rPr>
                <w:rFonts w:ascii="Verdana" w:hAnsi="Verdana"/>
                <w:color w:val="000000"/>
                <w:sz w:val="18"/>
                <w:szCs w:val="18"/>
              </w:rPr>
              <w:t>30 620,2</w:t>
            </w:r>
          </w:p>
        </w:tc>
      </w:tr>
      <w:tr w:rsidR="00BE1EE9" w:rsidRPr="000435BE" w14:paraId="56CF23E8" w14:textId="77777777" w:rsidTr="001C1A83">
        <w:tc>
          <w:tcPr>
            <w:tcW w:w="567" w:type="dxa"/>
            <w:shd w:val="clear" w:color="auto" w:fill="auto"/>
          </w:tcPr>
          <w:p w14:paraId="7FD80757"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1D9E85AD" w14:textId="77777777" w:rsidR="00BE1EE9" w:rsidRPr="003B4F95" w:rsidRDefault="00BE1EE9" w:rsidP="00420382">
            <w:pPr>
              <w:spacing w:before="40" w:after="40" w:line="300" w:lineRule="atLeast"/>
              <w:rPr>
                <w:rFonts w:ascii="Verdana" w:hAnsi="Verdana"/>
                <w:color w:val="000000"/>
                <w:sz w:val="18"/>
                <w:szCs w:val="18"/>
              </w:rPr>
            </w:pPr>
            <w:r>
              <w:rPr>
                <w:rFonts w:ascii="Verdana" w:hAnsi="Verdana"/>
                <w:color w:val="000000"/>
                <w:sz w:val="18"/>
                <w:szCs w:val="18"/>
              </w:rPr>
              <w:t>1nvest</w:t>
            </w:r>
          </w:p>
        </w:tc>
        <w:tc>
          <w:tcPr>
            <w:tcW w:w="993" w:type="dxa"/>
            <w:shd w:val="clear" w:color="auto" w:fill="auto"/>
            <w:vAlign w:val="center"/>
          </w:tcPr>
          <w:p w14:paraId="657AF511" w14:textId="2A4394BE"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13</w:t>
            </w:r>
          </w:p>
        </w:tc>
        <w:tc>
          <w:tcPr>
            <w:tcW w:w="992" w:type="dxa"/>
            <w:shd w:val="clear" w:color="auto" w:fill="auto"/>
            <w:vAlign w:val="center"/>
          </w:tcPr>
          <w:p w14:paraId="3918885C" w14:textId="2F3FE799"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D33FC92" w14:textId="3C1C88A9"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8 033,2</w:t>
            </w:r>
          </w:p>
        </w:tc>
        <w:tc>
          <w:tcPr>
            <w:tcW w:w="1418" w:type="dxa"/>
            <w:vAlign w:val="center"/>
          </w:tcPr>
          <w:p w14:paraId="4E6D745C" w14:textId="2DB37C6F"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815C90F" w14:textId="74CC719C"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8 033,2</w:t>
            </w:r>
          </w:p>
        </w:tc>
      </w:tr>
      <w:tr w:rsidR="00BE1EE9" w:rsidRPr="000435BE" w14:paraId="3D3E6270" w14:textId="77777777" w:rsidTr="001C1A83">
        <w:tc>
          <w:tcPr>
            <w:tcW w:w="567" w:type="dxa"/>
            <w:shd w:val="clear" w:color="auto" w:fill="auto"/>
          </w:tcPr>
          <w:p w14:paraId="2F3AB2CF"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79EA6E23" w14:textId="25F732CB" w:rsidR="00BE1EE9" w:rsidRPr="003B4F95" w:rsidRDefault="00BE1EE9" w:rsidP="00420382">
            <w:pPr>
              <w:spacing w:before="40" w:after="40" w:line="30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319024BC" w14:textId="17645643"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01DE090E" w14:textId="7F4E0ADF"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31</w:t>
            </w:r>
          </w:p>
        </w:tc>
        <w:tc>
          <w:tcPr>
            <w:tcW w:w="1417" w:type="dxa"/>
            <w:vAlign w:val="center"/>
          </w:tcPr>
          <w:p w14:paraId="3E0E1FE0" w14:textId="622F5F69"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3EE99A49" w14:textId="71289EE4"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6 175,6</w:t>
            </w:r>
          </w:p>
        </w:tc>
        <w:tc>
          <w:tcPr>
            <w:tcW w:w="1843" w:type="dxa"/>
            <w:vAlign w:val="center"/>
          </w:tcPr>
          <w:p w14:paraId="22D0BF0F" w14:textId="5A55E327"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6 175,6</w:t>
            </w:r>
          </w:p>
        </w:tc>
      </w:tr>
      <w:tr w:rsidR="00BE1EE9" w:rsidRPr="000435BE" w14:paraId="323EC4B6" w14:textId="77777777" w:rsidTr="001C1A83">
        <w:tc>
          <w:tcPr>
            <w:tcW w:w="567" w:type="dxa"/>
            <w:shd w:val="clear" w:color="auto" w:fill="auto"/>
          </w:tcPr>
          <w:p w14:paraId="09270A99"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39CE430F" w14:textId="3BF495DC" w:rsidR="00BE1EE9"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38EF681F" w14:textId="12828699"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9</w:t>
            </w:r>
          </w:p>
        </w:tc>
        <w:tc>
          <w:tcPr>
            <w:tcW w:w="992" w:type="dxa"/>
            <w:shd w:val="clear" w:color="auto" w:fill="auto"/>
            <w:vAlign w:val="center"/>
          </w:tcPr>
          <w:p w14:paraId="537A46A6" w14:textId="41A4993F"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14F542E5" w14:textId="6800E7A1"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5 878,6</w:t>
            </w:r>
          </w:p>
        </w:tc>
        <w:tc>
          <w:tcPr>
            <w:tcW w:w="1418" w:type="dxa"/>
            <w:vAlign w:val="center"/>
          </w:tcPr>
          <w:p w14:paraId="201416F2" w14:textId="05C3070D"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3DC10DE4" w14:textId="530C7425"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5 878,6</w:t>
            </w:r>
          </w:p>
        </w:tc>
      </w:tr>
      <w:tr w:rsidR="00BE1EE9" w:rsidRPr="000435BE" w14:paraId="058F621E" w14:textId="77777777" w:rsidTr="001C1A83">
        <w:tc>
          <w:tcPr>
            <w:tcW w:w="567" w:type="dxa"/>
            <w:shd w:val="clear" w:color="auto" w:fill="auto"/>
          </w:tcPr>
          <w:p w14:paraId="13960C14"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7E5A07EB" w14:textId="4C65BD2C"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5EEECC76" w14:textId="220D5014"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0A26C215" w14:textId="14A3D395"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BF052BC" w14:textId="7376D0C6"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4 975,2</w:t>
            </w:r>
          </w:p>
        </w:tc>
        <w:tc>
          <w:tcPr>
            <w:tcW w:w="1418" w:type="dxa"/>
            <w:vAlign w:val="center"/>
          </w:tcPr>
          <w:p w14:paraId="1DA2A521" w14:textId="3AD20DA4"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03A5AAA0" w14:textId="28277EA6"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4 975.2</w:t>
            </w:r>
          </w:p>
        </w:tc>
      </w:tr>
      <w:tr w:rsidR="00BE1EE9" w:rsidRPr="000435BE" w14:paraId="02650938" w14:textId="77777777" w:rsidTr="001C1A83">
        <w:tc>
          <w:tcPr>
            <w:tcW w:w="567" w:type="dxa"/>
            <w:shd w:val="clear" w:color="auto" w:fill="auto"/>
          </w:tcPr>
          <w:p w14:paraId="0B4EF678"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6F5208A5" w14:textId="77777777"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FirstRand</w:t>
            </w:r>
            <w:r>
              <w:rPr>
                <w:rFonts w:ascii="Verdana" w:hAnsi="Verdana"/>
                <w:color w:val="000000"/>
                <w:sz w:val="18"/>
                <w:szCs w:val="18"/>
              </w:rPr>
              <w:t xml:space="preserve"> </w:t>
            </w:r>
          </w:p>
        </w:tc>
        <w:tc>
          <w:tcPr>
            <w:tcW w:w="993" w:type="dxa"/>
            <w:shd w:val="clear" w:color="auto" w:fill="auto"/>
            <w:vAlign w:val="center"/>
          </w:tcPr>
          <w:p w14:paraId="3922A4D8" w14:textId="73C5CFB3"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011AB289" w14:textId="410CA26D"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42</w:t>
            </w:r>
          </w:p>
        </w:tc>
        <w:tc>
          <w:tcPr>
            <w:tcW w:w="1417" w:type="dxa"/>
            <w:vAlign w:val="center"/>
          </w:tcPr>
          <w:p w14:paraId="783FF0DB" w14:textId="1623ECB6"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1 404,0</w:t>
            </w:r>
          </w:p>
        </w:tc>
        <w:tc>
          <w:tcPr>
            <w:tcW w:w="1418" w:type="dxa"/>
            <w:vAlign w:val="center"/>
          </w:tcPr>
          <w:p w14:paraId="4807FF84" w14:textId="1F5C5029"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3 510,6</w:t>
            </w:r>
          </w:p>
        </w:tc>
        <w:tc>
          <w:tcPr>
            <w:tcW w:w="1843" w:type="dxa"/>
            <w:vAlign w:val="center"/>
          </w:tcPr>
          <w:p w14:paraId="75E23701" w14:textId="034A0D7A" w:rsidR="00BE1EE9"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4 914,6</w:t>
            </w:r>
          </w:p>
        </w:tc>
      </w:tr>
      <w:tr w:rsidR="00BE1EE9" w:rsidRPr="000435BE" w14:paraId="74FFBACF" w14:textId="77777777" w:rsidTr="001C1A83">
        <w:tc>
          <w:tcPr>
            <w:tcW w:w="567" w:type="dxa"/>
            <w:shd w:val="clear" w:color="auto" w:fill="auto"/>
          </w:tcPr>
          <w:p w14:paraId="115A2173"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49C1F41F" w14:textId="77777777"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30BF1DB5" w14:textId="06BE0E53"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2EE3776E" w14:textId="1CC0010C"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67698628" w14:textId="7B3CC3D3"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564CAC82" w14:textId="7825A4A4" w:rsidR="00BE1EE9"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2 541,6</w:t>
            </w:r>
          </w:p>
        </w:tc>
        <w:tc>
          <w:tcPr>
            <w:tcW w:w="1843" w:type="dxa"/>
            <w:vAlign w:val="center"/>
          </w:tcPr>
          <w:p w14:paraId="5682DA5B" w14:textId="604E94EC" w:rsidR="00BE1EE9"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2 541,6</w:t>
            </w:r>
          </w:p>
        </w:tc>
      </w:tr>
      <w:tr w:rsidR="00BE1EE9" w:rsidRPr="000435BE" w14:paraId="5FB42103" w14:textId="77777777" w:rsidTr="001C1A83">
        <w:tc>
          <w:tcPr>
            <w:tcW w:w="567" w:type="dxa"/>
            <w:shd w:val="clear" w:color="auto" w:fill="auto"/>
          </w:tcPr>
          <w:p w14:paraId="11AE8AAB"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700A7226" w14:textId="77777777"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Stan</w:t>
            </w:r>
            <w:r>
              <w:rPr>
                <w:rFonts w:ascii="Verdana" w:hAnsi="Verdana"/>
                <w:color w:val="000000"/>
                <w:sz w:val="18"/>
                <w:szCs w:val="18"/>
              </w:rPr>
              <w:t>dard Bank</w:t>
            </w:r>
          </w:p>
        </w:tc>
        <w:tc>
          <w:tcPr>
            <w:tcW w:w="993" w:type="dxa"/>
            <w:shd w:val="clear" w:color="auto" w:fill="auto"/>
            <w:vAlign w:val="center"/>
          </w:tcPr>
          <w:p w14:paraId="5BCA0634" w14:textId="44384937"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705CD008" w14:textId="0CF4EDD9" w:rsidR="00BE1EE9"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33A5A643" w14:textId="65318151" w:rsidR="00BE1EE9"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74E82CC8" w14:textId="5415CBFA" w:rsidR="00BE1EE9"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929,8</w:t>
            </w:r>
          </w:p>
        </w:tc>
        <w:tc>
          <w:tcPr>
            <w:tcW w:w="1843" w:type="dxa"/>
            <w:vAlign w:val="center"/>
          </w:tcPr>
          <w:p w14:paraId="0A0AE9B3" w14:textId="7455944E" w:rsidR="00BE1EE9"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929,8</w:t>
            </w:r>
          </w:p>
        </w:tc>
      </w:tr>
      <w:tr w:rsidR="00BE1EE9" w:rsidRPr="000435BE" w14:paraId="0F1A63F0" w14:textId="77777777" w:rsidTr="001C1A83">
        <w:tc>
          <w:tcPr>
            <w:tcW w:w="567" w:type="dxa"/>
            <w:shd w:val="clear" w:color="auto" w:fill="auto"/>
          </w:tcPr>
          <w:p w14:paraId="1C6357A5" w14:textId="77777777" w:rsidR="00BE1EE9" w:rsidRPr="00771D6F" w:rsidRDefault="00BE1EE9" w:rsidP="00420382">
            <w:pPr>
              <w:pStyle w:val="ListParagraph"/>
              <w:numPr>
                <w:ilvl w:val="0"/>
                <w:numId w:val="20"/>
              </w:numPr>
              <w:spacing w:before="40" w:after="40" w:line="300" w:lineRule="atLeast"/>
              <w:ind w:left="357" w:hanging="357"/>
              <w:rPr>
                <w:rFonts w:ascii="Verdana" w:hAnsi="Verdana"/>
                <w:color w:val="000000"/>
                <w:sz w:val="18"/>
                <w:szCs w:val="18"/>
              </w:rPr>
            </w:pPr>
          </w:p>
        </w:tc>
        <w:tc>
          <w:tcPr>
            <w:tcW w:w="1984" w:type="dxa"/>
            <w:gridSpan w:val="2"/>
            <w:shd w:val="clear" w:color="auto" w:fill="auto"/>
          </w:tcPr>
          <w:p w14:paraId="2A260978" w14:textId="77777777" w:rsidR="00BE1EE9" w:rsidRPr="003B4F95" w:rsidRDefault="00BE1EE9" w:rsidP="00420382">
            <w:pPr>
              <w:spacing w:before="40" w:after="40" w:line="30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104600BC" w14:textId="3E5D8C43"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6896F25A" w14:textId="2B55520F" w:rsidR="00BE1EE9" w:rsidRPr="003B4F95" w:rsidRDefault="00BE1EE9" w:rsidP="00420382">
            <w:pPr>
              <w:spacing w:before="40" w:after="40" w:line="30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01DC6088" w14:textId="54548FE6" w:rsidR="00BE1EE9" w:rsidRPr="003B4F95" w:rsidRDefault="00A66F58" w:rsidP="00420382">
            <w:pPr>
              <w:spacing w:before="40" w:after="40" w:line="300" w:lineRule="atLeast"/>
              <w:jc w:val="right"/>
              <w:rPr>
                <w:rFonts w:ascii="Verdana" w:hAnsi="Verdana"/>
                <w:color w:val="000000"/>
                <w:sz w:val="18"/>
                <w:szCs w:val="18"/>
              </w:rPr>
            </w:pPr>
            <w:r>
              <w:rPr>
                <w:rFonts w:ascii="Verdana" w:hAnsi="Verdana"/>
                <w:color w:val="000000"/>
                <w:sz w:val="18"/>
                <w:szCs w:val="18"/>
              </w:rPr>
              <w:t>7,3</w:t>
            </w:r>
          </w:p>
        </w:tc>
        <w:tc>
          <w:tcPr>
            <w:tcW w:w="1418" w:type="dxa"/>
            <w:vAlign w:val="center"/>
          </w:tcPr>
          <w:p w14:paraId="7E700237" w14:textId="1227596B" w:rsidR="00BE1EE9" w:rsidRPr="003B4F95"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A11FCC2" w14:textId="4E1952C9" w:rsidR="00BE1EE9" w:rsidRPr="003B4F95"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7,4</w:t>
            </w:r>
          </w:p>
        </w:tc>
      </w:tr>
      <w:tr w:rsidR="00BE1EE9" w:rsidRPr="000435BE" w14:paraId="1AE5CE6C" w14:textId="77777777" w:rsidTr="001C1A83">
        <w:tc>
          <w:tcPr>
            <w:tcW w:w="2551" w:type="dxa"/>
            <w:gridSpan w:val="3"/>
            <w:shd w:val="clear" w:color="auto" w:fill="auto"/>
          </w:tcPr>
          <w:p w14:paraId="0278B047" w14:textId="77777777" w:rsidR="00BE1EE9" w:rsidRPr="003B4F95" w:rsidRDefault="00BE1EE9" w:rsidP="00420382">
            <w:pPr>
              <w:spacing w:before="40" w:after="40" w:line="30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6B0F4F35" w14:textId="6830B511" w:rsidR="00BE1EE9" w:rsidRPr="003B4F95" w:rsidRDefault="00BE1EE9" w:rsidP="00420382">
            <w:pPr>
              <w:spacing w:before="40" w:after="40" w:line="300" w:lineRule="atLeast"/>
              <w:jc w:val="center"/>
              <w:rPr>
                <w:rFonts w:ascii="Verdana" w:hAnsi="Verdana"/>
                <w:b/>
                <w:color w:val="000000"/>
                <w:sz w:val="18"/>
                <w:szCs w:val="18"/>
              </w:rPr>
            </w:pPr>
            <w:r>
              <w:rPr>
                <w:rFonts w:ascii="Verdana" w:hAnsi="Verdana"/>
                <w:b/>
                <w:color w:val="000000"/>
                <w:sz w:val="18"/>
                <w:szCs w:val="18"/>
              </w:rPr>
              <w:t>86</w:t>
            </w:r>
          </w:p>
        </w:tc>
        <w:tc>
          <w:tcPr>
            <w:tcW w:w="992" w:type="dxa"/>
            <w:shd w:val="clear" w:color="auto" w:fill="auto"/>
            <w:vAlign w:val="center"/>
          </w:tcPr>
          <w:p w14:paraId="455EA608" w14:textId="03D77647" w:rsidR="00BE1EE9" w:rsidRPr="003B4F95" w:rsidRDefault="00BE1EE9" w:rsidP="00420382">
            <w:pPr>
              <w:spacing w:before="40" w:after="40" w:line="300" w:lineRule="atLeast"/>
              <w:jc w:val="center"/>
              <w:rPr>
                <w:rFonts w:ascii="Verdana" w:hAnsi="Verdana"/>
                <w:b/>
                <w:color w:val="000000"/>
                <w:sz w:val="18"/>
                <w:szCs w:val="18"/>
              </w:rPr>
            </w:pPr>
            <w:r>
              <w:rPr>
                <w:rFonts w:ascii="Verdana" w:hAnsi="Verdana"/>
                <w:b/>
                <w:color w:val="000000"/>
                <w:sz w:val="18"/>
                <w:szCs w:val="18"/>
              </w:rPr>
              <w:t>82</w:t>
            </w:r>
          </w:p>
        </w:tc>
        <w:tc>
          <w:tcPr>
            <w:tcW w:w="1417" w:type="dxa"/>
            <w:vAlign w:val="center"/>
          </w:tcPr>
          <w:p w14:paraId="5B146289" w14:textId="3CD7B89C" w:rsidR="00BE1EE9" w:rsidRPr="003B4F95" w:rsidRDefault="00A66F58" w:rsidP="00420382">
            <w:pPr>
              <w:spacing w:before="40" w:after="40" w:line="300" w:lineRule="atLeast"/>
              <w:jc w:val="right"/>
              <w:rPr>
                <w:rFonts w:ascii="Verdana" w:hAnsi="Verdana"/>
                <w:b/>
                <w:color w:val="000000"/>
                <w:sz w:val="18"/>
                <w:szCs w:val="18"/>
              </w:rPr>
            </w:pPr>
            <w:r>
              <w:rPr>
                <w:rFonts w:ascii="Verdana" w:hAnsi="Verdana"/>
                <w:b/>
                <w:color w:val="000000"/>
                <w:sz w:val="18"/>
                <w:szCs w:val="18"/>
              </w:rPr>
              <w:t>121 280,9</w:t>
            </w:r>
          </w:p>
        </w:tc>
        <w:tc>
          <w:tcPr>
            <w:tcW w:w="1418" w:type="dxa"/>
            <w:vAlign w:val="center"/>
          </w:tcPr>
          <w:p w14:paraId="3815159C" w14:textId="1295FBAD" w:rsidR="00BE1EE9" w:rsidRPr="003B4F95" w:rsidRDefault="001B09C4" w:rsidP="00420382">
            <w:pPr>
              <w:spacing w:before="40" w:after="40" w:line="300" w:lineRule="atLeast"/>
              <w:jc w:val="right"/>
              <w:rPr>
                <w:rFonts w:ascii="Verdana" w:hAnsi="Verdana"/>
                <w:b/>
                <w:color w:val="000000"/>
                <w:sz w:val="18"/>
                <w:szCs w:val="18"/>
              </w:rPr>
            </w:pPr>
            <w:r>
              <w:rPr>
                <w:rFonts w:ascii="Verdana" w:hAnsi="Verdana"/>
                <w:b/>
                <w:color w:val="000000"/>
                <w:sz w:val="18"/>
                <w:szCs w:val="18"/>
              </w:rPr>
              <w:t>14 768,6</w:t>
            </w:r>
          </w:p>
        </w:tc>
        <w:tc>
          <w:tcPr>
            <w:tcW w:w="1843" w:type="dxa"/>
            <w:vAlign w:val="center"/>
          </w:tcPr>
          <w:p w14:paraId="1BEAD478" w14:textId="2C6CDEB4" w:rsidR="00BE1EE9" w:rsidRPr="003B4F95" w:rsidRDefault="001B09C4" w:rsidP="00420382">
            <w:pPr>
              <w:spacing w:before="40" w:after="40" w:line="300" w:lineRule="atLeast"/>
              <w:jc w:val="right"/>
              <w:rPr>
                <w:rFonts w:ascii="Verdana" w:hAnsi="Verdana"/>
                <w:b/>
                <w:color w:val="000000"/>
                <w:sz w:val="18"/>
                <w:szCs w:val="18"/>
              </w:rPr>
            </w:pPr>
            <w:r>
              <w:rPr>
                <w:rFonts w:ascii="Verdana" w:hAnsi="Verdana"/>
                <w:b/>
                <w:color w:val="000000"/>
                <w:sz w:val="18"/>
                <w:szCs w:val="18"/>
              </w:rPr>
              <w:t>136 049,5</w:t>
            </w:r>
          </w:p>
        </w:tc>
      </w:tr>
      <w:tr w:rsidR="00BE1EE9" w:rsidRPr="00DB77B9" w14:paraId="7434251C" w14:textId="77777777" w:rsidTr="001C1A83">
        <w:trPr>
          <w:trHeight w:val="217"/>
        </w:trPr>
        <w:tc>
          <w:tcPr>
            <w:tcW w:w="850" w:type="dxa"/>
            <w:gridSpan w:val="2"/>
            <w:tcBorders>
              <w:right w:val="nil"/>
            </w:tcBorders>
            <w:shd w:val="clear" w:color="auto" w:fill="auto"/>
            <w:vAlign w:val="center"/>
          </w:tcPr>
          <w:p w14:paraId="7D2CBC01" w14:textId="77777777" w:rsidR="00BE1EE9" w:rsidRPr="000435BE" w:rsidRDefault="00BE1EE9" w:rsidP="00BE1EE9">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8356A19" w14:textId="3ED04D2A" w:rsidR="00BE1EE9" w:rsidRPr="00573EA2" w:rsidRDefault="00BE1EE9" w:rsidP="00BE1EE9">
            <w:pPr>
              <w:spacing w:after="40" w:line="280" w:lineRule="atLeast"/>
              <w:rPr>
                <w:rFonts w:ascii="Verdana" w:hAnsi="Verdana"/>
                <w:i/>
                <w:color w:val="000000"/>
                <w:sz w:val="14"/>
                <w:szCs w:val="14"/>
                <w:lang w:val="it-IT"/>
              </w:rPr>
            </w:pPr>
            <w:r w:rsidRPr="00573EA2">
              <w:rPr>
                <w:rFonts w:ascii="Verdana" w:hAnsi="Verdana"/>
                <w:i/>
                <w:color w:val="000000"/>
                <w:sz w:val="14"/>
                <w:szCs w:val="14"/>
                <w:lang w:val="it-IT"/>
              </w:rPr>
              <w:t>etfSA.co.za / JSE / Profile Data (3</w:t>
            </w:r>
            <w:r w:rsidR="001B09C4">
              <w:rPr>
                <w:rFonts w:ascii="Verdana" w:hAnsi="Verdana"/>
                <w:i/>
                <w:color w:val="000000"/>
                <w:sz w:val="14"/>
                <w:szCs w:val="14"/>
                <w:lang w:val="it-IT"/>
              </w:rPr>
              <w:t>1</w:t>
            </w:r>
            <w:r w:rsidRPr="00573EA2">
              <w:rPr>
                <w:rFonts w:ascii="Verdana" w:hAnsi="Verdana"/>
                <w:i/>
                <w:color w:val="000000"/>
                <w:sz w:val="14"/>
                <w:szCs w:val="14"/>
                <w:lang w:val="it-IT"/>
              </w:rPr>
              <w:t>/</w:t>
            </w:r>
            <w:r w:rsidR="001B09C4">
              <w:rPr>
                <w:rFonts w:ascii="Verdana" w:hAnsi="Verdana"/>
                <w:i/>
                <w:color w:val="000000"/>
                <w:sz w:val="14"/>
                <w:szCs w:val="14"/>
                <w:lang w:val="it-IT"/>
              </w:rPr>
              <w:t>12</w:t>
            </w:r>
            <w:r w:rsidRPr="00573EA2">
              <w:rPr>
                <w:rFonts w:ascii="Verdana" w:hAnsi="Verdana"/>
                <w:i/>
                <w:color w:val="000000"/>
                <w:sz w:val="14"/>
                <w:szCs w:val="14"/>
                <w:lang w:val="it-IT"/>
              </w:rPr>
              <w:t>/202</w:t>
            </w:r>
            <w:r>
              <w:rPr>
                <w:rFonts w:ascii="Verdana" w:hAnsi="Verdana"/>
                <w:i/>
                <w:color w:val="000000"/>
                <w:sz w:val="14"/>
                <w:szCs w:val="14"/>
                <w:lang w:val="it-IT"/>
              </w:rPr>
              <w:t>1</w:t>
            </w:r>
            <w:r w:rsidRPr="00573EA2">
              <w:rPr>
                <w:rFonts w:ascii="Verdana" w:hAnsi="Verdana"/>
                <w:i/>
                <w:color w:val="000000"/>
                <w:sz w:val="14"/>
                <w:szCs w:val="14"/>
                <w:lang w:val="it-IT"/>
              </w:rPr>
              <w:t xml:space="preserve">). </w:t>
            </w:r>
          </w:p>
        </w:tc>
      </w:tr>
    </w:tbl>
    <w:p w14:paraId="0F808FD2" w14:textId="77777777" w:rsidR="006015AB" w:rsidRPr="002F5364" w:rsidRDefault="006015AB" w:rsidP="008820A2">
      <w:pPr>
        <w:spacing w:after="0" w:line="320" w:lineRule="atLeast"/>
        <w:jc w:val="both"/>
        <w:rPr>
          <w:rFonts w:ascii="Verdana" w:hAnsi="Verdana"/>
          <w:color w:val="000000"/>
          <w:sz w:val="21"/>
          <w:szCs w:val="21"/>
          <w:lang w:val="it-IT"/>
        </w:rPr>
      </w:pPr>
    </w:p>
    <w:p w14:paraId="708C4848" w14:textId="77777777" w:rsidR="001B09C4" w:rsidRDefault="001B09C4" w:rsidP="008820A2">
      <w:pPr>
        <w:spacing w:after="0" w:line="320" w:lineRule="atLeast"/>
        <w:jc w:val="both"/>
        <w:rPr>
          <w:rFonts w:ascii="Verdana" w:hAnsi="Verdana"/>
          <w:color w:val="000000"/>
          <w:sz w:val="21"/>
          <w:szCs w:val="21"/>
        </w:rPr>
      </w:pPr>
      <w:r>
        <w:rPr>
          <w:rFonts w:ascii="Verdana" w:hAnsi="Verdana"/>
          <w:color w:val="000000"/>
          <w:sz w:val="21"/>
          <w:szCs w:val="21"/>
        </w:rPr>
        <w:t xml:space="preserve">The ETP industry remains dominated by the three top issuing houses, as shown below. </w:t>
      </w:r>
    </w:p>
    <w:p w14:paraId="3EE90420" w14:textId="77777777" w:rsidR="001B09C4" w:rsidRDefault="001B09C4" w:rsidP="008820A2">
      <w:pPr>
        <w:spacing w:after="0" w:line="320" w:lineRule="atLeast"/>
        <w:rPr>
          <w:rFonts w:ascii="Verdana" w:hAnsi="Verdana"/>
          <w:color w:val="000000"/>
          <w:sz w:val="21"/>
          <w:szCs w:val="21"/>
        </w:rPr>
      </w:pPr>
    </w:p>
    <w:tbl>
      <w:tblPr>
        <w:tblW w:w="680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1559"/>
      </w:tblGrid>
      <w:tr w:rsidR="001B09C4" w:rsidRPr="00AB6CBE" w14:paraId="1F955BD4" w14:textId="77777777" w:rsidTr="001B09C4">
        <w:tc>
          <w:tcPr>
            <w:tcW w:w="6804" w:type="dxa"/>
            <w:gridSpan w:val="3"/>
            <w:shd w:val="clear" w:color="auto" w:fill="C00000"/>
          </w:tcPr>
          <w:p w14:paraId="78639699" w14:textId="28617AA9" w:rsidR="001B09C4" w:rsidRDefault="001B09C4" w:rsidP="00420382">
            <w:pPr>
              <w:spacing w:before="40" w:after="40" w:line="300" w:lineRule="atLeast"/>
              <w:jc w:val="center"/>
              <w:rPr>
                <w:rFonts w:ascii="Verdana" w:hAnsi="Verdana"/>
                <w:b/>
                <w:color w:val="FFFFFF"/>
                <w:sz w:val="18"/>
                <w:szCs w:val="18"/>
              </w:rPr>
            </w:pPr>
            <w:r>
              <w:rPr>
                <w:rFonts w:ascii="Verdana" w:hAnsi="Verdana"/>
                <w:b/>
                <w:color w:val="FFFFFF"/>
                <w:sz w:val="18"/>
                <w:szCs w:val="18"/>
              </w:rPr>
              <w:t>Top Three</w:t>
            </w:r>
          </w:p>
        </w:tc>
      </w:tr>
      <w:tr w:rsidR="001B09C4" w:rsidRPr="00AB6CBE" w14:paraId="71A25DC0" w14:textId="77777777" w:rsidTr="001B09C4">
        <w:trPr>
          <w:trHeight w:val="360"/>
        </w:trPr>
        <w:tc>
          <w:tcPr>
            <w:tcW w:w="3544" w:type="dxa"/>
            <w:shd w:val="clear" w:color="auto" w:fill="4C4C4C"/>
          </w:tcPr>
          <w:p w14:paraId="3FF08B63" w14:textId="36EF8D94" w:rsidR="001B09C4" w:rsidRPr="003B4F95" w:rsidRDefault="001B09C4" w:rsidP="00420382">
            <w:pPr>
              <w:spacing w:before="40" w:after="40" w:line="300" w:lineRule="atLeast"/>
              <w:rPr>
                <w:rFonts w:ascii="Verdana" w:hAnsi="Verdana"/>
                <w:b/>
                <w:color w:val="FFFFFF"/>
                <w:sz w:val="18"/>
                <w:szCs w:val="18"/>
              </w:rPr>
            </w:pPr>
            <w:r>
              <w:rPr>
                <w:rFonts w:ascii="Verdana" w:hAnsi="Verdana"/>
                <w:b/>
                <w:color w:val="FFFFFF"/>
                <w:sz w:val="18"/>
                <w:szCs w:val="18"/>
              </w:rPr>
              <w:t>Issuer</w:t>
            </w:r>
          </w:p>
        </w:tc>
        <w:tc>
          <w:tcPr>
            <w:tcW w:w="1701" w:type="dxa"/>
            <w:shd w:val="clear" w:color="auto" w:fill="4C4C4C"/>
            <w:vAlign w:val="center"/>
          </w:tcPr>
          <w:p w14:paraId="0A2037B9" w14:textId="07B6B492" w:rsidR="001B09C4" w:rsidRPr="003B4F95" w:rsidRDefault="001B09C4" w:rsidP="00420382">
            <w:pPr>
              <w:spacing w:before="40" w:after="40" w:line="300" w:lineRule="atLeast"/>
              <w:jc w:val="right"/>
              <w:rPr>
                <w:rFonts w:ascii="Verdana" w:hAnsi="Verdana"/>
                <w:b/>
                <w:color w:val="FFFFFF"/>
                <w:sz w:val="18"/>
                <w:szCs w:val="18"/>
              </w:rPr>
            </w:pPr>
            <w:r>
              <w:rPr>
                <w:rFonts w:ascii="Verdana" w:hAnsi="Verdana"/>
                <w:b/>
                <w:color w:val="FFFFFF"/>
                <w:sz w:val="18"/>
                <w:szCs w:val="18"/>
              </w:rPr>
              <w:t>Market Cap. (R million)</w:t>
            </w:r>
          </w:p>
        </w:tc>
        <w:tc>
          <w:tcPr>
            <w:tcW w:w="1559" w:type="dxa"/>
            <w:shd w:val="clear" w:color="auto" w:fill="4C4C4C"/>
            <w:vAlign w:val="center"/>
          </w:tcPr>
          <w:p w14:paraId="1106771F" w14:textId="705CA0C1" w:rsidR="001B09C4" w:rsidRPr="003B4F95" w:rsidRDefault="001B09C4" w:rsidP="00420382">
            <w:pPr>
              <w:spacing w:before="40" w:after="40" w:line="300" w:lineRule="atLeast"/>
              <w:jc w:val="center"/>
              <w:rPr>
                <w:rFonts w:ascii="Verdana" w:hAnsi="Verdana"/>
                <w:b/>
                <w:color w:val="FFFFFF"/>
                <w:sz w:val="18"/>
                <w:szCs w:val="18"/>
              </w:rPr>
            </w:pPr>
            <w:r>
              <w:rPr>
                <w:rFonts w:ascii="Verdana" w:hAnsi="Verdana"/>
                <w:b/>
                <w:color w:val="FFFFFF"/>
                <w:sz w:val="18"/>
                <w:szCs w:val="18"/>
              </w:rPr>
              <w:t>% of Industry</w:t>
            </w:r>
          </w:p>
        </w:tc>
      </w:tr>
      <w:tr w:rsidR="001B09C4" w:rsidRPr="00AB6CBE" w14:paraId="7371E05D" w14:textId="77777777" w:rsidTr="001B09C4">
        <w:tc>
          <w:tcPr>
            <w:tcW w:w="3544" w:type="dxa"/>
            <w:shd w:val="clear" w:color="auto" w:fill="auto"/>
          </w:tcPr>
          <w:p w14:paraId="7CF383C9" w14:textId="4EE5BE8D" w:rsidR="001B09C4" w:rsidRDefault="001B09C4" w:rsidP="00420382">
            <w:pPr>
              <w:spacing w:before="40" w:after="40" w:line="300" w:lineRule="atLeast"/>
              <w:rPr>
                <w:rFonts w:ascii="Verdana" w:hAnsi="Verdana"/>
                <w:color w:val="000000"/>
                <w:sz w:val="18"/>
                <w:szCs w:val="18"/>
              </w:rPr>
            </w:pPr>
            <w:r>
              <w:rPr>
                <w:rFonts w:ascii="Verdana" w:hAnsi="Verdana"/>
                <w:color w:val="000000"/>
                <w:sz w:val="18"/>
                <w:szCs w:val="18"/>
              </w:rPr>
              <w:t>Satrix Managers</w:t>
            </w:r>
          </w:p>
        </w:tc>
        <w:tc>
          <w:tcPr>
            <w:tcW w:w="1701" w:type="dxa"/>
            <w:vAlign w:val="center"/>
          </w:tcPr>
          <w:p w14:paraId="2513ABBC" w14:textId="2809A816" w:rsidR="001B09C4"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37 097,8</w:t>
            </w:r>
          </w:p>
        </w:tc>
        <w:tc>
          <w:tcPr>
            <w:tcW w:w="1559" w:type="dxa"/>
            <w:vAlign w:val="center"/>
          </w:tcPr>
          <w:p w14:paraId="7EB00C8E" w14:textId="21B5D7ED" w:rsidR="001B09C4" w:rsidRDefault="001B09C4" w:rsidP="00420382">
            <w:pPr>
              <w:spacing w:before="40" w:after="40" w:line="300" w:lineRule="atLeast"/>
              <w:jc w:val="center"/>
              <w:rPr>
                <w:rFonts w:ascii="Verdana" w:hAnsi="Verdana"/>
                <w:color w:val="000000"/>
                <w:sz w:val="18"/>
                <w:szCs w:val="18"/>
              </w:rPr>
            </w:pPr>
            <w:r>
              <w:rPr>
                <w:rFonts w:ascii="Verdana" w:hAnsi="Verdana"/>
                <w:color w:val="000000"/>
                <w:sz w:val="18"/>
                <w:szCs w:val="18"/>
              </w:rPr>
              <w:t>27,3</w:t>
            </w:r>
          </w:p>
        </w:tc>
      </w:tr>
      <w:tr w:rsidR="001B09C4" w:rsidRPr="00AB6CBE" w14:paraId="1FEF079C" w14:textId="77777777" w:rsidTr="001B09C4">
        <w:tc>
          <w:tcPr>
            <w:tcW w:w="3544" w:type="dxa"/>
            <w:shd w:val="clear" w:color="auto" w:fill="auto"/>
          </w:tcPr>
          <w:p w14:paraId="72B94A84" w14:textId="18BD74E1" w:rsidR="001B09C4" w:rsidRDefault="001B09C4" w:rsidP="00420382">
            <w:pPr>
              <w:spacing w:before="40" w:after="40" w:line="300" w:lineRule="atLeast"/>
              <w:rPr>
                <w:rFonts w:ascii="Verdana" w:hAnsi="Verdana"/>
                <w:color w:val="000000"/>
                <w:sz w:val="18"/>
                <w:szCs w:val="18"/>
              </w:rPr>
            </w:pPr>
            <w:r>
              <w:rPr>
                <w:rFonts w:ascii="Verdana" w:hAnsi="Verdana"/>
                <w:color w:val="000000"/>
                <w:sz w:val="18"/>
                <w:szCs w:val="18"/>
              </w:rPr>
              <w:t>Sygnia Itrix</w:t>
            </w:r>
          </w:p>
        </w:tc>
        <w:tc>
          <w:tcPr>
            <w:tcW w:w="1701" w:type="dxa"/>
            <w:vAlign w:val="center"/>
          </w:tcPr>
          <w:p w14:paraId="496C982C" w14:textId="5B387BFD" w:rsidR="001B09C4"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34 875,6</w:t>
            </w:r>
          </w:p>
        </w:tc>
        <w:tc>
          <w:tcPr>
            <w:tcW w:w="1559" w:type="dxa"/>
            <w:vAlign w:val="center"/>
          </w:tcPr>
          <w:p w14:paraId="6616B150" w14:textId="3546EE1D" w:rsidR="001B09C4" w:rsidRDefault="001B09C4" w:rsidP="00420382">
            <w:pPr>
              <w:spacing w:before="40" w:after="40" w:line="300" w:lineRule="atLeast"/>
              <w:jc w:val="center"/>
              <w:rPr>
                <w:rFonts w:ascii="Verdana" w:hAnsi="Verdana"/>
                <w:color w:val="000000"/>
                <w:sz w:val="18"/>
                <w:szCs w:val="18"/>
              </w:rPr>
            </w:pPr>
            <w:r>
              <w:rPr>
                <w:rFonts w:ascii="Verdana" w:hAnsi="Verdana"/>
                <w:color w:val="000000"/>
                <w:sz w:val="18"/>
                <w:szCs w:val="18"/>
              </w:rPr>
              <w:t>25,6</w:t>
            </w:r>
          </w:p>
        </w:tc>
      </w:tr>
      <w:tr w:rsidR="001B09C4" w:rsidRPr="00AB6CBE" w14:paraId="6DBA0377" w14:textId="77777777" w:rsidTr="001B09C4">
        <w:tc>
          <w:tcPr>
            <w:tcW w:w="3544" w:type="dxa"/>
            <w:shd w:val="clear" w:color="auto" w:fill="auto"/>
          </w:tcPr>
          <w:p w14:paraId="776AFF68" w14:textId="10A5901C" w:rsidR="001B09C4" w:rsidRDefault="001B09C4" w:rsidP="00420382">
            <w:pPr>
              <w:spacing w:before="40" w:after="40" w:line="300" w:lineRule="atLeast"/>
              <w:rPr>
                <w:rFonts w:ascii="Verdana" w:hAnsi="Verdana"/>
                <w:color w:val="000000"/>
                <w:sz w:val="18"/>
                <w:szCs w:val="18"/>
              </w:rPr>
            </w:pPr>
            <w:r>
              <w:rPr>
                <w:rFonts w:ascii="Verdana" w:hAnsi="Verdana"/>
                <w:color w:val="000000"/>
                <w:sz w:val="18"/>
                <w:szCs w:val="18"/>
              </w:rPr>
              <w:t>Absa Capital</w:t>
            </w:r>
          </w:p>
        </w:tc>
        <w:tc>
          <w:tcPr>
            <w:tcW w:w="1701" w:type="dxa"/>
            <w:vAlign w:val="center"/>
          </w:tcPr>
          <w:p w14:paraId="5ED52533" w14:textId="3D3B8565" w:rsidR="001B09C4" w:rsidRDefault="001B09C4" w:rsidP="00420382">
            <w:pPr>
              <w:spacing w:before="40" w:after="40" w:line="300" w:lineRule="atLeast"/>
              <w:jc w:val="right"/>
              <w:rPr>
                <w:rFonts w:ascii="Verdana" w:hAnsi="Verdana"/>
                <w:color w:val="000000"/>
                <w:sz w:val="18"/>
                <w:szCs w:val="18"/>
              </w:rPr>
            </w:pPr>
            <w:r>
              <w:rPr>
                <w:rFonts w:ascii="Verdana" w:hAnsi="Verdana"/>
                <w:color w:val="000000"/>
                <w:sz w:val="18"/>
                <w:szCs w:val="18"/>
              </w:rPr>
              <w:t>30 620,2</w:t>
            </w:r>
          </w:p>
        </w:tc>
        <w:tc>
          <w:tcPr>
            <w:tcW w:w="1559" w:type="dxa"/>
            <w:vAlign w:val="center"/>
          </w:tcPr>
          <w:p w14:paraId="32010F70" w14:textId="4CF268D4" w:rsidR="001B09C4" w:rsidRDefault="001B09C4" w:rsidP="00420382">
            <w:pPr>
              <w:spacing w:before="40" w:after="40" w:line="300" w:lineRule="atLeast"/>
              <w:jc w:val="center"/>
              <w:rPr>
                <w:rFonts w:ascii="Verdana" w:hAnsi="Verdana"/>
                <w:color w:val="000000"/>
                <w:sz w:val="18"/>
                <w:szCs w:val="18"/>
              </w:rPr>
            </w:pPr>
            <w:r>
              <w:rPr>
                <w:rFonts w:ascii="Verdana" w:hAnsi="Verdana"/>
                <w:color w:val="000000"/>
                <w:sz w:val="18"/>
                <w:szCs w:val="18"/>
              </w:rPr>
              <w:t>22,5</w:t>
            </w:r>
          </w:p>
        </w:tc>
      </w:tr>
      <w:tr w:rsidR="001B09C4" w:rsidRPr="00864626" w14:paraId="3ED3C506" w14:textId="77777777" w:rsidTr="001B09C4">
        <w:tc>
          <w:tcPr>
            <w:tcW w:w="3544" w:type="dxa"/>
            <w:shd w:val="clear" w:color="auto" w:fill="auto"/>
          </w:tcPr>
          <w:p w14:paraId="3003B900" w14:textId="4CBA627D" w:rsidR="001B09C4" w:rsidRPr="00864626" w:rsidRDefault="001B09C4" w:rsidP="00420382">
            <w:pPr>
              <w:spacing w:before="40" w:after="40" w:line="300" w:lineRule="atLeast"/>
              <w:rPr>
                <w:rFonts w:ascii="Verdana" w:hAnsi="Verdana"/>
                <w:b/>
                <w:bCs/>
                <w:color w:val="000000"/>
                <w:sz w:val="18"/>
                <w:szCs w:val="18"/>
              </w:rPr>
            </w:pPr>
            <w:r>
              <w:rPr>
                <w:rFonts w:ascii="Verdana" w:hAnsi="Verdana"/>
                <w:b/>
                <w:bCs/>
                <w:color w:val="000000"/>
                <w:sz w:val="18"/>
                <w:szCs w:val="18"/>
              </w:rPr>
              <w:t>Totals</w:t>
            </w:r>
          </w:p>
        </w:tc>
        <w:tc>
          <w:tcPr>
            <w:tcW w:w="1701" w:type="dxa"/>
            <w:vAlign w:val="center"/>
          </w:tcPr>
          <w:p w14:paraId="19DCF9DD" w14:textId="6B53A695" w:rsidR="001B09C4" w:rsidRPr="00864626" w:rsidRDefault="001B09C4" w:rsidP="00420382">
            <w:pPr>
              <w:spacing w:before="40" w:after="40" w:line="300" w:lineRule="atLeast"/>
              <w:jc w:val="right"/>
              <w:rPr>
                <w:rFonts w:ascii="Verdana" w:hAnsi="Verdana"/>
                <w:b/>
                <w:bCs/>
                <w:color w:val="000000"/>
                <w:sz w:val="18"/>
                <w:szCs w:val="18"/>
              </w:rPr>
            </w:pPr>
            <w:r>
              <w:rPr>
                <w:rFonts w:ascii="Verdana" w:hAnsi="Verdana"/>
                <w:b/>
                <w:bCs/>
                <w:color w:val="000000"/>
                <w:sz w:val="18"/>
                <w:szCs w:val="18"/>
              </w:rPr>
              <w:t>102 593,6</w:t>
            </w:r>
          </w:p>
        </w:tc>
        <w:tc>
          <w:tcPr>
            <w:tcW w:w="1559" w:type="dxa"/>
            <w:vAlign w:val="center"/>
          </w:tcPr>
          <w:p w14:paraId="4D6A43FD" w14:textId="0D8A91DD" w:rsidR="001B09C4" w:rsidRPr="00864626" w:rsidRDefault="001B09C4" w:rsidP="00420382">
            <w:pPr>
              <w:spacing w:before="40" w:after="40" w:line="300" w:lineRule="atLeast"/>
              <w:jc w:val="center"/>
              <w:rPr>
                <w:rFonts w:ascii="Verdana" w:hAnsi="Verdana"/>
                <w:b/>
                <w:bCs/>
                <w:color w:val="000000"/>
                <w:sz w:val="18"/>
                <w:szCs w:val="18"/>
              </w:rPr>
            </w:pPr>
            <w:r>
              <w:rPr>
                <w:rFonts w:ascii="Verdana" w:hAnsi="Verdana"/>
                <w:b/>
                <w:bCs/>
                <w:color w:val="000000"/>
                <w:sz w:val="18"/>
                <w:szCs w:val="18"/>
              </w:rPr>
              <w:t>75,4</w:t>
            </w:r>
          </w:p>
        </w:tc>
      </w:tr>
    </w:tbl>
    <w:p w14:paraId="7416E166" w14:textId="7BF0EF9B" w:rsidR="00DF3A31" w:rsidRDefault="001B09C4" w:rsidP="00420382">
      <w:pPr>
        <w:spacing w:before="120" w:after="0" w:line="360" w:lineRule="atLeast"/>
        <w:jc w:val="both"/>
        <w:rPr>
          <w:rFonts w:ascii="Verdana" w:hAnsi="Verdana"/>
          <w:color w:val="000000"/>
          <w:sz w:val="21"/>
          <w:szCs w:val="21"/>
        </w:rPr>
      </w:pPr>
      <w:r>
        <w:rPr>
          <w:rFonts w:ascii="Verdana" w:hAnsi="Verdana"/>
          <w:color w:val="000000"/>
          <w:sz w:val="21"/>
          <w:szCs w:val="21"/>
        </w:rPr>
        <w:t>The “big three” account for R102,6 billion or 75,4% of the total AUM of the South African ETP</w:t>
      </w:r>
      <w:r w:rsidR="00DF3A31">
        <w:rPr>
          <w:rFonts w:ascii="Verdana" w:hAnsi="Verdana"/>
          <w:color w:val="000000"/>
          <w:sz w:val="21"/>
          <w:szCs w:val="21"/>
        </w:rPr>
        <w:t xml:space="preserve"> industry.  Whilst competition between these three companies is fierce and is good for the industry as a whole, the remaining 8 issuing houses have plenty of work to do in order to become competing players in the industry. </w:t>
      </w:r>
      <w:r w:rsidR="00DF3A31">
        <w:rPr>
          <w:rFonts w:ascii="Verdana" w:hAnsi="Verdana"/>
          <w:color w:val="000000"/>
          <w:sz w:val="21"/>
          <w:szCs w:val="21"/>
        </w:rPr>
        <w:br w:type="page"/>
      </w:r>
    </w:p>
    <w:p w14:paraId="7C24ABC4" w14:textId="77777777" w:rsidR="001B5446" w:rsidRDefault="001B5446" w:rsidP="001B09C4">
      <w:pPr>
        <w:spacing w:before="120" w:after="0" w:line="360" w:lineRule="atLeast"/>
        <w:jc w:val="both"/>
        <w:rPr>
          <w:rFonts w:ascii="Verdana" w:hAnsi="Verdana"/>
          <w:color w:val="000000"/>
          <w:sz w:val="21"/>
          <w:szCs w:val="21"/>
        </w:rPr>
      </w:pPr>
    </w:p>
    <w:p w14:paraId="6DB99165" w14:textId="3C17E7CE" w:rsidR="00420382" w:rsidRDefault="00420382" w:rsidP="001B5446">
      <w:pPr>
        <w:spacing w:before="160" w:after="0" w:line="400" w:lineRule="atLeast"/>
        <w:jc w:val="both"/>
        <w:rPr>
          <w:rFonts w:ascii="Verdana" w:hAnsi="Verdana"/>
          <w:color w:val="000000"/>
          <w:sz w:val="21"/>
          <w:szCs w:val="21"/>
        </w:rPr>
      </w:pPr>
      <w:r>
        <w:rPr>
          <w:rFonts w:ascii="Verdana" w:hAnsi="Verdana"/>
          <w:color w:val="000000"/>
          <w:sz w:val="21"/>
          <w:szCs w:val="21"/>
        </w:rPr>
        <w:t>The trend towards the issue of ETNs in recent years, has boosted the number of ETP products in issue, but has attracted relatively little capital.  The total AUM for ETNs in South African now stands at R14,8 million, or only 10,8% of the industry</w:t>
      </w:r>
    </w:p>
    <w:p w14:paraId="2449BDA8" w14:textId="0BE51093" w:rsidR="00DF3A31" w:rsidRDefault="00DF3A31" w:rsidP="001B5446">
      <w:pPr>
        <w:spacing w:before="160" w:after="0" w:line="400" w:lineRule="atLeast"/>
        <w:jc w:val="both"/>
        <w:rPr>
          <w:rFonts w:ascii="Verdana" w:hAnsi="Verdana"/>
          <w:color w:val="000000"/>
          <w:sz w:val="21"/>
          <w:szCs w:val="21"/>
        </w:rPr>
      </w:pPr>
      <w:r>
        <w:rPr>
          <w:rFonts w:ascii="Verdana" w:hAnsi="Verdana"/>
          <w:color w:val="000000"/>
          <w:sz w:val="21"/>
          <w:szCs w:val="21"/>
        </w:rPr>
        <w:t>The investment public appears to prefer the certain</w:t>
      </w:r>
      <w:r w:rsidR="00346C09">
        <w:rPr>
          <w:rFonts w:ascii="Verdana" w:hAnsi="Verdana"/>
          <w:color w:val="000000"/>
          <w:sz w:val="21"/>
          <w:szCs w:val="21"/>
        </w:rPr>
        <w:t>ty</w:t>
      </w:r>
      <w:r>
        <w:rPr>
          <w:rFonts w:ascii="Verdana" w:hAnsi="Verdana"/>
          <w:color w:val="000000"/>
          <w:sz w:val="21"/>
          <w:szCs w:val="21"/>
        </w:rPr>
        <w:t xml:space="preserve"> of 100% physically backed Exchange Traded Funds (ETFs), rather than ETNs that rely on the creditworthiness of the issuer to </w:t>
      </w:r>
      <w:r w:rsidR="00346C09">
        <w:rPr>
          <w:rFonts w:ascii="Verdana" w:hAnsi="Verdana"/>
          <w:color w:val="000000"/>
          <w:sz w:val="21"/>
          <w:szCs w:val="21"/>
        </w:rPr>
        <w:t>support</w:t>
      </w:r>
      <w:r>
        <w:rPr>
          <w:rFonts w:ascii="Verdana" w:hAnsi="Verdana"/>
          <w:color w:val="000000"/>
          <w:sz w:val="21"/>
          <w:szCs w:val="21"/>
        </w:rPr>
        <w:t xml:space="preserve"> their delivery of index tracking returns.  ETNs are </w:t>
      </w:r>
      <w:r w:rsidR="00346C09">
        <w:rPr>
          <w:rFonts w:ascii="Verdana" w:hAnsi="Verdana"/>
          <w:color w:val="000000"/>
          <w:sz w:val="21"/>
          <w:szCs w:val="21"/>
        </w:rPr>
        <w:t xml:space="preserve">JSE </w:t>
      </w:r>
      <w:r>
        <w:rPr>
          <w:rFonts w:ascii="Verdana" w:hAnsi="Verdana"/>
          <w:color w:val="000000"/>
          <w:sz w:val="21"/>
          <w:szCs w:val="21"/>
        </w:rPr>
        <w:t>listed instruments, with the same regulatory requirements and restrictions as ETFs,</w:t>
      </w:r>
      <w:r w:rsidR="00346C09">
        <w:rPr>
          <w:rFonts w:ascii="Verdana" w:hAnsi="Verdana"/>
          <w:color w:val="000000"/>
          <w:sz w:val="21"/>
          <w:szCs w:val="21"/>
        </w:rPr>
        <w:t xml:space="preserve"> but</w:t>
      </w:r>
      <w:r>
        <w:rPr>
          <w:rFonts w:ascii="Verdana" w:hAnsi="Verdana"/>
          <w:color w:val="000000"/>
          <w:sz w:val="21"/>
          <w:szCs w:val="21"/>
        </w:rPr>
        <w:t xml:space="preserve"> the investment public needs to be reassured and convinced of the merits of ETNs. </w:t>
      </w:r>
    </w:p>
    <w:p w14:paraId="302D219D" w14:textId="4CBC7233" w:rsidR="00DF3A31" w:rsidRDefault="00DF3A31" w:rsidP="001B5446">
      <w:pPr>
        <w:spacing w:before="160" w:after="0" w:line="400" w:lineRule="atLeast"/>
        <w:jc w:val="both"/>
        <w:rPr>
          <w:rFonts w:ascii="Verdana" w:hAnsi="Verdana"/>
          <w:color w:val="000000"/>
          <w:sz w:val="21"/>
          <w:szCs w:val="21"/>
        </w:rPr>
      </w:pPr>
      <w:r>
        <w:rPr>
          <w:rFonts w:ascii="Verdana" w:hAnsi="Verdana"/>
          <w:color w:val="000000"/>
          <w:sz w:val="21"/>
          <w:szCs w:val="21"/>
        </w:rPr>
        <w:t xml:space="preserve">Also, the South African retail investor, in particular, has shown an affinity for “vanilla” index tracking ETFs over the past number of years.  For instance, they did not take to the smart beta ETFs listed </w:t>
      </w:r>
      <w:r w:rsidR="00346C09">
        <w:rPr>
          <w:rFonts w:ascii="Verdana" w:hAnsi="Verdana"/>
          <w:color w:val="000000"/>
          <w:sz w:val="21"/>
          <w:szCs w:val="21"/>
        </w:rPr>
        <w:t xml:space="preserve">a few years ago </w:t>
      </w:r>
      <w:r>
        <w:rPr>
          <w:rFonts w:ascii="Verdana" w:hAnsi="Verdana"/>
          <w:color w:val="000000"/>
          <w:sz w:val="21"/>
          <w:szCs w:val="21"/>
        </w:rPr>
        <w:t>by a number of issuers.  W</w:t>
      </w:r>
      <w:r w:rsidR="001D145F">
        <w:rPr>
          <w:rFonts w:ascii="Verdana" w:hAnsi="Verdana"/>
          <w:color w:val="000000"/>
          <w:sz w:val="21"/>
          <w:szCs w:val="21"/>
        </w:rPr>
        <w:t xml:space="preserve">ill they now take to the fairly complex “thematic” and </w:t>
      </w:r>
      <w:r w:rsidR="000F3F0B">
        <w:rPr>
          <w:rFonts w:ascii="Verdana" w:hAnsi="Verdana"/>
          <w:color w:val="000000"/>
          <w:sz w:val="21"/>
          <w:szCs w:val="21"/>
        </w:rPr>
        <w:t>“</w:t>
      </w:r>
      <w:r w:rsidR="001D145F">
        <w:rPr>
          <w:rFonts w:ascii="Verdana" w:hAnsi="Verdana"/>
          <w:color w:val="000000"/>
          <w:sz w:val="21"/>
          <w:szCs w:val="21"/>
        </w:rPr>
        <w:t>style</w:t>
      </w:r>
      <w:r w:rsidR="000F3F0B">
        <w:rPr>
          <w:rFonts w:ascii="Verdana" w:hAnsi="Verdana"/>
          <w:color w:val="000000"/>
          <w:sz w:val="21"/>
          <w:szCs w:val="21"/>
        </w:rPr>
        <w:t>”</w:t>
      </w:r>
      <w:r w:rsidR="001D145F">
        <w:rPr>
          <w:rFonts w:ascii="Verdana" w:hAnsi="Verdana"/>
          <w:color w:val="000000"/>
          <w:sz w:val="21"/>
          <w:szCs w:val="21"/>
        </w:rPr>
        <w:t xml:space="preserve"> ETFs and ETNs </w:t>
      </w:r>
      <w:r w:rsidR="00346C09">
        <w:rPr>
          <w:rFonts w:ascii="Verdana" w:hAnsi="Verdana"/>
          <w:color w:val="000000"/>
          <w:sz w:val="21"/>
          <w:szCs w:val="21"/>
        </w:rPr>
        <w:t>currently</w:t>
      </w:r>
      <w:r w:rsidR="001D145F">
        <w:rPr>
          <w:rFonts w:ascii="Verdana" w:hAnsi="Verdana"/>
          <w:color w:val="000000"/>
          <w:sz w:val="21"/>
          <w:szCs w:val="21"/>
        </w:rPr>
        <w:t xml:space="preserve"> being issued on the JSE?  Whilst </w:t>
      </w:r>
      <w:r w:rsidR="00346C09">
        <w:rPr>
          <w:rFonts w:ascii="Verdana" w:hAnsi="Verdana"/>
          <w:color w:val="000000"/>
          <w:sz w:val="21"/>
          <w:szCs w:val="21"/>
        </w:rPr>
        <w:t xml:space="preserve">investing in </w:t>
      </w:r>
      <w:r w:rsidR="001D145F">
        <w:rPr>
          <w:rFonts w:ascii="Verdana" w:hAnsi="Verdana"/>
          <w:color w:val="000000"/>
          <w:sz w:val="21"/>
          <w:szCs w:val="21"/>
        </w:rPr>
        <w:t xml:space="preserve">the mega </w:t>
      </w:r>
      <w:r w:rsidR="00B07BDB">
        <w:rPr>
          <w:rFonts w:ascii="Verdana" w:hAnsi="Verdana"/>
          <w:color w:val="000000"/>
          <w:sz w:val="21"/>
          <w:szCs w:val="21"/>
        </w:rPr>
        <w:t>themes</w:t>
      </w:r>
      <w:r w:rsidR="00DB77B9">
        <w:rPr>
          <w:rFonts w:ascii="Verdana" w:hAnsi="Verdana"/>
          <w:color w:val="000000"/>
          <w:sz w:val="21"/>
          <w:szCs w:val="21"/>
        </w:rPr>
        <w:t>,</w:t>
      </w:r>
      <w:r w:rsidR="001D145F">
        <w:rPr>
          <w:rFonts w:ascii="Verdana" w:hAnsi="Verdana"/>
          <w:color w:val="000000"/>
          <w:sz w:val="21"/>
          <w:szCs w:val="21"/>
        </w:rPr>
        <w:t xml:space="preserve"> that will p</w:t>
      </w:r>
      <w:r w:rsidR="00346C09">
        <w:rPr>
          <w:rFonts w:ascii="Verdana" w:hAnsi="Verdana"/>
          <w:color w:val="000000"/>
          <w:sz w:val="21"/>
          <w:szCs w:val="21"/>
        </w:rPr>
        <w:t>robably</w:t>
      </w:r>
      <w:r w:rsidR="001D145F">
        <w:rPr>
          <w:rFonts w:ascii="Verdana" w:hAnsi="Verdana"/>
          <w:color w:val="000000"/>
          <w:sz w:val="21"/>
          <w:szCs w:val="21"/>
        </w:rPr>
        <w:t xml:space="preserve"> dominate the post-COVID-19 global economy</w:t>
      </w:r>
      <w:r w:rsidR="00DB77B9">
        <w:rPr>
          <w:rFonts w:ascii="Verdana" w:hAnsi="Verdana"/>
          <w:color w:val="000000"/>
          <w:sz w:val="21"/>
          <w:szCs w:val="21"/>
        </w:rPr>
        <w:t>,</w:t>
      </w:r>
      <w:r w:rsidR="001D145F">
        <w:rPr>
          <w:rFonts w:ascii="Verdana" w:hAnsi="Verdana"/>
          <w:color w:val="000000"/>
          <w:sz w:val="21"/>
          <w:szCs w:val="21"/>
        </w:rPr>
        <w:t xml:space="preserve"> could be rewarding over time, the relative complexities of these products will </w:t>
      </w:r>
      <w:r w:rsidR="00346C09">
        <w:rPr>
          <w:rFonts w:ascii="Verdana" w:hAnsi="Verdana"/>
          <w:color w:val="000000"/>
          <w:sz w:val="21"/>
          <w:szCs w:val="21"/>
        </w:rPr>
        <w:t>require</w:t>
      </w:r>
      <w:r w:rsidR="001D145F">
        <w:rPr>
          <w:rFonts w:ascii="Verdana" w:hAnsi="Verdana"/>
          <w:color w:val="000000"/>
          <w:sz w:val="21"/>
          <w:szCs w:val="21"/>
        </w:rPr>
        <w:t xml:space="preserve"> some education of the investing public. </w:t>
      </w:r>
    </w:p>
    <w:p w14:paraId="709ECB7C" w14:textId="66416B75" w:rsidR="001D145F" w:rsidRDefault="001D145F" w:rsidP="001B5446">
      <w:pPr>
        <w:spacing w:before="160" w:after="0" w:line="400" w:lineRule="atLeast"/>
        <w:jc w:val="both"/>
        <w:rPr>
          <w:rFonts w:ascii="Verdana" w:hAnsi="Verdana"/>
          <w:color w:val="000000"/>
          <w:sz w:val="21"/>
          <w:szCs w:val="21"/>
        </w:rPr>
      </w:pPr>
      <w:r>
        <w:rPr>
          <w:rFonts w:ascii="Verdana" w:hAnsi="Verdana"/>
          <w:color w:val="000000"/>
          <w:sz w:val="21"/>
          <w:szCs w:val="21"/>
        </w:rPr>
        <w:t xml:space="preserve">The </w:t>
      </w:r>
      <w:r w:rsidR="00B07BDB">
        <w:rPr>
          <w:rFonts w:ascii="Verdana" w:hAnsi="Verdana"/>
          <w:color w:val="000000"/>
          <w:sz w:val="21"/>
          <w:szCs w:val="21"/>
        </w:rPr>
        <w:t>Johannesburg</w:t>
      </w:r>
      <w:r>
        <w:rPr>
          <w:rFonts w:ascii="Verdana" w:hAnsi="Verdana"/>
          <w:color w:val="000000"/>
          <w:sz w:val="21"/>
          <w:szCs w:val="21"/>
        </w:rPr>
        <w:t xml:space="preserve"> Stock Exchange could possibly play a greater role in this regard.  Unlike the Main Board for single companies, listed on the JSE, which has </w:t>
      </w:r>
      <w:r w:rsidR="00346C09">
        <w:rPr>
          <w:rFonts w:ascii="Verdana" w:hAnsi="Verdana"/>
          <w:color w:val="000000"/>
          <w:sz w:val="21"/>
          <w:szCs w:val="21"/>
        </w:rPr>
        <w:t xml:space="preserve">recently </w:t>
      </w:r>
      <w:r>
        <w:rPr>
          <w:rFonts w:ascii="Verdana" w:hAnsi="Verdana"/>
          <w:color w:val="000000"/>
          <w:sz w:val="21"/>
          <w:szCs w:val="21"/>
        </w:rPr>
        <w:t xml:space="preserve">experienced a net delisting of companies and further delistings are expected, the ETP industry recorded a net </w:t>
      </w:r>
      <w:r w:rsidR="00B07BDB">
        <w:rPr>
          <w:rFonts w:ascii="Verdana" w:hAnsi="Verdana"/>
          <w:color w:val="000000"/>
          <w:sz w:val="21"/>
          <w:szCs w:val="21"/>
        </w:rPr>
        <w:t>list</w:t>
      </w:r>
      <w:r w:rsidR="000F3F0B">
        <w:rPr>
          <w:rFonts w:ascii="Verdana" w:hAnsi="Verdana"/>
          <w:color w:val="000000"/>
          <w:sz w:val="21"/>
          <w:szCs w:val="21"/>
        </w:rPr>
        <w:t>ing</w:t>
      </w:r>
      <w:r w:rsidR="00B07BDB">
        <w:rPr>
          <w:rFonts w:ascii="Verdana" w:hAnsi="Verdana"/>
          <w:color w:val="000000"/>
          <w:sz w:val="21"/>
          <w:szCs w:val="21"/>
        </w:rPr>
        <w:t xml:space="preserve"> of</w:t>
      </w:r>
      <w:r>
        <w:rPr>
          <w:rFonts w:ascii="Verdana" w:hAnsi="Verdana"/>
          <w:color w:val="000000"/>
          <w:sz w:val="21"/>
          <w:szCs w:val="21"/>
        </w:rPr>
        <w:t xml:space="preserve"> 66 new products in the past two years.  This is surely </w:t>
      </w:r>
      <w:r w:rsidR="00346C09">
        <w:rPr>
          <w:rFonts w:ascii="Verdana" w:hAnsi="Verdana"/>
          <w:color w:val="000000"/>
          <w:sz w:val="21"/>
          <w:szCs w:val="21"/>
        </w:rPr>
        <w:t xml:space="preserve">one of </w:t>
      </w:r>
      <w:r>
        <w:rPr>
          <w:rFonts w:ascii="Verdana" w:hAnsi="Verdana"/>
          <w:color w:val="000000"/>
          <w:sz w:val="21"/>
          <w:szCs w:val="21"/>
        </w:rPr>
        <w:t>the most successful sector</w:t>
      </w:r>
      <w:r w:rsidR="00346C09">
        <w:rPr>
          <w:rFonts w:ascii="Verdana" w:hAnsi="Verdana"/>
          <w:color w:val="000000"/>
          <w:sz w:val="21"/>
          <w:szCs w:val="21"/>
        </w:rPr>
        <w:t>s</w:t>
      </w:r>
      <w:r>
        <w:rPr>
          <w:rFonts w:ascii="Verdana" w:hAnsi="Verdana"/>
          <w:color w:val="000000"/>
          <w:sz w:val="21"/>
          <w:szCs w:val="21"/>
        </w:rPr>
        <w:t xml:space="preserve"> o</w:t>
      </w:r>
      <w:r w:rsidR="00346C09">
        <w:rPr>
          <w:rFonts w:ascii="Verdana" w:hAnsi="Verdana"/>
          <w:color w:val="000000"/>
          <w:sz w:val="21"/>
          <w:szCs w:val="21"/>
        </w:rPr>
        <w:t>f</w:t>
      </w:r>
      <w:r>
        <w:rPr>
          <w:rFonts w:ascii="Verdana" w:hAnsi="Verdana"/>
          <w:color w:val="000000"/>
          <w:sz w:val="21"/>
          <w:szCs w:val="21"/>
        </w:rPr>
        <w:t xml:space="preserve"> the JSE in recent years, but the Exchange does little to promote the listed index tracking industry, nor to educate the investment public. </w:t>
      </w:r>
    </w:p>
    <w:p w14:paraId="3C039F87" w14:textId="19098C0B" w:rsidR="001D145F" w:rsidRPr="0048656A" w:rsidRDefault="001D145F" w:rsidP="001B5446">
      <w:pPr>
        <w:spacing w:before="160" w:after="0" w:line="400" w:lineRule="atLeast"/>
        <w:jc w:val="both"/>
        <w:rPr>
          <w:rFonts w:ascii="Verdana" w:hAnsi="Verdana"/>
          <w:color w:val="000000"/>
          <w:sz w:val="21"/>
          <w:szCs w:val="21"/>
        </w:rPr>
      </w:pPr>
      <w:r>
        <w:rPr>
          <w:rFonts w:ascii="Verdana" w:hAnsi="Verdana"/>
          <w:color w:val="000000"/>
          <w:sz w:val="21"/>
          <w:szCs w:val="21"/>
        </w:rPr>
        <w:t xml:space="preserve">In all, 2021 was a successful year for the Exchange Traded Product industry </w:t>
      </w:r>
      <w:r w:rsidR="00346C09">
        <w:rPr>
          <w:rFonts w:ascii="Verdana" w:hAnsi="Verdana"/>
          <w:color w:val="000000"/>
          <w:sz w:val="21"/>
          <w:szCs w:val="21"/>
        </w:rPr>
        <w:t>as both the</w:t>
      </w:r>
      <w:r>
        <w:rPr>
          <w:rFonts w:ascii="Verdana" w:hAnsi="Verdana"/>
          <w:color w:val="000000"/>
          <w:sz w:val="21"/>
          <w:szCs w:val="21"/>
        </w:rPr>
        <w:t xml:space="preserve"> size and scope of the industry continued to grow significantly and this success story should be celebrated. </w:t>
      </w:r>
    </w:p>
    <w:p w14:paraId="72B999CB" w14:textId="03CD946E" w:rsidR="008468F3" w:rsidRDefault="00636507" w:rsidP="00FA51FA">
      <w:pPr>
        <w:spacing w:after="0" w:line="360" w:lineRule="atLeast"/>
        <w:rPr>
          <w:rFonts w:ascii="Verdana" w:hAnsi="Verdana"/>
          <w:color w:val="000000"/>
          <w:sz w:val="21"/>
          <w:szCs w:val="21"/>
        </w:rPr>
      </w:pPr>
      <w:r>
        <w:rPr>
          <w:rFonts w:ascii="Verdana" w:hAnsi="Verdana"/>
          <w:noProof/>
          <w:color w:val="000000"/>
          <w:sz w:val="21"/>
          <w:szCs w:val="21"/>
        </w:rPr>
        <mc:AlternateContent>
          <mc:Choice Requires="wps">
            <w:drawing>
              <wp:anchor distT="0" distB="0" distL="114300" distR="114300" simplePos="0" relativeHeight="251659264" behindDoc="0" locked="0" layoutInCell="1" allowOverlap="1" wp14:anchorId="00C403B3" wp14:editId="07A737B8">
                <wp:simplePos x="0" y="0"/>
                <wp:positionH relativeFrom="column">
                  <wp:posOffset>80010</wp:posOffset>
                </wp:positionH>
                <wp:positionV relativeFrom="paragraph">
                  <wp:posOffset>227965</wp:posOffset>
                </wp:positionV>
                <wp:extent cx="6070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06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3454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7.95pt" to="484.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" strokecolor="#c00000" strokeweight="1pt">
                <v:stroke joinstyle="miter"/>
              </v:line>
            </w:pict>
          </mc:Fallback>
        </mc:AlternateContent>
      </w:r>
    </w:p>
    <w:p w14:paraId="30AD915B" w14:textId="1F28CAC7" w:rsidR="0067082E" w:rsidRDefault="0067082E" w:rsidP="00FA51FA">
      <w:pPr>
        <w:spacing w:after="0" w:line="360" w:lineRule="atLeast"/>
        <w:rPr>
          <w:rFonts w:ascii="Verdana" w:hAnsi="Verdana"/>
          <w:color w:val="000000"/>
          <w:sz w:val="21"/>
          <w:szCs w:val="21"/>
        </w:rPr>
      </w:pPr>
    </w:p>
    <w:p w14:paraId="7AF7EF2F" w14:textId="77777777" w:rsidR="00996EDA" w:rsidRDefault="00996EDA" w:rsidP="00FA51FA">
      <w:pPr>
        <w:spacing w:after="0" w:line="360" w:lineRule="atLeast"/>
        <w:rPr>
          <w:rFonts w:ascii="Verdana" w:hAnsi="Verdana"/>
          <w:color w:val="000000"/>
          <w:sz w:val="21"/>
          <w:szCs w:val="21"/>
        </w:rPr>
      </w:pPr>
    </w:p>
    <w:p w14:paraId="2720B4E0" w14:textId="501AECCA" w:rsidR="00996EDA" w:rsidRDefault="00996EDA" w:rsidP="00996EDA">
      <w:pPr>
        <w:spacing w:after="0" w:line="360" w:lineRule="atLeast"/>
        <w:jc w:val="center"/>
        <w:rPr>
          <w:rFonts w:ascii="Verdana" w:hAnsi="Verdana"/>
          <w:color w:val="000000"/>
          <w:sz w:val="21"/>
          <w:szCs w:val="21"/>
        </w:rPr>
      </w:pPr>
      <w:r>
        <w:rPr>
          <w:rFonts w:ascii="Verdana" w:hAnsi="Verdana"/>
          <w:noProof/>
          <w:sz w:val="21"/>
          <w:szCs w:val="21"/>
        </w:rPr>
        <w:drawing>
          <wp:inline distT="0" distB="0" distL="0" distR="0" wp14:anchorId="33FAE198" wp14:editId="5EDEA9E6">
            <wp:extent cx="5943600" cy="1485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655439B6" w14:textId="42C6BC10" w:rsidR="001B5446" w:rsidRDefault="001B5446" w:rsidP="001B5446">
      <w:pPr>
        <w:spacing w:after="0" w:line="360" w:lineRule="atLeast"/>
        <w:jc w:val="center"/>
        <w:rPr>
          <w:rFonts w:ascii="Verdana" w:hAnsi="Verdana"/>
          <w:color w:val="000000"/>
          <w:sz w:val="21"/>
          <w:szCs w:val="21"/>
        </w:rPr>
      </w:pPr>
    </w:p>
    <w:p w14:paraId="090CF76C" w14:textId="0182DF1B" w:rsidR="001B5446" w:rsidRDefault="001B5446">
      <w:pPr>
        <w:rPr>
          <w:rFonts w:ascii="Verdana" w:hAnsi="Verdana"/>
          <w:color w:val="000000"/>
          <w:sz w:val="21"/>
          <w:szCs w:val="21"/>
        </w:rPr>
      </w:pPr>
      <w:r>
        <w:rPr>
          <w:rFonts w:ascii="Verdana" w:hAnsi="Verdana"/>
          <w:color w:val="000000"/>
          <w:sz w:val="21"/>
          <w:szCs w:val="21"/>
        </w:rPr>
        <w:br w:type="page"/>
      </w:r>
    </w:p>
    <w:p w14:paraId="14B5B627" w14:textId="35115267" w:rsidR="0048656A" w:rsidRDefault="0048656A" w:rsidP="00FA51FA">
      <w:pPr>
        <w:spacing w:after="0" w:line="360" w:lineRule="atLeast"/>
        <w:rPr>
          <w:rFonts w:ascii="Verdana" w:hAnsi="Verdana"/>
          <w:color w:val="000000"/>
          <w:sz w:val="21"/>
          <w:szCs w:val="21"/>
        </w:rPr>
      </w:pPr>
    </w:p>
    <w:p w14:paraId="74931AF9" w14:textId="77777777" w:rsidR="001B5446" w:rsidRDefault="001B5446" w:rsidP="00FA51FA">
      <w:pPr>
        <w:spacing w:after="0" w:line="360" w:lineRule="atLeast"/>
        <w:rPr>
          <w:rFonts w:ascii="Verdana" w:hAnsi="Verdana"/>
          <w:color w:val="000000"/>
          <w:sz w:val="21"/>
          <w:szCs w:val="21"/>
        </w:rPr>
      </w:pPr>
    </w:p>
    <w:p w14:paraId="3094944C" w14:textId="72616E4A" w:rsidR="00F13A0B" w:rsidRPr="00602DDF" w:rsidRDefault="00602DDF" w:rsidP="00602DDF">
      <w:pPr>
        <w:spacing w:after="0" w:line="340" w:lineRule="atLeast"/>
        <w:jc w:val="both"/>
        <w:rPr>
          <w:rFonts w:ascii="Verdana" w:hAnsi="Verdana"/>
          <w:color w:val="000000" w:themeColor="text1"/>
          <w:sz w:val="21"/>
          <w:szCs w:val="21"/>
        </w:rPr>
      </w:pPr>
      <w:r>
        <w:rPr>
          <w:rFonts w:ascii="Verdana" w:hAnsi="Verdana"/>
          <w:b/>
          <w:bCs/>
          <w:color w:val="C00000"/>
          <w:sz w:val="21"/>
          <w:szCs w:val="21"/>
        </w:rPr>
        <w:t>Note:</w:t>
      </w:r>
      <w:r>
        <w:rPr>
          <w:rFonts w:ascii="Verdana" w:hAnsi="Verdana"/>
          <w:color w:val="000000" w:themeColor="text1"/>
          <w:sz w:val="21"/>
          <w:szCs w:val="21"/>
        </w:rPr>
        <w:t xml:space="preserve"> full details for each Exchange Traded Fund and Exchange Traded Note are available on the quarterly reports available on the etfSA website: </w:t>
      </w:r>
      <w:hyperlink r:id="rId11" w:history="1">
        <w:r w:rsidRPr="00CF484B">
          <w:rPr>
            <w:rStyle w:val="Hyperlink"/>
            <w:rFonts w:ascii="Verdana" w:hAnsi="Verdana"/>
            <w:sz w:val="21"/>
            <w:szCs w:val="21"/>
          </w:rPr>
          <w:t>www.etfsa.co.za</w:t>
        </w:r>
      </w:hyperlink>
      <w:r>
        <w:rPr>
          <w:rFonts w:ascii="Verdana" w:hAnsi="Verdana"/>
          <w:color w:val="000000" w:themeColor="text1"/>
          <w:sz w:val="21"/>
          <w:szCs w:val="21"/>
        </w:rPr>
        <w:t xml:space="preserve">: </w:t>
      </w:r>
    </w:p>
    <w:p w14:paraId="49F297F9" w14:textId="1ED10A64" w:rsidR="00F13A0B" w:rsidRDefault="00F13A0B" w:rsidP="00602DDF">
      <w:pPr>
        <w:spacing w:after="0" w:line="340" w:lineRule="atLeast"/>
        <w:jc w:val="both"/>
        <w:rPr>
          <w:rFonts w:ascii="Verdana" w:hAnsi="Verdana"/>
          <w:sz w:val="21"/>
          <w:szCs w:val="21"/>
        </w:rPr>
      </w:pPr>
    </w:p>
    <w:p w14:paraId="54885B65" w14:textId="61A49122" w:rsid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 xml:space="preserve">All South African ETFs &amp; ETNs – Market Capitalisation </w:t>
      </w:r>
      <w:r w:rsidR="00A37F02">
        <w:rPr>
          <w:rFonts w:ascii="Verdana" w:hAnsi="Verdana"/>
          <w:sz w:val="21"/>
          <w:szCs w:val="21"/>
        </w:rPr>
        <w:t>Totals</w:t>
      </w:r>
      <w:r>
        <w:rPr>
          <w:rFonts w:ascii="Verdana" w:hAnsi="Verdana"/>
          <w:sz w:val="21"/>
          <w:szCs w:val="21"/>
        </w:rPr>
        <w:t xml:space="preserve"> – December 2009 to </w:t>
      </w:r>
      <w:r w:rsidR="00346C09">
        <w:rPr>
          <w:rFonts w:ascii="Verdana" w:hAnsi="Verdana"/>
          <w:sz w:val="21"/>
          <w:szCs w:val="21"/>
        </w:rPr>
        <w:t>Dec</w:t>
      </w:r>
      <w:r w:rsidR="0048656A">
        <w:rPr>
          <w:rFonts w:ascii="Verdana" w:hAnsi="Verdana"/>
          <w:sz w:val="21"/>
          <w:szCs w:val="21"/>
        </w:rPr>
        <w:t>ember</w:t>
      </w:r>
      <w:r w:rsidR="0067082E">
        <w:rPr>
          <w:rFonts w:ascii="Verdana" w:hAnsi="Verdana"/>
          <w:sz w:val="21"/>
          <w:szCs w:val="21"/>
        </w:rPr>
        <w:t xml:space="preserve"> 2021</w:t>
      </w:r>
      <w:r>
        <w:rPr>
          <w:rFonts w:ascii="Verdana" w:hAnsi="Verdana"/>
          <w:sz w:val="21"/>
          <w:szCs w:val="21"/>
        </w:rPr>
        <w:t xml:space="preserve">. </w:t>
      </w:r>
    </w:p>
    <w:p w14:paraId="687B4DFB" w14:textId="77777777" w:rsidR="0025163D" w:rsidRDefault="0025163D" w:rsidP="0025163D">
      <w:pPr>
        <w:pStyle w:val="ListParagraph"/>
        <w:spacing w:after="0" w:line="340" w:lineRule="atLeast"/>
        <w:jc w:val="both"/>
        <w:rPr>
          <w:rFonts w:ascii="Verdana" w:hAnsi="Verdana"/>
          <w:sz w:val="21"/>
          <w:szCs w:val="21"/>
        </w:rPr>
      </w:pPr>
    </w:p>
    <w:p w14:paraId="045E74ED" w14:textId="6F552B15" w:rsidR="00602DDF" w:rsidRPr="00602DDF" w:rsidRDefault="00602DDF" w:rsidP="00602DDF">
      <w:pPr>
        <w:pStyle w:val="ListParagraph"/>
        <w:numPr>
          <w:ilvl w:val="0"/>
          <w:numId w:val="17"/>
        </w:numPr>
        <w:spacing w:after="0" w:line="340" w:lineRule="atLeast"/>
        <w:jc w:val="both"/>
        <w:rPr>
          <w:rFonts w:ascii="Verdana" w:hAnsi="Verdana"/>
          <w:sz w:val="21"/>
          <w:szCs w:val="21"/>
        </w:rPr>
      </w:pPr>
      <w:r>
        <w:rPr>
          <w:rFonts w:ascii="Verdana" w:hAnsi="Verdana"/>
          <w:sz w:val="21"/>
          <w:szCs w:val="21"/>
        </w:rPr>
        <w:t>ETFs &amp; ETNs survey – Securities in Issue and New Capital Raised/Redeemed (for period ended 3</w:t>
      </w:r>
      <w:r w:rsidR="00346C09">
        <w:rPr>
          <w:rFonts w:ascii="Verdana" w:hAnsi="Verdana"/>
          <w:sz w:val="21"/>
          <w:szCs w:val="21"/>
        </w:rPr>
        <w:t>1</w:t>
      </w:r>
      <w:r>
        <w:rPr>
          <w:rFonts w:ascii="Verdana" w:hAnsi="Verdana"/>
          <w:sz w:val="21"/>
          <w:szCs w:val="21"/>
        </w:rPr>
        <w:t xml:space="preserve"> </w:t>
      </w:r>
      <w:r w:rsidR="00346C09">
        <w:rPr>
          <w:rFonts w:ascii="Verdana" w:hAnsi="Verdana"/>
          <w:sz w:val="21"/>
          <w:szCs w:val="21"/>
        </w:rPr>
        <w:t>Dec</w:t>
      </w:r>
      <w:r w:rsidR="0048656A">
        <w:rPr>
          <w:rFonts w:ascii="Verdana" w:hAnsi="Verdana"/>
          <w:sz w:val="21"/>
          <w:szCs w:val="21"/>
        </w:rPr>
        <w:t>ember</w:t>
      </w:r>
      <w:r>
        <w:rPr>
          <w:rFonts w:ascii="Verdana" w:hAnsi="Verdana"/>
          <w:sz w:val="21"/>
          <w:szCs w:val="21"/>
        </w:rPr>
        <w:t xml:space="preserve"> 202</w:t>
      </w:r>
      <w:r w:rsidR="0067082E">
        <w:rPr>
          <w:rFonts w:ascii="Verdana" w:hAnsi="Verdana"/>
          <w:sz w:val="21"/>
          <w:szCs w:val="21"/>
        </w:rPr>
        <w:t>1</w:t>
      </w:r>
      <w:r>
        <w:rPr>
          <w:rFonts w:ascii="Verdana" w:hAnsi="Verdana"/>
          <w:sz w:val="21"/>
          <w:szCs w:val="21"/>
        </w:rPr>
        <w:t xml:space="preserve">). </w:t>
      </w:r>
    </w:p>
    <w:p w14:paraId="5572BBC4" w14:textId="517C922C" w:rsidR="0067082E" w:rsidRDefault="0067082E" w:rsidP="00DB4A11">
      <w:pPr>
        <w:spacing w:after="0" w:line="320" w:lineRule="atLeast"/>
        <w:jc w:val="both"/>
        <w:rPr>
          <w:rFonts w:ascii="Verdana" w:hAnsi="Verdana"/>
          <w:sz w:val="21"/>
          <w:szCs w:val="21"/>
        </w:rPr>
      </w:pPr>
    </w:p>
    <w:p w14:paraId="4F220B47" w14:textId="6F83BB75" w:rsidR="00D07C81" w:rsidRDefault="00D07C81" w:rsidP="00996EDA">
      <w:pPr>
        <w:pBdr>
          <w:bottom w:val="single" w:sz="12" w:space="1" w:color="C00000"/>
        </w:pBdr>
        <w:spacing w:after="0" w:line="320" w:lineRule="atLeast"/>
        <w:jc w:val="both"/>
        <w:rPr>
          <w:rFonts w:ascii="Verdana" w:hAnsi="Verdana"/>
          <w:sz w:val="21"/>
          <w:szCs w:val="21"/>
        </w:rPr>
      </w:pPr>
    </w:p>
    <w:p w14:paraId="2BBB5EE8" w14:textId="4E34B73B" w:rsidR="0048656A" w:rsidRDefault="0048656A" w:rsidP="00DB4A11">
      <w:pPr>
        <w:spacing w:after="0" w:line="320" w:lineRule="atLeast"/>
        <w:jc w:val="both"/>
        <w:rPr>
          <w:rFonts w:ascii="Verdana" w:hAnsi="Verdana"/>
          <w:sz w:val="21"/>
          <w:szCs w:val="21"/>
        </w:rPr>
      </w:pPr>
    </w:p>
    <w:p w14:paraId="5766412D" w14:textId="08DF4706" w:rsidR="0048656A" w:rsidRDefault="0048656A" w:rsidP="00DB4A11">
      <w:pPr>
        <w:spacing w:after="0" w:line="320" w:lineRule="atLeast"/>
        <w:jc w:val="both"/>
        <w:rPr>
          <w:rFonts w:ascii="Verdana" w:hAnsi="Verdana"/>
          <w:sz w:val="21"/>
          <w:szCs w:val="21"/>
        </w:rPr>
      </w:pPr>
    </w:p>
    <w:p w14:paraId="78B46554" w14:textId="5D2998D6" w:rsidR="0048656A" w:rsidRDefault="00996EDA" w:rsidP="00DB4A11">
      <w:pPr>
        <w:spacing w:after="0" w:line="320" w:lineRule="atLeast"/>
        <w:jc w:val="both"/>
        <w:rPr>
          <w:rFonts w:ascii="Verdana" w:hAnsi="Verdana"/>
          <w:sz w:val="21"/>
          <w:szCs w:val="21"/>
        </w:rPr>
      </w:pPr>
      <w:r>
        <w:rPr>
          <w:rFonts w:ascii="Verdana" w:hAnsi="Verdana"/>
          <w:noProof/>
          <w:color w:val="000000"/>
          <w:sz w:val="21"/>
          <w:szCs w:val="21"/>
        </w:rPr>
        <w:drawing>
          <wp:inline distT="0" distB="0" distL="0" distR="0" wp14:anchorId="1FD94095" wp14:editId="3830E225">
            <wp:extent cx="6299835" cy="17716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9835" cy="1771650"/>
                    </a:xfrm>
                    <a:prstGeom prst="rect">
                      <a:avLst/>
                    </a:prstGeom>
                  </pic:spPr>
                </pic:pic>
              </a:graphicData>
            </a:graphic>
          </wp:inline>
        </w:drawing>
      </w:r>
    </w:p>
    <w:p w14:paraId="13081012" w14:textId="375D2EE6" w:rsidR="0048656A" w:rsidRDefault="0048656A" w:rsidP="00DB4A11">
      <w:pPr>
        <w:spacing w:after="0" w:line="320" w:lineRule="atLeast"/>
        <w:jc w:val="both"/>
        <w:rPr>
          <w:rFonts w:ascii="Verdana" w:hAnsi="Verdana"/>
          <w:sz w:val="21"/>
          <w:szCs w:val="21"/>
        </w:rPr>
      </w:pPr>
    </w:p>
    <w:p w14:paraId="0CDCF56A" w14:textId="4A7EAF54" w:rsidR="0048656A" w:rsidRDefault="0048656A" w:rsidP="008168D7">
      <w:pPr>
        <w:pBdr>
          <w:bottom w:val="single" w:sz="12" w:space="1" w:color="C00000"/>
        </w:pBdr>
        <w:spacing w:after="0" w:line="320" w:lineRule="atLeast"/>
        <w:jc w:val="both"/>
        <w:rPr>
          <w:rFonts w:ascii="Verdana" w:hAnsi="Verdana"/>
          <w:sz w:val="21"/>
          <w:szCs w:val="21"/>
        </w:rPr>
      </w:pPr>
    </w:p>
    <w:p w14:paraId="79190081" w14:textId="4F3550A5" w:rsidR="001B5446" w:rsidRDefault="001B5446" w:rsidP="00DB4A11">
      <w:pPr>
        <w:spacing w:after="0" w:line="320" w:lineRule="atLeast"/>
        <w:jc w:val="both"/>
        <w:rPr>
          <w:rFonts w:ascii="Verdana" w:hAnsi="Verdana"/>
          <w:sz w:val="21"/>
          <w:szCs w:val="21"/>
        </w:rPr>
      </w:pPr>
    </w:p>
    <w:p w14:paraId="4B63A67A" w14:textId="48F67CAC" w:rsidR="001B5446" w:rsidRDefault="001B5446" w:rsidP="00DB4A11">
      <w:pPr>
        <w:spacing w:after="0" w:line="320" w:lineRule="atLeast"/>
        <w:jc w:val="both"/>
        <w:rPr>
          <w:rFonts w:ascii="Verdana" w:hAnsi="Verdana"/>
          <w:sz w:val="21"/>
          <w:szCs w:val="21"/>
        </w:rPr>
      </w:pPr>
    </w:p>
    <w:p w14:paraId="3319B0F8" w14:textId="7BA6F5CD" w:rsidR="001B5446" w:rsidRDefault="001B5446" w:rsidP="00DB4A11">
      <w:pPr>
        <w:spacing w:after="0" w:line="320" w:lineRule="atLeast"/>
        <w:jc w:val="both"/>
        <w:rPr>
          <w:rFonts w:ascii="Verdana" w:hAnsi="Verdana"/>
          <w:sz w:val="21"/>
          <w:szCs w:val="21"/>
        </w:rPr>
      </w:pPr>
    </w:p>
    <w:p w14:paraId="4F30C643" w14:textId="1D32DDDF" w:rsidR="001B5446" w:rsidRDefault="001B5446" w:rsidP="00DB4A11">
      <w:pPr>
        <w:spacing w:after="0" w:line="320" w:lineRule="atLeast"/>
        <w:jc w:val="both"/>
        <w:rPr>
          <w:rFonts w:ascii="Verdana" w:hAnsi="Verdana"/>
          <w:sz w:val="21"/>
          <w:szCs w:val="21"/>
        </w:rPr>
      </w:pPr>
    </w:p>
    <w:p w14:paraId="43766C35" w14:textId="6B129922" w:rsidR="001B5446" w:rsidRDefault="001B5446" w:rsidP="00DB4A11">
      <w:pPr>
        <w:spacing w:after="0" w:line="320" w:lineRule="atLeast"/>
        <w:jc w:val="both"/>
        <w:rPr>
          <w:rFonts w:ascii="Verdana" w:hAnsi="Verdana"/>
          <w:sz w:val="21"/>
          <w:szCs w:val="21"/>
        </w:rPr>
      </w:pPr>
    </w:p>
    <w:p w14:paraId="43898B29" w14:textId="77777777" w:rsidR="00373E18" w:rsidRDefault="00373E18" w:rsidP="00DB4A11">
      <w:pPr>
        <w:spacing w:after="0" w:line="320" w:lineRule="atLeast"/>
        <w:jc w:val="both"/>
        <w:rPr>
          <w:rFonts w:ascii="Verdana" w:hAnsi="Verdana"/>
          <w:sz w:val="21"/>
          <w:szCs w:val="21"/>
        </w:rPr>
      </w:pPr>
    </w:p>
    <w:p w14:paraId="02CA2622" w14:textId="2025A5D1" w:rsidR="001B5446" w:rsidRDefault="001B5446" w:rsidP="00DB4A11">
      <w:pPr>
        <w:spacing w:after="0" w:line="320" w:lineRule="atLeast"/>
        <w:jc w:val="both"/>
        <w:rPr>
          <w:rFonts w:ascii="Verdana" w:hAnsi="Verdana"/>
          <w:sz w:val="21"/>
          <w:szCs w:val="21"/>
        </w:rPr>
      </w:pPr>
    </w:p>
    <w:p w14:paraId="5F5716FF" w14:textId="77777777" w:rsidR="001B5446" w:rsidRDefault="001B5446" w:rsidP="00DB4A11">
      <w:pPr>
        <w:spacing w:after="0" w:line="320" w:lineRule="atLeast"/>
        <w:jc w:val="both"/>
        <w:rPr>
          <w:rFonts w:ascii="Verdana" w:hAnsi="Verdana"/>
          <w:sz w:val="21"/>
          <w:szCs w:val="21"/>
        </w:rPr>
      </w:pPr>
    </w:p>
    <w:p w14:paraId="10B3C081" w14:textId="77777777" w:rsidR="0067082E" w:rsidRDefault="0067082E" w:rsidP="00DB4A11">
      <w:pPr>
        <w:spacing w:after="0" w:line="320" w:lineRule="atLeast"/>
        <w:jc w:val="both"/>
        <w:rPr>
          <w:rFonts w:ascii="Verdana" w:hAnsi="Verdana"/>
          <w:sz w:val="21"/>
          <w:szCs w:val="21"/>
        </w:rPr>
      </w:pPr>
    </w:p>
    <w:p w14:paraId="348057A5" w14:textId="77777777" w:rsidR="00C6212D" w:rsidRPr="0000086A" w:rsidRDefault="00C6212D" w:rsidP="0000086A">
      <w:pPr>
        <w:pBdr>
          <w:top w:val="single" w:sz="4" w:space="1" w:color="auto"/>
        </w:pBdr>
        <w:spacing w:after="0" w:line="240" w:lineRule="auto"/>
        <w:rPr>
          <w:sz w:val="15"/>
          <w:szCs w:val="15"/>
          <w:lang w:eastAsia="en-ZA"/>
        </w:rPr>
      </w:pPr>
      <w:r w:rsidRPr="0000086A">
        <w:rPr>
          <w:rFonts w:ascii="Arial" w:hAnsi="Arial"/>
          <w:b/>
          <w:i/>
          <w:color w:val="0F0D35"/>
          <w:sz w:val="15"/>
          <w:szCs w:val="15"/>
        </w:rPr>
        <w:t xml:space="preserve">Disclaimer: </w:t>
      </w:r>
      <w:r w:rsidRPr="0000086A">
        <w:rPr>
          <w:rFonts w:ascii="Arial" w:hAnsi="Arial"/>
          <w:color w:val="000000"/>
          <w:sz w:val="15"/>
          <w:szCs w:val="15"/>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341D3584"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0E9485D7" w14:textId="64A3D211" w:rsidR="00407678" w:rsidRPr="0000086A" w:rsidRDefault="00C6212D" w:rsidP="0000086A">
      <w:pPr>
        <w:pBdr>
          <w:bottom w:val="single" w:sz="4" w:space="1" w:color="auto"/>
        </w:pBdr>
        <w:shd w:val="clear" w:color="auto" w:fill="FFFFFF"/>
        <w:spacing w:after="0" w:line="240" w:lineRule="auto"/>
        <w:jc w:val="both"/>
        <w:rPr>
          <w:rFonts w:ascii="Arial" w:hAnsi="Arial"/>
          <w:color w:val="000000"/>
          <w:sz w:val="15"/>
          <w:szCs w:val="15"/>
          <w:lang w:eastAsia="en-ZA"/>
        </w:rPr>
      </w:pPr>
      <w:r w:rsidRPr="0000086A">
        <w:rPr>
          <w:rFonts w:ascii="Arial" w:hAnsi="Arial"/>
          <w:color w:val="000000"/>
          <w:sz w:val="15"/>
          <w:szCs w:val="15"/>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407678" w:rsidRPr="0000086A" w:rsidSect="008555E3">
      <w:footerReference w:type="default" r:id="rId13"/>
      <w:pgSz w:w="11906" w:h="16838" w:code="9"/>
      <w:pgMar w:top="851" w:right="851" w:bottom="567" w:left="1134" w:header="709" w:footer="567"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BA78" w14:textId="77777777" w:rsidR="00D54A88" w:rsidRDefault="00D54A88" w:rsidP="001860C2">
      <w:pPr>
        <w:spacing w:after="0" w:line="240" w:lineRule="auto"/>
      </w:pPr>
      <w:r>
        <w:separator/>
      </w:r>
    </w:p>
  </w:endnote>
  <w:endnote w:type="continuationSeparator" w:id="0">
    <w:p w14:paraId="55785617" w14:textId="77777777" w:rsidR="00D54A88" w:rsidRDefault="00D54A88"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2F19B0" w:rsidRPr="001860C2" w:rsidRDefault="002F19B0"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888" w14:textId="77777777" w:rsidR="00D54A88" w:rsidRDefault="00D54A88" w:rsidP="001860C2">
      <w:pPr>
        <w:spacing w:after="0" w:line="240" w:lineRule="auto"/>
      </w:pPr>
      <w:r>
        <w:separator/>
      </w:r>
    </w:p>
  </w:footnote>
  <w:footnote w:type="continuationSeparator" w:id="0">
    <w:p w14:paraId="3504ECAE" w14:textId="77777777" w:rsidR="00D54A88" w:rsidRDefault="00D54A88"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5D0"/>
    <w:multiLevelType w:val="hybridMultilevel"/>
    <w:tmpl w:val="5734E8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1D651D"/>
    <w:multiLevelType w:val="hybridMultilevel"/>
    <w:tmpl w:val="9504678E"/>
    <w:lvl w:ilvl="0" w:tplc="1C090001">
      <w:start w:val="1"/>
      <w:numFmt w:val="bullet"/>
      <w:lvlText w:val=""/>
      <w:lvlJc w:val="left"/>
      <w:pPr>
        <w:ind w:left="1778" w:hanging="360"/>
      </w:pPr>
      <w:rPr>
        <w:rFonts w:ascii="Symbol" w:hAnsi="Symbol" w:hint="default"/>
      </w:rPr>
    </w:lvl>
    <w:lvl w:ilvl="1" w:tplc="1C090003" w:tentative="1">
      <w:start w:val="1"/>
      <w:numFmt w:val="bullet"/>
      <w:lvlText w:val="o"/>
      <w:lvlJc w:val="left"/>
      <w:pPr>
        <w:ind w:left="2498" w:hanging="360"/>
      </w:pPr>
      <w:rPr>
        <w:rFonts w:ascii="Courier New" w:hAnsi="Courier New" w:cs="Courier New" w:hint="default"/>
      </w:rPr>
    </w:lvl>
    <w:lvl w:ilvl="2" w:tplc="1C090005" w:tentative="1">
      <w:start w:val="1"/>
      <w:numFmt w:val="bullet"/>
      <w:lvlText w:val=""/>
      <w:lvlJc w:val="left"/>
      <w:pPr>
        <w:ind w:left="3218" w:hanging="360"/>
      </w:pPr>
      <w:rPr>
        <w:rFonts w:ascii="Wingdings" w:hAnsi="Wingdings" w:hint="default"/>
      </w:rPr>
    </w:lvl>
    <w:lvl w:ilvl="3" w:tplc="1C090001" w:tentative="1">
      <w:start w:val="1"/>
      <w:numFmt w:val="bullet"/>
      <w:lvlText w:val=""/>
      <w:lvlJc w:val="left"/>
      <w:pPr>
        <w:ind w:left="3938" w:hanging="360"/>
      </w:pPr>
      <w:rPr>
        <w:rFonts w:ascii="Symbol" w:hAnsi="Symbol" w:hint="default"/>
      </w:rPr>
    </w:lvl>
    <w:lvl w:ilvl="4" w:tplc="1C090003" w:tentative="1">
      <w:start w:val="1"/>
      <w:numFmt w:val="bullet"/>
      <w:lvlText w:val="o"/>
      <w:lvlJc w:val="left"/>
      <w:pPr>
        <w:ind w:left="4658" w:hanging="360"/>
      </w:pPr>
      <w:rPr>
        <w:rFonts w:ascii="Courier New" w:hAnsi="Courier New" w:cs="Courier New" w:hint="default"/>
      </w:rPr>
    </w:lvl>
    <w:lvl w:ilvl="5" w:tplc="1C090005" w:tentative="1">
      <w:start w:val="1"/>
      <w:numFmt w:val="bullet"/>
      <w:lvlText w:val=""/>
      <w:lvlJc w:val="left"/>
      <w:pPr>
        <w:ind w:left="5378" w:hanging="360"/>
      </w:pPr>
      <w:rPr>
        <w:rFonts w:ascii="Wingdings" w:hAnsi="Wingdings" w:hint="default"/>
      </w:rPr>
    </w:lvl>
    <w:lvl w:ilvl="6" w:tplc="1C090001" w:tentative="1">
      <w:start w:val="1"/>
      <w:numFmt w:val="bullet"/>
      <w:lvlText w:val=""/>
      <w:lvlJc w:val="left"/>
      <w:pPr>
        <w:ind w:left="6098" w:hanging="360"/>
      </w:pPr>
      <w:rPr>
        <w:rFonts w:ascii="Symbol" w:hAnsi="Symbol" w:hint="default"/>
      </w:rPr>
    </w:lvl>
    <w:lvl w:ilvl="7" w:tplc="1C090003" w:tentative="1">
      <w:start w:val="1"/>
      <w:numFmt w:val="bullet"/>
      <w:lvlText w:val="o"/>
      <w:lvlJc w:val="left"/>
      <w:pPr>
        <w:ind w:left="6818" w:hanging="360"/>
      </w:pPr>
      <w:rPr>
        <w:rFonts w:ascii="Courier New" w:hAnsi="Courier New" w:cs="Courier New" w:hint="default"/>
      </w:rPr>
    </w:lvl>
    <w:lvl w:ilvl="8" w:tplc="1C090005" w:tentative="1">
      <w:start w:val="1"/>
      <w:numFmt w:val="bullet"/>
      <w:lvlText w:val=""/>
      <w:lvlJc w:val="left"/>
      <w:pPr>
        <w:ind w:left="7538" w:hanging="360"/>
      </w:pPr>
      <w:rPr>
        <w:rFonts w:ascii="Wingdings" w:hAnsi="Wingdings" w:hint="default"/>
      </w:rPr>
    </w:lvl>
  </w:abstractNum>
  <w:abstractNum w:abstractNumId="2"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E51D4C"/>
    <w:multiLevelType w:val="hybridMultilevel"/>
    <w:tmpl w:val="0AB075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D32FE3"/>
    <w:multiLevelType w:val="hybridMultilevel"/>
    <w:tmpl w:val="9604C4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260B28"/>
    <w:multiLevelType w:val="hybridMultilevel"/>
    <w:tmpl w:val="6F627B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9E0A22"/>
    <w:multiLevelType w:val="hybridMultilevel"/>
    <w:tmpl w:val="D29C33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B1364"/>
    <w:multiLevelType w:val="hybridMultilevel"/>
    <w:tmpl w:val="FFE6E3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7086E3A"/>
    <w:multiLevelType w:val="hybridMultilevel"/>
    <w:tmpl w:val="D7A8CC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B5A29A1"/>
    <w:multiLevelType w:val="hybridMultilevel"/>
    <w:tmpl w:val="66A8A1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9A03C17"/>
    <w:multiLevelType w:val="hybridMultilevel"/>
    <w:tmpl w:val="FD4C19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BAC30ED"/>
    <w:multiLevelType w:val="hybridMultilevel"/>
    <w:tmpl w:val="6E22AEB4"/>
    <w:lvl w:ilvl="0" w:tplc="29085DB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14D04BD"/>
    <w:multiLevelType w:val="hybridMultilevel"/>
    <w:tmpl w:val="ECFC3C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4ED2A13"/>
    <w:multiLevelType w:val="hybridMultilevel"/>
    <w:tmpl w:val="8F46E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9F471E4"/>
    <w:multiLevelType w:val="hybridMultilevel"/>
    <w:tmpl w:val="9E5CD8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5923930"/>
    <w:multiLevelType w:val="hybridMultilevel"/>
    <w:tmpl w:val="A5566A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91332C4"/>
    <w:multiLevelType w:val="hybridMultilevel"/>
    <w:tmpl w:val="74541E3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15:restartNumberingAfterBreak="0">
    <w:nsid w:val="7AF55A25"/>
    <w:multiLevelType w:val="hybridMultilevel"/>
    <w:tmpl w:val="20629F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
  </w:num>
  <w:num w:numId="3">
    <w:abstractNumId w:val="11"/>
  </w:num>
  <w:num w:numId="4">
    <w:abstractNumId w:val="8"/>
  </w:num>
  <w:num w:numId="5">
    <w:abstractNumId w:val="2"/>
  </w:num>
  <w:num w:numId="6">
    <w:abstractNumId w:val="16"/>
  </w:num>
  <w:num w:numId="7">
    <w:abstractNumId w:val="6"/>
  </w:num>
  <w:num w:numId="8">
    <w:abstractNumId w:val="9"/>
  </w:num>
  <w:num w:numId="9">
    <w:abstractNumId w:val="3"/>
  </w:num>
  <w:num w:numId="10">
    <w:abstractNumId w:val="10"/>
  </w:num>
  <w:num w:numId="11">
    <w:abstractNumId w:val="12"/>
  </w:num>
  <w:num w:numId="12">
    <w:abstractNumId w:val="14"/>
  </w:num>
  <w:num w:numId="13">
    <w:abstractNumId w:val="13"/>
  </w:num>
  <w:num w:numId="14">
    <w:abstractNumId w:val="22"/>
  </w:num>
  <w:num w:numId="15">
    <w:abstractNumId w:val="23"/>
  </w:num>
  <w:num w:numId="16">
    <w:abstractNumId w:val="18"/>
  </w:num>
  <w:num w:numId="17">
    <w:abstractNumId w:val="5"/>
  </w:num>
  <w:num w:numId="18">
    <w:abstractNumId w:val="21"/>
  </w:num>
  <w:num w:numId="19">
    <w:abstractNumId w:val="19"/>
  </w:num>
  <w:num w:numId="20">
    <w:abstractNumId w:val="17"/>
  </w:num>
  <w:num w:numId="21">
    <w:abstractNumId w:val="4"/>
  </w:num>
  <w:num w:numId="22">
    <w:abstractNumId w:val="0"/>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0086A"/>
    <w:rsid w:val="0000238B"/>
    <w:rsid w:val="000144B3"/>
    <w:rsid w:val="00014D0C"/>
    <w:rsid w:val="00016006"/>
    <w:rsid w:val="000204F0"/>
    <w:rsid w:val="00023812"/>
    <w:rsid w:val="00034E06"/>
    <w:rsid w:val="00042250"/>
    <w:rsid w:val="000435BE"/>
    <w:rsid w:val="00046AC3"/>
    <w:rsid w:val="00050A63"/>
    <w:rsid w:val="00051559"/>
    <w:rsid w:val="0005247E"/>
    <w:rsid w:val="0005437D"/>
    <w:rsid w:val="00054445"/>
    <w:rsid w:val="00063719"/>
    <w:rsid w:val="00064D86"/>
    <w:rsid w:val="0006568F"/>
    <w:rsid w:val="00065FC4"/>
    <w:rsid w:val="00067065"/>
    <w:rsid w:val="00072FB5"/>
    <w:rsid w:val="000736A9"/>
    <w:rsid w:val="0007371D"/>
    <w:rsid w:val="000752F6"/>
    <w:rsid w:val="00080314"/>
    <w:rsid w:val="00083E17"/>
    <w:rsid w:val="00086ECE"/>
    <w:rsid w:val="000871E0"/>
    <w:rsid w:val="00093396"/>
    <w:rsid w:val="000A3329"/>
    <w:rsid w:val="000B1353"/>
    <w:rsid w:val="000B189D"/>
    <w:rsid w:val="000B77EA"/>
    <w:rsid w:val="000C024A"/>
    <w:rsid w:val="000C1ACB"/>
    <w:rsid w:val="000C2A04"/>
    <w:rsid w:val="000C74EB"/>
    <w:rsid w:val="000D0FF5"/>
    <w:rsid w:val="000D5C7D"/>
    <w:rsid w:val="000F1A9D"/>
    <w:rsid w:val="000F2E19"/>
    <w:rsid w:val="000F3F0B"/>
    <w:rsid w:val="000F4D11"/>
    <w:rsid w:val="000F676D"/>
    <w:rsid w:val="001004CA"/>
    <w:rsid w:val="00100BC7"/>
    <w:rsid w:val="001011BA"/>
    <w:rsid w:val="00110027"/>
    <w:rsid w:val="001113DA"/>
    <w:rsid w:val="001113EA"/>
    <w:rsid w:val="00111B11"/>
    <w:rsid w:val="00112914"/>
    <w:rsid w:val="001149F4"/>
    <w:rsid w:val="001161FE"/>
    <w:rsid w:val="001169ED"/>
    <w:rsid w:val="001204A0"/>
    <w:rsid w:val="00121080"/>
    <w:rsid w:val="00121661"/>
    <w:rsid w:val="00122449"/>
    <w:rsid w:val="001255EF"/>
    <w:rsid w:val="0013147F"/>
    <w:rsid w:val="0013275D"/>
    <w:rsid w:val="00137500"/>
    <w:rsid w:val="00141CB8"/>
    <w:rsid w:val="001435C1"/>
    <w:rsid w:val="00143C23"/>
    <w:rsid w:val="00145C7E"/>
    <w:rsid w:val="00147712"/>
    <w:rsid w:val="00161566"/>
    <w:rsid w:val="0016315C"/>
    <w:rsid w:val="0016524A"/>
    <w:rsid w:val="0017124F"/>
    <w:rsid w:val="001723F2"/>
    <w:rsid w:val="00175BD4"/>
    <w:rsid w:val="0018165B"/>
    <w:rsid w:val="00185009"/>
    <w:rsid w:val="001860C2"/>
    <w:rsid w:val="00187148"/>
    <w:rsid w:val="00193608"/>
    <w:rsid w:val="0019419C"/>
    <w:rsid w:val="001945CA"/>
    <w:rsid w:val="001951A8"/>
    <w:rsid w:val="001976A7"/>
    <w:rsid w:val="001A0812"/>
    <w:rsid w:val="001A440E"/>
    <w:rsid w:val="001A631C"/>
    <w:rsid w:val="001A6952"/>
    <w:rsid w:val="001B09C4"/>
    <w:rsid w:val="001B0CAA"/>
    <w:rsid w:val="001B5446"/>
    <w:rsid w:val="001C419C"/>
    <w:rsid w:val="001C426E"/>
    <w:rsid w:val="001C48EF"/>
    <w:rsid w:val="001D1426"/>
    <w:rsid w:val="001D145F"/>
    <w:rsid w:val="001D296F"/>
    <w:rsid w:val="001D3AD8"/>
    <w:rsid w:val="001E36F8"/>
    <w:rsid w:val="001F12A9"/>
    <w:rsid w:val="001F137C"/>
    <w:rsid w:val="001F6BD9"/>
    <w:rsid w:val="00201C15"/>
    <w:rsid w:val="00202A1E"/>
    <w:rsid w:val="00211E65"/>
    <w:rsid w:val="00213163"/>
    <w:rsid w:val="00214624"/>
    <w:rsid w:val="00215EC5"/>
    <w:rsid w:val="00217F89"/>
    <w:rsid w:val="00222E4A"/>
    <w:rsid w:val="00227D37"/>
    <w:rsid w:val="00231639"/>
    <w:rsid w:val="00240106"/>
    <w:rsid w:val="00244ACE"/>
    <w:rsid w:val="0024764F"/>
    <w:rsid w:val="00251098"/>
    <w:rsid w:val="0025163D"/>
    <w:rsid w:val="002519C3"/>
    <w:rsid w:val="00253345"/>
    <w:rsid w:val="002536F5"/>
    <w:rsid w:val="00257F69"/>
    <w:rsid w:val="00260037"/>
    <w:rsid w:val="002628F1"/>
    <w:rsid w:val="002647AB"/>
    <w:rsid w:val="00267704"/>
    <w:rsid w:val="002678D7"/>
    <w:rsid w:val="00267A62"/>
    <w:rsid w:val="00270178"/>
    <w:rsid w:val="0027130E"/>
    <w:rsid w:val="00271472"/>
    <w:rsid w:val="00275FDA"/>
    <w:rsid w:val="002821C1"/>
    <w:rsid w:val="00283442"/>
    <w:rsid w:val="0028371C"/>
    <w:rsid w:val="0028580C"/>
    <w:rsid w:val="00287580"/>
    <w:rsid w:val="002944F7"/>
    <w:rsid w:val="00295FE0"/>
    <w:rsid w:val="002A024C"/>
    <w:rsid w:val="002A12CA"/>
    <w:rsid w:val="002A439C"/>
    <w:rsid w:val="002A4EC3"/>
    <w:rsid w:val="002A6914"/>
    <w:rsid w:val="002A6D67"/>
    <w:rsid w:val="002B51E7"/>
    <w:rsid w:val="002D1ED9"/>
    <w:rsid w:val="002D4D18"/>
    <w:rsid w:val="002D7097"/>
    <w:rsid w:val="002E30E8"/>
    <w:rsid w:val="002E4F01"/>
    <w:rsid w:val="002E55EA"/>
    <w:rsid w:val="002E6A24"/>
    <w:rsid w:val="002F162B"/>
    <w:rsid w:val="002F16E9"/>
    <w:rsid w:val="002F19B0"/>
    <w:rsid w:val="002F4117"/>
    <w:rsid w:val="002F5364"/>
    <w:rsid w:val="00302AA8"/>
    <w:rsid w:val="00307DE7"/>
    <w:rsid w:val="00321934"/>
    <w:rsid w:val="00322BD7"/>
    <w:rsid w:val="003230DF"/>
    <w:rsid w:val="00324D73"/>
    <w:rsid w:val="00325F2F"/>
    <w:rsid w:val="00330C63"/>
    <w:rsid w:val="00332256"/>
    <w:rsid w:val="003352CA"/>
    <w:rsid w:val="003353CB"/>
    <w:rsid w:val="00336154"/>
    <w:rsid w:val="00337675"/>
    <w:rsid w:val="00340ED3"/>
    <w:rsid w:val="00345103"/>
    <w:rsid w:val="003453A7"/>
    <w:rsid w:val="003453E4"/>
    <w:rsid w:val="003455BD"/>
    <w:rsid w:val="00346C09"/>
    <w:rsid w:val="00354846"/>
    <w:rsid w:val="00356055"/>
    <w:rsid w:val="00362595"/>
    <w:rsid w:val="00371A95"/>
    <w:rsid w:val="00373E18"/>
    <w:rsid w:val="00374625"/>
    <w:rsid w:val="003768E4"/>
    <w:rsid w:val="003804A8"/>
    <w:rsid w:val="00380C83"/>
    <w:rsid w:val="00382ADA"/>
    <w:rsid w:val="003835A0"/>
    <w:rsid w:val="00383630"/>
    <w:rsid w:val="0038427E"/>
    <w:rsid w:val="00384A36"/>
    <w:rsid w:val="003935AB"/>
    <w:rsid w:val="00394359"/>
    <w:rsid w:val="00395C1E"/>
    <w:rsid w:val="003A0D8D"/>
    <w:rsid w:val="003A29FB"/>
    <w:rsid w:val="003A3D19"/>
    <w:rsid w:val="003A6075"/>
    <w:rsid w:val="003B0162"/>
    <w:rsid w:val="003B10C9"/>
    <w:rsid w:val="003B4F95"/>
    <w:rsid w:val="003C278D"/>
    <w:rsid w:val="003C3187"/>
    <w:rsid w:val="003C34BA"/>
    <w:rsid w:val="003C36D7"/>
    <w:rsid w:val="003C4CE2"/>
    <w:rsid w:val="003C6031"/>
    <w:rsid w:val="003C700A"/>
    <w:rsid w:val="003D13C9"/>
    <w:rsid w:val="003D3AB6"/>
    <w:rsid w:val="003D5B90"/>
    <w:rsid w:val="003E41CF"/>
    <w:rsid w:val="003F1BC4"/>
    <w:rsid w:val="003F5A00"/>
    <w:rsid w:val="003F5A9C"/>
    <w:rsid w:val="003F6A02"/>
    <w:rsid w:val="003F76E0"/>
    <w:rsid w:val="003F7712"/>
    <w:rsid w:val="004038EE"/>
    <w:rsid w:val="0040423E"/>
    <w:rsid w:val="00405F9A"/>
    <w:rsid w:val="00407678"/>
    <w:rsid w:val="00410B7D"/>
    <w:rsid w:val="00410B90"/>
    <w:rsid w:val="00416503"/>
    <w:rsid w:val="00417CC4"/>
    <w:rsid w:val="00420382"/>
    <w:rsid w:val="0042225F"/>
    <w:rsid w:val="00433C1B"/>
    <w:rsid w:val="00434DA5"/>
    <w:rsid w:val="00435E56"/>
    <w:rsid w:val="00441724"/>
    <w:rsid w:val="004423A7"/>
    <w:rsid w:val="00443433"/>
    <w:rsid w:val="00451766"/>
    <w:rsid w:val="00451A86"/>
    <w:rsid w:val="004568F5"/>
    <w:rsid w:val="00464D4D"/>
    <w:rsid w:val="00467DA9"/>
    <w:rsid w:val="0048656A"/>
    <w:rsid w:val="00486A17"/>
    <w:rsid w:val="0049405F"/>
    <w:rsid w:val="004A1759"/>
    <w:rsid w:val="004A2267"/>
    <w:rsid w:val="004A28B2"/>
    <w:rsid w:val="004A53EA"/>
    <w:rsid w:val="004A6384"/>
    <w:rsid w:val="004A687F"/>
    <w:rsid w:val="004A7DA9"/>
    <w:rsid w:val="004B0423"/>
    <w:rsid w:val="004B0713"/>
    <w:rsid w:val="004B2D37"/>
    <w:rsid w:val="004B4A66"/>
    <w:rsid w:val="004B7AF5"/>
    <w:rsid w:val="004C1102"/>
    <w:rsid w:val="004C18EC"/>
    <w:rsid w:val="004C60DA"/>
    <w:rsid w:val="004D0295"/>
    <w:rsid w:val="004D1524"/>
    <w:rsid w:val="004D6498"/>
    <w:rsid w:val="004E2922"/>
    <w:rsid w:val="004E4DAF"/>
    <w:rsid w:val="004E5FC6"/>
    <w:rsid w:val="004E7608"/>
    <w:rsid w:val="004F0766"/>
    <w:rsid w:val="004F1DF6"/>
    <w:rsid w:val="004F47FC"/>
    <w:rsid w:val="004F60D3"/>
    <w:rsid w:val="00506218"/>
    <w:rsid w:val="0050685E"/>
    <w:rsid w:val="00511FB5"/>
    <w:rsid w:val="005135D4"/>
    <w:rsid w:val="005138C3"/>
    <w:rsid w:val="0051590D"/>
    <w:rsid w:val="005248F6"/>
    <w:rsid w:val="00527C9E"/>
    <w:rsid w:val="00532E7F"/>
    <w:rsid w:val="005355B2"/>
    <w:rsid w:val="0054188E"/>
    <w:rsid w:val="005447D2"/>
    <w:rsid w:val="005475A6"/>
    <w:rsid w:val="005509A2"/>
    <w:rsid w:val="00557D80"/>
    <w:rsid w:val="00561C75"/>
    <w:rsid w:val="005628FE"/>
    <w:rsid w:val="00573EA2"/>
    <w:rsid w:val="0057426E"/>
    <w:rsid w:val="00574800"/>
    <w:rsid w:val="00575220"/>
    <w:rsid w:val="00576C93"/>
    <w:rsid w:val="00581B69"/>
    <w:rsid w:val="00587E90"/>
    <w:rsid w:val="005923A8"/>
    <w:rsid w:val="005A16E0"/>
    <w:rsid w:val="005A21ED"/>
    <w:rsid w:val="005A77A2"/>
    <w:rsid w:val="005B0992"/>
    <w:rsid w:val="005B0C73"/>
    <w:rsid w:val="005B25BF"/>
    <w:rsid w:val="005B450E"/>
    <w:rsid w:val="005B4FD8"/>
    <w:rsid w:val="005B5FC4"/>
    <w:rsid w:val="005B6048"/>
    <w:rsid w:val="005B62B4"/>
    <w:rsid w:val="005B7CFF"/>
    <w:rsid w:val="005C2299"/>
    <w:rsid w:val="005C3133"/>
    <w:rsid w:val="005C4D11"/>
    <w:rsid w:val="005C6EDE"/>
    <w:rsid w:val="005D1205"/>
    <w:rsid w:val="005D52D2"/>
    <w:rsid w:val="005D54DF"/>
    <w:rsid w:val="005D7F9E"/>
    <w:rsid w:val="005E6456"/>
    <w:rsid w:val="005F02F6"/>
    <w:rsid w:val="005F2A62"/>
    <w:rsid w:val="005F3B27"/>
    <w:rsid w:val="005F5553"/>
    <w:rsid w:val="005F72F5"/>
    <w:rsid w:val="005F7544"/>
    <w:rsid w:val="006015AB"/>
    <w:rsid w:val="00602DDF"/>
    <w:rsid w:val="006052EB"/>
    <w:rsid w:val="00605876"/>
    <w:rsid w:val="00606273"/>
    <w:rsid w:val="00607890"/>
    <w:rsid w:val="00610270"/>
    <w:rsid w:val="00611D35"/>
    <w:rsid w:val="006124A0"/>
    <w:rsid w:val="00614644"/>
    <w:rsid w:val="00617B74"/>
    <w:rsid w:val="0062560E"/>
    <w:rsid w:val="00630A2B"/>
    <w:rsid w:val="00634A9D"/>
    <w:rsid w:val="00636507"/>
    <w:rsid w:val="00637C5B"/>
    <w:rsid w:val="006427A5"/>
    <w:rsid w:val="00650F13"/>
    <w:rsid w:val="0065322B"/>
    <w:rsid w:val="00653EAC"/>
    <w:rsid w:val="006557AA"/>
    <w:rsid w:val="006607FA"/>
    <w:rsid w:val="00665208"/>
    <w:rsid w:val="00665C94"/>
    <w:rsid w:val="00667B94"/>
    <w:rsid w:val="0067082E"/>
    <w:rsid w:val="00670E82"/>
    <w:rsid w:val="006806B9"/>
    <w:rsid w:val="00681EB2"/>
    <w:rsid w:val="006820C0"/>
    <w:rsid w:val="00685233"/>
    <w:rsid w:val="00690162"/>
    <w:rsid w:val="006924BC"/>
    <w:rsid w:val="00695F0A"/>
    <w:rsid w:val="006A0C56"/>
    <w:rsid w:val="006A24D6"/>
    <w:rsid w:val="006A6635"/>
    <w:rsid w:val="006B399B"/>
    <w:rsid w:val="006B620E"/>
    <w:rsid w:val="006C1593"/>
    <w:rsid w:val="006C31C8"/>
    <w:rsid w:val="006C3432"/>
    <w:rsid w:val="006C3AD1"/>
    <w:rsid w:val="006C5667"/>
    <w:rsid w:val="006C58B8"/>
    <w:rsid w:val="006C780E"/>
    <w:rsid w:val="006D30DE"/>
    <w:rsid w:val="006D32E9"/>
    <w:rsid w:val="006D3930"/>
    <w:rsid w:val="006D3B08"/>
    <w:rsid w:val="006E0E3D"/>
    <w:rsid w:val="006E70F6"/>
    <w:rsid w:val="006F12EA"/>
    <w:rsid w:val="006F464E"/>
    <w:rsid w:val="007017CF"/>
    <w:rsid w:val="007026CA"/>
    <w:rsid w:val="00702765"/>
    <w:rsid w:val="007028A0"/>
    <w:rsid w:val="00705212"/>
    <w:rsid w:val="007153E8"/>
    <w:rsid w:val="00715DF1"/>
    <w:rsid w:val="00727AC5"/>
    <w:rsid w:val="00737776"/>
    <w:rsid w:val="0074101D"/>
    <w:rsid w:val="00742511"/>
    <w:rsid w:val="00744360"/>
    <w:rsid w:val="00744B64"/>
    <w:rsid w:val="0075135D"/>
    <w:rsid w:val="007520C0"/>
    <w:rsid w:val="00752C5D"/>
    <w:rsid w:val="00754226"/>
    <w:rsid w:val="007549A4"/>
    <w:rsid w:val="0075574D"/>
    <w:rsid w:val="007561FE"/>
    <w:rsid w:val="0075656E"/>
    <w:rsid w:val="007617B4"/>
    <w:rsid w:val="00761DC1"/>
    <w:rsid w:val="007624E8"/>
    <w:rsid w:val="007640DF"/>
    <w:rsid w:val="00765BCF"/>
    <w:rsid w:val="00767654"/>
    <w:rsid w:val="00771D6F"/>
    <w:rsid w:val="00774D53"/>
    <w:rsid w:val="00774F11"/>
    <w:rsid w:val="00784C81"/>
    <w:rsid w:val="00785EC3"/>
    <w:rsid w:val="00786573"/>
    <w:rsid w:val="0078694D"/>
    <w:rsid w:val="00792524"/>
    <w:rsid w:val="007967FF"/>
    <w:rsid w:val="007A7050"/>
    <w:rsid w:val="007A7A18"/>
    <w:rsid w:val="007B1D8E"/>
    <w:rsid w:val="007B3F08"/>
    <w:rsid w:val="007C2AC1"/>
    <w:rsid w:val="007C4EB1"/>
    <w:rsid w:val="007D0DE9"/>
    <w:rsid w:val="007D1C48"/>
    <w:rsid w:val="007D3765"/>
    <w:rsid w:val="007E5C23"/>
    <w:rsid w:val="007E68F3"/>
    <w:rsid w:val="007F0BD2"/>
    <w:rsid w:val="007F2E9B"/>
    <w:rsid w:val="007F439B"/>
    <w:rsid w:val="007F4718"/>
    <w:rsid w:val="007F543C"/>
    <w:rsid w:val="007F5E1E"/>
    <w:rsid w:val="0080262B"/>
    <w:rsid w:val="0080317E"/>
    <w:rsid w:val="008033A1"/>
    <w:rsid w:val="00803DCA"/>
    <w:rsid w:val="00805B57"/>
    <w:rsid w:val="00810312"/>
    <w:rsid w:val="008168D7"/>
    <w:rsid w:val="0082551A"/>
    <w:rsid w:val="00826CE1"/>
    <w:rsid w:val="00831695"/>
    <w:rsid w:val="00834896"/>
    <w:rsid w:val="00837416"/>
    <w:rsid w:val="008468F3"/>
    <w:rsid w:val="008555E3"/>
    <w:rsid w:val="00863949"/>
    <w:rsid w:val="00864626"/>
    <w:rsid w:val="008678CF"/>
    <w:rsid w:val="00867BCA"/>
    <w:rsid w:val="00870751"/>
    <w:rsid w:val="008723C3"/>
    <w:rsid w:val="00873A85"/>
    <w:rsid w:val="00874BC3"/>
    <w:rsid w:val="008767CE"/>
    <w:rsid w:val="008820A2"/>
    <w:rsid w:val="008927A0"/>
    <w:rsid w:val="0089761A"/>
    <w:rsid w:val="008A3D62"/>
    <w:rsid w:val="008A4C09"/>
    <w:rsid w:val="008A7891"/>
    <w:rsid w:val="008B14A6"/>
    <w:rsid w:val="008B1AB4"/>
    <w:rsid w:val="008B4F73"/>
    <w:rsid w:val="008B6F18"/>
    <w:rsid w:val="008C19C4"/>
    <w:rsid w:val="008C2BE8"/>
    <w:rsid w:val="008C4FF1"/>
    <w:rsid w:val="008C6006"/>
    <w:rsid w:val="008C75B2"/>
    <w:rsid w:val="008C7E9E"/>
    <w:rsid w:val="008D1027"/>
    <w:rsid w:val="008D5DE6"/>
    <w:rsid w:val="008D743D"/>
    <w:rsid w:val="008E2FDF"/>
    <w:rsid w:val="008F5B96"/>
    <w:rsid w:val="00900106"/>
    <w:rsid w:val="00900795"/>
    <w:rsid w:val="00902C9D"/>
    <w:rsid w:val="0090715C"/>
    <w:rsid w:val="00912273"/>
    <w:rsid w:val="0091603A"/>
    <w:rsid w:val="00921CF9"/>
    <w:rsid w:val="00925D2A"/>
    <w:rsid w:val="0092766E"/>
    <w:rsid w:val="0093030D"/>
    <w:rsid w:val="009307DF"/>
    <w:rsid w:val="00931166"/>
    <w:rsid w:val="00932B35"/>
    <w:rsid w:val="00933922"/>
    <w:rsid w:val="00935C75"/>
    <w:rsid w:val="00947A6D"/>
    <w:rsid w:val="009542C9"/>
    <w:rsid w:val="00964DB3"/>
    <w:rsid w:val="00967F07"/>
    <w:rsid w:val="00972CCD"/>
    <w:rsid w:val="009732C5"/>
    <w:rsid w:val="00975BA8"/>
    <w:rsid w:val="00975CA7"/>
    <w:rsid w:val="00976701"/>
    <w:rsid w:val="00976971"/>
    <w:rsid w:val="00977364"/>
    <w:rsid w:val="00980BD8"/>
    <w:rsid w:val="00990E6C"/>
    <w:rsid w:val="009928D9"/>
    <w:rsid w:val="00993934"/>
    <w:rsid w:val="00996EDA"/>
    <w:rsid w:val="009A0517"/>
    <w:rsid w:val="009A4055"/>
    <w:rsid w:val="009A4B52"/>
    <w:rsid w:val="009C3FDD"/>
    <w:rsid w:val="009C71D3"/>
    <w:rsid w:val="009D06A1"/>
    <w:rsid w:val="009D1D25"/>
    <w:rsid w:val="009D2502"/>
    <w:rsid w:val="009D49A1"/>
    <w:rsid w:val="009D539F"/>
    <w:rsid w:val="009D63BC"/>
    <w:rsid w:val="009E06CC"/>
    <w:rsid w:val="009E08B1"/>
    <w:rsid w:val="009E19AA"/>
    <w:rsid w:val="009E4AA6"/>
    <w:rsid w:val="009F598B"/>
    <w:rsid w:val="009F66FE"/>
    <w:rsid w:val="009F7261"/>
    <w:rsid w:val="00A00FDB"/>
    <w:rsid w:val="00A018BA"/>
    <w:rsid w:val="00A01E0B"/>
    <w:rsid w:val="00A029E7"/>
    <w:rsid w:val="00A051FB"/>
    <w:rsid w:val="00A06583"/>
    <w:rsid w:val="00A1052C"/>
    <w:rsid w:val="00A1059D"/>
    <w:rsid w:val="00A167E1"/>
    <w:rsid w:val="00A24DE7"/>
    <w:rsid w:val="00A25A8D"/>
    <w:rsid w:val="00A30C9E"/>
    <w:rsid w:val="00A3197A"/>
    <w:rsid w:val="00A32F36"/>
    <w:rsid w:val="00A34964"/>
    <w:rsid w:val="00A35AAF"/>
    <w:rsid w:val="00A37F02"/>
    <w:rsid w:val="00A41EC0"/>
    <w:rsid w:val="00A4782C"/>
    <w:rsid w:val="00A547A7"/>
    <w:rsid w:val="00A572A0"/>
    <w:rsid w:val="00A65E16"/>
    <w:rsid w:val="00A668A9"/>
    <w:rsid w:val="00A66F58"/>
    <w:rsid w:val="00A6703F"/>
    <w:rsid w:val="00A67209"/>
    <w:rsid w:val="00A7546F"/>
    <w:rsid w:val="00A836BC"/>
    <w:rsid w:val="00A8447A"/>
    <w:rsid w:val="00A84E5F"/>
    <w:rsid w:val="00A85809"/>
    <w:rsid w:val="00A85AC4"/>
    <w:rsid w:val="00A87409"/>
    <w:rsid w:val="00A904A9"/>
    <w:rsid w:val="00A92F14"/>
    <w:rsid w:val="00A933CB"/>
    <w:rsid w:val="00A94957"/>
    <w:rsid w:val="00A95B1E"/>
    <w:rsid w:val="00A96CC9"/>
    <w:rsid w:val="00A97831"/>
    <w:rsid w:val="00AA2591"/>
    <w:rsid w:val="00AA3690"/>
    <w:rsid w:val="00AB1469"/>
    <w:rsid w:val="00AB5637"/>
    <w:rsid w:val="00AB659F"/>
    <w:rsid w:val="00AB779B"/>
    <w:rsid w:val="00AC2829"/>
    <w:rsid w:val="00AC2C23"/>
    <w:rsid w:val="00AC44C8"/>
    <w:rsid w:val="00AC4855"/>
    <w:rsid w:val="00AC54A6"/>
    <w:rsid w:val="00AC5A30"/>
    <w:rsid w:val="00AC5FC2"/>
    <w:rsid w:val="00AC615B"/>
    <w:rsid w:val="00AD0CE4"/>
    <w:rsid w:val="00AE03BE"/>
    <w:rsid w:val="00AE1262"/>
    <w:rsid w:val="00AE12F4"/>
    <w:rsid w:val="00AE1BCE"/>
    <w:rsid w:val="00AE2E69"/>
    <w:rsid w:val="00AE3A0B"/>
    <w:rsid w:val="00AE45D7"/>
    <w:rsid w:val="00AE6B7A"/>
    <w:rsid w:val="00AE720D"/>
    <w:rsid w:val="00AF6530"/>
    <w:rsid w:val="00AF734A"/>
    <w:rsid w:val="00AF7BAB"/>
    <w:rsid w:val="00B010F5"/>
    <w:rsid w:val="00B04A5D"/>
    <w:rsid w:val="00B0556F"/>
    <w:rsid w:val="00B064A2"/>
    <w:rsid w:val="00B06DBF"/>
    <w:rsid w:val="00B07BDB"/>
    <w:rsid w:val="00B11A47"/>
    <w:rsid w:val="00B11DFE"/>
    <w:rsid w:val="00B133BE"/>
    <w:rsid w:val="00B15601"/>
    <w:rsid w:val="00B157B7"/>
    <w:rsid w:val="00B1692D"/>
    <w:rsid w:val="00B17F8F"/>
    <w:rsid w:val="00B228FA"/>
    <w:rsid w:val="00B238F4"/>
    <w:rsid w:val="00B23C71"/>
    <w:rsid w:val="00B33939"/>
    <w:rsid w:val="00B352AB"/>
    <w:rsid w:val="00B373FE"/>
    <w:rsid w:val="00B43C70"/>
    <w:rsid w:val="00B46D9E"/>
    <w:rsid w:val="00B47480"/>
    <w:rsid w:val="00B5062D"/>
    <w:rsid w:val="00B53321"/>
    <w:rsid w:val="00B5384D"/>
    <w:rsid w:val="00B539B4"/>
    <w:rsid w:val="00B53CF2"/>
    <w:rsid w:val="00B544F8"/>
    <w:rsid w:val="00B600A0"/>
    <w:rsid w:val="00B6448D"/>
    <w:rsid w:val="00B65933"/>
    <w:rsid w:val="00B7090D"/>
    <w:rsid w:val="00B7153C"/>
    <w:rsid w:val="00B76B5D"/>
    <w:rsid w:val="00B80A20"/>
    <w:rsid w:val="00B80B89"/>
    <w:rsid w:val="00B81DF4"/>
    <w:rsid w:val="00B822A3"/>
    <w:rsid w:val="00B82C05"/>
    <w:rsid w:val="00B84B3B"/>
    <w:rsid w:val="00B8742E"/>
    <w:rsid w:val="00BA3DC2"/>
    <w:rsid w:val="00BA7F27"/>
    <w:rsid w:val="00BB3618"/>
    <w:rsid w:val="00BB3813"/>
    <w:rsid w:val="00BB61E9"/>
    <w:rsid w:val="00BC4EB7"/>
    <w:rsid w:val="00BC6FBB"/>
    <w:rsid w:val="00BD198C"/>
    <w:rsid w:val="00BD2909"/>
    <w:rsid w:val="00BD2BD9"/>
    <w:rsid w:val="00BD35C4"/>
    <w:rsid w:val="00BD4AED"/>
    <w:rsid w:val="00BD60FD"/>
    <w:rsid w:val="00BD73DC"/>
    <w:rsid w:val="00BE106B"/>
    <w:rsid w:val="00BE1AB8"/>
    <w:rsid w:val="00BE1EE9"/>
    <w:rsid w:val="00BE387A"/>
    <w:rsid w:val="00BE58F6"/>
    <w:rsid w:val="00BE6DE2"/>
    <w:rsid w:val="00BF214D"/>
    <w:rsid w:val="00BF60E0"/>
    <w:rsid w:val="00C11C7B"/>
    <w:rsid w:val="00C130B1"/>
    <w:rsid w:val="00C16778"/>
    <w:rsid w:val="00C2040D"/>
    <w:rsid w:val="00C262C9"/>
    <w:rsid w:val="00C266EE"/>
    <w:rsid w:val="00C34AA3"/>
    <w:rsid w:val="00C361AA"/>
    <w:rsid w:val="00C36612"/>
    <w:rsid w:val="00C36D78"/>
    <w:rsid w:val="00C43586"/>
    <w:rsid w:val="00C6212D"/>
    <w:rsid w:val="00C648B8"/>
    <w:rsid w:val="00C67C90"/>
    <w:rsid w:val="00C70110"/>
    <w:rsid w:val="00C72345"/>
    <w:rsid w:val="00C74DB9"/>
    <w:rsid w:val="00C83652"/>
    <w:rsid w:val="00C848CE"/>
    <w:rsid w:val="00C849A0"/>
    <w:rsid w:val="00C9155D"/>
    <w:rsid w:val="00C96C19"/>
    <w:rsid w:val="00C9721C"/>
    <w:rsid w:val="00C97248"/>
    <w:rsid w:val="00CA0778"/>
    <w:rsid w:val="00CA0977"/>
    <w:rsid w:val="00CA5F6B"/>
    <w:rsid w:val="00CB421E"/>
    <w:rsid w:val="00CC34CF"/>
    <w:rsid w:val="00CC53BB"/>
    <w:rsid w:val="00CD0246"/>
    <w:rsid w:val="00CD1139"/>
    <w:rsid w:val="00CD37BB"/>
    <w:rsid w:val="00CD5761"/>
    <w:rsid w:val="00CE0539"/>
    <w:rsid w:val="00CE0B76"/>
    <w:rsid w:val="00CE27F1"/>
    <w:rsid w:val="00CE2B2F"/>
    <w:rsid w:val="00CE3BAE"/>
    <w:rsid w:val="00CE3CC2"/>
    <w:rsid w:val="00CE72B9"/>
    <w:rsid w:val="00CF2053"/>
    <w:rsid w:val="00CF7150"/>
    <w:rsid w:val="00CF7569"/>
    <w:rsid w:val="00CF781A"/>
    <w:rsid w:val="00D01489"/>
    <w:rsid w:val="00D019A9"/>
    <w:rsid w:val="00D02BBA"/>
    <w:rsid w:val="00D040F4"/>
    <w:rsid w:val="00D07C81"/>
    <w:rsid w:val="00D10188"/>
    <w:rsid w:val="00D11DEF"/>
    <w:rsid w:val="00D121D5"/>
    <w:rsid w:val="00D14769"/>
    <w:rsid w:val="00D1779C"/>
    <w:rsid w:val="00D17A57"/>
    <w:rsid w:val="00D20525"/>
    <w:rsid w:val="00D22956"/>
    <w:rsid w:val="00D250C6"/>
    <w:rsid w:val="00D2618D"/>
    <w:rsid w:val="00D271F3"/>
    <w:rsid w:val="00D27571"/>
    <w:rsid w:val="00D307D7"/>
    <w:rsid w:val="00D33107"/>
    <w:rsid w:val="00D331A9"/>
    <w:rsid w:val="00D3426D"/>
    <w:rsid w:val="00D34CE5"/>
    <w:rsid w:val="00D36A69"/>
    <w:rsid w:val="00D40369"/>
    <w:rsid w:val="00D435A8"/>
    <w:rsid w:val="00D43D4C"/>
    <w:rsid w:val="00D5059A"/>
    <w:rsid w:val="00D5118F"/>
    <w:rsid w:val="00D515DF"/>
    <w:rsid w:val="00D52692"/>
    <w:rsid w:val="00D529C5"/>
    <w:rsid w:val="00D52C3B"/>
    <w:rsid w:val="00D53225"/>
    <w:rsid w:val="00D54A88"/>
    <w:rsid w:val="00D57E29"/>
    <w:rsid w:val="00D653E2"/>
    <w:rsid w:val="00D65796"/>
    <w:rsid w:val="00D65EA8"/>
    <w:rsid w:val="00D72BC0"/>
    <w:rsid w:val="00D75B21"/>
    <w:rsid w:val="00D826DB"/>
    <w:rsid w:val="00D9077C"/>
    <w:rsid w:val="00D90B55"/>
    <w:rsid w:val="00D92FEA"/>
    <w:rsid w:val="00D958E2"/>
    <w:rsid w:val="00D97D04"/>
    <w:rsid w:val="00DA0759"/>
    <w:rsid w:val="00DA4AAF"/>
    <w:rsid w:val="00DB1C85"/>
    <w:rsid w:val="00DB291B"/>
    <w:rsid w:val="00DB4A11"/>
    <w:rsid w:val="00DB6E1D"/>
    <w:rsid w:val="00DB6EB9"/>
    <w:rsid w:val="00DB71F9"/>
    <w:rsid w:val="00DB77B9"/>
    <w:rsid w:val="00DC1373"/>
    <w:rsid w:val="00DD1C15"/>
    <w:rsid w:val="00DD461D"/>
    <w:rsid w:val="00DD487F"/>
    <w:rsid w:val="00DD75B5"/>
    <w:rsid w:val="00DE5C90"/>
    <w:rsid w:val="00DF3A31"/>
    <w:rsid w:val="00DF3BA1"/>
    <w:rsid w:val="00DF6902"/>
    <w:rsid w:val="00DF7E2F"/>
    <w:rsid w:val="00E01551"/>
    <w:rsid w:val="00E01C02"/>
    <w:rsid w:val="00E06C77"/>
    <w:rsid w:val="00E07C73"/>
    <w:rsid w:val="00E132EA"/>
    <w:rsid w:val="00E2008F"/>
    <w:rsid w:val="00E20B2D"/>
    <w:rsid w:val="00E21946"/>
    <w:rsid w:val="00E23E04"/>
    <w:rsid w:val="00E24F85"/>
    <w:rsid w:val="00E30126"/>
    <w:rsid w:val="00E3031D"/>
    <w:rsid w:val="00E31961"/>
    <w:rsid w:val="00E34CCA"/>
    <w:rsid w:val="00E35FA2"/>
    <w:rsid w:val="00E378EF"/>
    <w:rsid w:val="00E444E6"/>
    <w:rsid w:val="00E54244"/>
    <w:rsid w:val="00E61D18"/>
    <w:rsid w:val="00E63CE0"/>
    <w:rsid w:val="00E64BE4"/>
    <w:rsid w:val="00E674AE"/>
    <w:rsid w:val="00E67F46"/>
    <w:rsid w:val="00E71803"/>
    <w:rsid w:val="00E72DBE"/>
    <w:rsid w:val="00E742FD"/>
    <w:rsid w:val="00E7506A"/>
    <w:rsid w:val="00E761AB"/>
    <w:rsid w:val="00E7626C"/>
    <w:rsid w:val="00E8446A"/>
    <w:rsid w:val="00E905BE"/>
    <w:rsid w:val="00E913B6"/>
    <w:rsid w:val="00E93A18"/>
    <w:rsid w:val="00E973F2"/>
    <w:rsid w:val="00EA0580"/>
    <w:rsid w:val="00EB416B"/>
    <w:rsid w:val="00EB74F9"/>
    <w:rsid w:val="00EC0455"/>
    <w:rsid w:val="00EC06B5"/>
    <w:rsid w:val="00ED17B2"/>
    <w:rsid w:val="00ED1C62"/>
    <w:rsid w:val="00EE0926"/>
    <w:rsid w:val="00EE147E"/>
    <w:rsid w:val="00EE2E17"/>
    <w:rsid w:val="00EE7BDC"/>
    <w:rsid w:val="00EF38EC"/>
    <w:rsid w:val="00EF6A3A"/>
    <w:rsid w:val="00F00380"/>
    <w:rsid w:val="00F019F8"/>
    <w:rsid w:val="00F06EC5"/>
    <w:rsid w:val="00F13A0B"/>
    <w:rsid w:val="00F14551"/>
    <w:rsid w:val="00F14ACA"/>
    <w:rsid w:val="00F246CA"/>
    <w:rsid w:val="00F25E18"/>
    <w:rsid w:val="00F2662C"/>
    <w:rsid w:val="00F27D65"/>
    <w:rsid w:val="00F32170"/>
    <w:rsid w:val="00F3655E"/>
    <w:rsid w:val="00F40D88"/>
    <w:rsid w:val="00F411F7"/>
    <w:rsid w:val="00F41953"/>
    <w:rsid w:val="00F4332E"/>
    <w:rsid w:val="00F44D41"/>
    <w:rsid w:val="00F44F89"/>
    <w:rsid w:val="00F45041"/>
    <w:rsid w:val="00F472B8"/>
    <w:rsid w:val="00F52AAE"/>
    <w:rsid w:val="00F52F55"/>
    <w:rsid w:val="00F565F3"/>
    <w:rsid w:val="00F56643"/>
    <w:rsid w:val="00F6273E"/>
    <w:rsid w:val="00F65131"/>
    <w:rsid w:val="00F660FB"/>
    <w:rsid w:val="00F70495"/>
    <w:rsid w:val="00F70B89"/>
    <w:rsid w:val="00F72AA3"/>
    <w:rsid w:val="00F7786F"/>
    <w:rsid w:val="00F822BF"/>
    <w:rsid w:val="00F83240"/>
    <w:rsid w:val="00F90B5E"/>
    <w:rsid w:val="00F9104A"/>
    <w:rsid w:val="00F91371"/>
    <w:rsid w:val="00F94FB2"/>
    <w:rsid w:val="00FA0979"/>
    <w:rsid w:val="00FA0A82"/>
    <w:rsid w:val="00FA2E82"/>
    <w:rsid w:val="00FA4675"/>
    <w:rsid w:val="00FA51FA"/>
    <w:rsid w:val="00FA556D"/>
    <w:rsid w:val="00FA5C9F"/>
    <w:rsid w:val="00FB09AA"/>
    <w:rsid w:val="00FB18DD"/>
    <w:rsid w:val="00FB21A9"/>
    <w:rsid w:val="00FB4766"/>
    <w:rsid w:val="00FB618E"/>
    <w:rsid w:val="00FC15C7"/>
    <w:rsid w:val="00FC5593"/>
    <w:rsid w:val="00FC62D1"/>
    <w:rsid w:val="00FC7345"/>
    <w:rsid w:val="00FD20B5"/>
    <w:rsid w:val="00FD2AB9"/>
    <w:rsid w:val="00FD49C7"/>
    <w:rsid w:val="00FD7DBB"/>
    <w:rsid w:val="00FE0A9D"/>
    <w:rsid w:val="00FE2ED4"/>
    <w:rsid w:val="00FE4355"/>
    <w:rsid w:val="00FE4A84"/>
    <w:rsid w:val="00FE5ACF"/>
    <w:rsid w:val="00FE6736"/>
    <w:rsid w:val="00FE6BE9"/>
    <w:rsid w:val="00FE752C"/>
    <w:rsid w:val="00FE771E"/>
    <w:rsid w:val="00FE787B"/>
    <w:rsid w:val="00FF004F"/>
    <w:rsid w:val="00FF19E6"/>
    <w:rsid w:val="00FF3D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 w:type="paragraph" w:styleId="BodyText2">
    <w:name w:val="Body Text 2"/>
    <w:basedOn w:val="Normal"/>
    <w:link w:val="BodyText2Char"/>
    <w:rsid w:val="001D3AD8"/>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1D3AD8"/>
    <w:rPr>
      <w:rFonts w:ascii="Century Gothic" w:eastAsia="Times New Roman" w:hAnsi="Century Gothic"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809636148">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f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21\market%20cap%202008%20to%20Sept202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25184881205810183"/>
          <c:w val="0.86395859396080166"/>
          <c:h val="0.54915899356228681"/>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6"/>
              <c:layout>
                <c:manualLayout>
                  <c:x val="4.9844236760124613E-3"/>
                  <c:y val="-1.6967126193001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8D-40B5-B3EB-B4D7CCAA7132}"/>
                </c:ext>
              </c:extLst>
            </c:dLbl>
            <c:dLbl>
              <c:idx val="7"/>
              <c:layout>
                <c:manualLayout>
                  <c:x val="1.2461059190031062E-2"/>
                  <c:y val="-4.2417815482502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8D-40B5-B3EB-B4D7CCAA7132}"/>
                </c:ext>
              </c:extLst>
            </c:dLbl>
            <c:dLbl>
              <c:idx val="8"/>
              <c:layout>
                <c:manualLayout>
                  <c:x val="5.6417476890489758E-3"/>
                  <c:y val="4.24188018842921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8D-40B5-B3EB-B4D7CCAA7132}"/>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8D-40B5-B3EB-B4D7CCAA7132}"/>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Sheet1!$A$2:$A$15</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Sheet1!$B$2:$B$15</c:f>
              <c:numCache>
                <c:formatCode>General</c:formatCode>
                <c:ptCount val="14"/>
                <c:pt idx="0">
                  <c:v>15806</c:v>
                </c:pt>
                <c:pt idx="1">
                  <c:v>26602</c:v>
                </c:pt>
                <c:pt idx="2">
                  <c:v>32273</c:v>
                </c:pt>
                <c:pt idx="3">
                  <c:v>38942</c:v>
                </c:pt>
                <c:pt idx="4">
                  <c:v>47616</c:v>
                </c:pt>
                <c:pt idx="5">
                  <c:v>62632</c:v>
                </c:pt>
                <c:pt idx="6">
                  <c:v>78890</c:v>
                </c:pt>
                <c:pt idx="7">
                  <c:v>77080</c:v>
                </c:pt>
                <c:pt idx="8">
                  <c:v>73515</c:v>
                </c:pt>
                <c:pt idx="9">
                  <c:v>85027</c:v>
                </c:pt>
                <c:pt idx="10">
                  <c:v>77786</c:v>
                </c:pt>
                <c:pt idx="11">
                  <c:v>100782</c:v>
                </c:pt>
                <c:pt idx="12">
                  <c:v>111026</c:v>
                </c:pt>
                <c:pt idx="13">
                  <c:v>136049</c:v>
                </c:pt>
              </c:numCache>
            </c:numRef>
          </c:val>
          <c:extLst>
            <c:ext xmlns:c16="http://schemas.microsoft.com/office/drawing/2014/chart" uri="{C3380CC4-5D6E-409C-BE32-E72D297353CC}">
              <c16:uniqueId val="{00000004-678D-40B5-B3EB-B4D7CCAA7132}"/>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0.22801</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925687" y="26990"/>
          <a:ext cx="2448810" cy="6397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 </a:t>
          </a:r>
        </a:p>
        <a:p xmlns:a="http://schemas.openxmlformats.org/drawingml/2006/main">
          <a:pPr algn="ctr"/>
          <a:r>
            <a:rPr lang="en-ZA" sz="1000" b="1">
              <a:latin typeface="Verdana" panose="020B0604030504040204" pitchFamily="34" charset="0"/>
              <a:ea typeface="Verdana" panose="020B0604030504040204" pitchFamily="34" charset="0"/>
              <a:cs typeface="Verdana" panose="020B0604030504040204" pitchFamily="34" charset="0"/>
            </a:rPr>
            <a:t>(at year end/period)</a:t>
          </a:r>
        </a:p>
      </cdr:txBody>
    </cdr:sp>
  </cdr:relSizeAnchor>
  <cdr:relSizeAnchor xmlns:cdr="http://schemas.openxmlformats.org/drawingml/2006/chartDrawing">
    <cdr:from>
      <cdr:x>0.01626</cdr:x>
      <cdr:y>0.17148</cdr:y>
    </cdr:from>
    <cdr:to>
      <cdr:x>0.1957</cdr:x>
      <cdr:y>0.26692</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76200" y="517775"/>
          <a:ext cx="840910" cy="28817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0.50776</cdr:x>
      <cdr:y>0.89776</cdr:y>
    </cdr:from>
    <cdr:to>
      <cdr:x>0.6872</cdr:x>
      <cdr:y>0.9826</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227976" y="2571055"/>
          <a:ext cx="787356" cy="24296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 (Dec 2021)</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7786B-E4A5-4B46-8645-F3874A04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23</cp:revision>
  <cp:lastPrinted>2022-01-11T08:22:00Z</cp:lastPrinted>
  <dcterms:created xsi:type="dcterms:W3CDTF">2022-01-10T12:30:00Z</dcterms:created>
  <dcterms:modified xsi:type="dcterms:W3CDTF">2022-01-11T11:53:00Z</dcterms:modified>
</cp:coreProperties>
</file>