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81DC" w14:textId="77777777" w:rsidR="000B1B20" w:rsidRDefault="000B1B20" w:rsidP="00AA2418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  <w:bookmarkStart w:id="0" w:name="_Hlk40078063"/>
      <w:bookmarkEnd w:id="0"/>
      <w:r w:rsidRPr="00887501">
        <w:rPr>
          <w:noProof/>
          <w:lang w:eastAsia="en-ZA"/>
        </w:rPr>
        <w:drawing>
          <wp:inline distT="0" distB="0" distL="0" distR="0" wp14:anchorId="13842759" wp14:editId="4FE638DA">
            <wp:extent cx="2209800" cy="647700"/>
            <wp:effectExtent l="0" t="0" r="0" b="0"/>
            <wp:docPr id="1" name="Picture 1" descr="Description: BANKSE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ANKSERV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B619F" w14:textId="5BA9C1E5" w:rsidR="0069223E" w:rsidRPr="00642DE5" w:rsidRDefault="00C62D65" w:rsidP="002F4E21">
      <w:pPr>
        <w:spacing w:after="0" w:line="240" w:lineRule="auto"/>
        <w:rPr>
          <w:rFonts w:cs="Calibri"/>
        </w:rPr>
      </w:pPr>
      <w:r>
        <w:rPr>
          <w:rFonts w:cs="Calibri"/>
        </w:rPr>
        <w:t>January 2022</w:t>
      </w:r>
      <w:r w:rsidR="002B5AD3">
        <w:rPr>
          <w:rFonts w:cs="Calibri"/>
        </w:rPr>
        <w:t xml:space="preserve"> </w:t>
      </w:r>
      <w:r w:rsidR="0069223E" w:rsidRPr="00642DE5">
        <w:rPr>
          <w:rFonts w:cs="Calibri"/>
        </w:rPr>
        <w:t>BETI report to accompany press release</w:t>
      </w:r>
    </w:p>
    <w:p w14:paraId="43A5893E" w14:textId="027B91F9" w:rsidR="00B77375" w:rsidRDefault="0069223E" w:rsidP="002F4E21">
      <w:pPr>
        <w:spacing w:after="0" w:line="240" w:lineRule="auto"/>
        <w:rPr>
          <w:rFonts w:cs="Calibri"/>
        </w:rPr>
      </w:pPr>
      <w:r w:rsidRPr="00642DE5">
        <w:rPr>
          <w:rFonts w:cs="Calibri"/>
        </w:rPr>
        <w:t xml:space="preserve">Date: </w:t>
      </w:r>
      <w:r w:rsidR="00C62D65">
        <w:rPr>
          <w:rFonts w:cs="Calibri"/>
        </w:rPr>
        <w:t xml:space="preserve">09 February 2022 </w:t>
      </w:r>
    </w:p>
    <w:p w14:paraId="6BDE8DFF" w14:textId="77777777" w:rsidR="00BA6720" w:rsidRDefault="00BA6720" w:rsidP="002F4E21">
      <w:pPr>
        <w:spacing w:after="0" w:line="240" w:lineRule="auto"/>
        <w:rPr>
          <w:rFonts w:cs="Calibri"/>
        </w:rPr>
      </w:pPr>
    </w:p>
    <w:p w14:paraId="6447313D" w14:textId="10330356" w:rsidR="00026E87" w:rsidRDefault="006C4D60" w:rsidP="002F4E21">
      <w:pPr>
        <w:spacing w:after="0" w:line="240" w:lineRule="auto"/>
        <w:rPr>
          <w:rFonts w:eastAsiaTheme="majorEastAsia" w:cstheme="majorBidi"/>
          <w:b/>
          <w:bCs/>
          <w:sz w:val="28"/>
          <w:szCs w:val="28"/>
        </w:rPr>
      </w:pPr>
      <w:r>
        <w:rPr>
          <w:rFonts w:eastAsiaTheme="majorEastAsia" w:cstheme="majorBidi"/>
          <w:b/>
          <w:bCs/>
          <w:sz w:val="28"/>
          <w:szCs w:val="28"/>
        </w:rPr>
        <w:t xml:space="preserve">BETI rise of 6.2% in January hides </w:t>
      </w:r>
      <w:r w:rsidR="00226D46">
        <w:rPr>
          <w:rFonts w:eastAsiaTheme="majorEastAsia" w:cstheme="majorBidi"/>
          <w:b/>
          <w:bCs/>
          <w:sz w:val="28"/>
          <w:szCs w:val="28"/>
        </w:rPr>
        <w:t>weakness in the underlying</w:t>
      </w:r>
      <w:r>
        <w:rPr>
          <w:rFonts w:eastAsiaTheme="majorEastAsia" w:cstheme="majorBidi"/>
          <w:b/>
          <w:bCs/>
          <w:sz w:val="28"/>
          <w:szCs w:val="28"/>
        </w:rPr>
        <w:t xml:space="preserve"> economy</w:t>
      </w:r>
    </w:p>
    <w:p w14:paraId="6E683541" w14:textId="77777777" w:rsidR="00912565" w:rsidRDefault="00912565" w:rsidP="0091256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E101A"/>
          <w:sz w:val="22"/>
          <w:szCs w:val="22"/>
        </w:rPr>
      </w:pPr>
      <w:bookmarkStart w:id="1" w:name="_Hlk531953638"/>
      <w:bookmarkStart w:id="2" w:name="_Hlk3190092"/>
    </w:p>
    <w:p w14:paraId="3E79FBB6" w14:textId="7CB8D697" w:rsidR="006C4D60" w:rsidRDefault="006C4D60" w:rsidP="006C4D60">
      <w:r>
        <w:t xml:space="preserve">The BankservAfrica Economic Transaction Index (BETI) increased by 6.2% </w:t>
      </w:r>
      <w:r w:rsidR="002E6A19">
        <w:t>year on year</w:t>
      </w:r>
      <w:r>
        <w:t>. However, one must remember that January 2021 was hampered by</w:t>
      </w:r>
      <w:r w:rsidR="002B44A0">
        <w:t xml:space="preserve"> </w:t>
      </w:r>
      <w:proofErr w:type="gramStart"/>
      <w:r w:rsidR="00197F36">
        <w:t>a</w:t>
      </w:r>
      <w:r w:rsidR="002B44A0">
        <w:t xml:space="preserve"> number of</w:t>
      </w:r>
      <w:proofErr w:type="gramEnd"/>
      <w:r w:rsidR="002B44A0">
        <w:t xml:space="preserve"> lockdown</w:t>
      </w:r>
      <w:r>
        <w:t xml:space="preserve"> restrictions</w:t>
      </w:r>
      <w:r w:rsidR="00AB3C14">
        <w:t>,</w:t>
      </w:r>
      <w:r>
        <w:t xml:space="preserve"> such </w:t>
      </w:r>
      <w:r w:rsidR="002B44A0">
        <w:t xml:space="preserve">as the closure of restaurants and entertainment places, </w:t>
      </w:r>
      <w:r w:rsidR="00AB3C14">
        <w:t>like</w:t>
      </w:r>
      <w:r w:rsidR="002B44A0">
        <w:t xml:space="preserve"> </w:t>
      </w:r>
      <w:bookmarkStart w:id="3" w:name="_Hlk95212660"/>
      <w:r w:rsidR="002B44A0">
        <w:t>cinemas, in the early evening under the strict curfew conditions. The sale of alcohol was prohibited at shops and bars while borders were closed</w:t>
      </w:r>
      <w:r w:rsidR="00AB3C14">
        <w:t xml:space="preserve">, </w:t>
      </w:r>
      <w:r w:rsidR="00E2143F">
        <w:t xml:space="preserve">limiting </w:t>
      </w:r>
      <w:r w:rsidR="00515EDB">
        <w:t>travel</w:t>
      </w:r>
      <w:r w:rsidR="002B44A0">
        <w:t xml:space="preserve">. </w:t>
      </w:r>
    </w:p>
    <w:bookmarkEnd w:id="3"/>
    <w:p w14:paraId="5090465D" w14:textId="5EB556C3" w:rsidR="006C4D60" w:rsidRDefault="006C4D60" w:rsidP="006C4D60">
      <w:r>
        <w:t xml:space="preserve">The </w:t>
      </w:r>
      <w:r w:rsidR="00AB3C14">
        <w:t xml:space="preserve">tougher </w:t>
      </w:r>
      <w:r w:rsidR="002B44A0">
        <w:t xml:space="preserve">lockdown level restrictions, which began in mid-December 2021, moved to higher levels at the end of December. </w:t>
      </w:r>
      <w:r w:rsidR="00E2143F">
        <w:t xml:space="preserve">The early </w:t>
      </w:r>
      <w:r>
        <w:t xml:space="preserve">curfew </w:t>
      </w:r>
      <w:proofErr w:type="gramStart"/>
      <w:r w:rsidR="001A7A0A">
        <w:t xml:space="preserve">in </w:t>
      </w:r>
      <w:r>
        <w:t xml:space="preserve"> January</w:t>
      </w:r>
      <w:proofErr w:type="gramEnd"/>
      <w:r>
        <w:t xml:space="preserve"> and</w:t>
      </w:r>
      <w:r w:rsidR="002B44A0">
        <w:t xml:space="preserve"> the closure of beaches in holiday areas </w:t>
      </w:r>
      <w:r>
        <w:t xml:space="preserve">impeded travel and tourism even in the local market. </w:t>
      </w:r>
      <w:bookmarkStart w:id="4" w:name="_Hlk95212705"/>
      <w:r>
        <w:t>Furthermore</w:t>
      </w:r>
      <w:r w:rsidR="002B44A0">
        <w:t>, the load</w:t>
      </w:r>
      <w:r w:rsidR="000F5E0D">
        <w:t xml:space="preserve"> s</w:t>
      </w:r>
      <w:r w:rsidR="002B44A0">
        <w:t>hedding in December 2020 and January 2021 impacted the base</w:t>
      </w:r>
      <w:r w:rsidR="000D1740">
        <w:t>,</w:t>
      </w:r>
      <w:r w:rsidR="002B44A0">
        <w:t xml:space="preserve"> </w:t>
      </w:r>
      <w:r w:rsidR="000F5E0D">
        <w:t xml:space="preserve">on which the January 2022 BETI </w:t>
      </w:r>
      <w:proofErr w:type="gramStart"/>
      <w:r w:rsidR="000F5E0D">
        <w:t>is measured</w:t>
      </w:r>
      <w:proofErr w:type="gramEnd"/>
      <w:r w:rsidR="000F5E0D">
        <w:t xml:space="preserve">. </w:t>
      </w:r>
      <w:r w:rsidR="002B44A0">
        <w:t xml:space="preserve"> </w:t>
      </w:r>
    </w:p>
    <w:bookmarkEnd w:id="4"/>
    <w:p w14:paraId="49E82FAE" w14:textId="311C2C23" w:rsidR="006C4D60" w:rsidRDefault="002B44A0" w:rsidP="006C4D60">
      <w:r>
        <w:t>Therefore, the 6.</w:t>
      </w:r>
      <w:r w:rsidR="006C4D60">
        <w:t xml:space="preserve">2% </w:t>
      </w:r>
      <w:r>
        <w:t xml:space="preserve">growth </w:t>
      </w:r>
      <w:r w:rsidR="006C4D60">
        <w:t xml:space="preserve">must be </w:t>
      </w:r>
      <w:r w:rsidR="00197F36">
        <w:t xml:space="preserve">considered against the BETI levels in </w:t>
      </w:r>
      <w:r w:rsidR="006C4D60">
        <w:t>January 2021</w:t>
      </w:r>
      <w:r w:rsidR="00B32015">
        <w:t xml:space="preserve">, which held </w:t>
      </w:r>
      <w:r w:rsidR="0023643F">
        <w:t>the weakest growth level of 1.2% between October 2020 – January 2022.</w:t>
      </w:r>
    </w:p>
    <w:p w14:paraId="02F3F0DF" w14:textId="4A35D1B4" w:rsidR="00F36508" w:rsidRDefault="00F36508" w:rsidP="006C4D60">
      <w:bookmarkStart w:id="5" w:name="_Hlk95212888"/>
      <w:r w:rsidRPr="00F36508">
        <w:t>The BETI headline number recorded a high increase - but recent changes suggest lower growth. The December 2021 and January 2022 change recorded a slight decline of 0.2%, while the quarter-on-quarter change shows a flattish increase of 0.1%. Furthermore, the BETI Index of 126 points was the lowest in three months.</w:t>
      </w:r>
    </w:p>
    <w:p w14:paraId="45718117" w14:textId="0D705792" w:rsidR="006C4D60" w:rsidRDefault="00383E1D" w:rsidP="006C4D60">
      <w:bookmarkStart w:id="6" w:name="_Hlk95213017"/>
      <w:bookmarkEnd w:id="5"/>
      <w:r>
        <w:t>Unlike</w:t>
      </w:r>
      <w:r w:rsidR="006C4D60">
        <w:t xml:space="preserve"> local tourism and car sales</w:t>
      </w:r>
      <w:r>
        <w:t xml:space="preserve">, which both reported strong increases, the lack of long-distance foreign tourism held </w:t>
      </w:r>
      <w:r w:rsidR="006C4D60">
        <w:t>the BETI back a little in January 2022.</w:t>
      </w:r>
    </w:p>
    <w:p w14:paraId="2E721C4F" w14:textId="6146598E" w:rsidR="006C4D60" w:rsidRDefault="00E75888" w:rsidP="006C4D60">
      <w:r w:rsidRPr="00E75888">
        <w:t xml:space="preserve">Moreover, some electricity interruption – both on a local and national level – has somewhat slowed the economy. </w:t>
      </w:r>
      <w:r w:rsidR="006C4D60">
        <w:t xml:space="preserve">South Africa is not getting the full benefit of high commodity prices as infrastructure theft has meant that coal and iron ore are not exporting </w:t>
      </w:r>
      <w:r w:rsidR="004908C1">
        <w:t xml:space="preserve">to their potential value. </w:t>
      </w:r>
    </w:p>
    <w:p w14:paraId="6AB4CB14" w14:textId="6D594C05" w:rsidR="006C4D60" w:rsidRDefault="00E75888" w:rsidP="006C4D60">
      <w:bookmarkStart w:id="7" w:name="_Hlk95213133"/>
      <w:bookmarkEnd w:id="6"/>
      <w:r w:rsidRPr="00E75888">
        <w:t xml:space="preserve">However, as South Africa is now in lockdown level 1, we expect to see more progress in the economy’s growth. </w:t>
      </w:r>
      <w:r w:rsidR="006C4D60">
        <w:t xml:space="preserve">If January 2022 turns out to be the weakest level for the BETI </w:t>
      </w:r>
      <w:r w:rsidR="004908C1">
        <w:t xml:space="preserve">in 2022 – </w:t>
      </w:r>
      <w:proofErr w:type="gramStart"/>
      <w:r w:rsidR="004908C1">
        <w:t xml:space="preserve">as </w:t>
      </w:r>
      <w:r w:rsidR="006C4D60">
        <w:t xml:space="preserve"> January</w:t>
      </w:r>
      <w:proofErr w:type="gramEnd"/>
      <w:r w:rsidR="006C4D60">
        <w:t xml:space="preserve"> 2021</w:t>
      </w:r>
      <w:r w:rsidR="004908C1">
        <w:t xml:space="preserve"> was – we can expect </w:t>
      </w:r>
      <w:r w:rsidR="00383E1D">
        <w:t xml:space="preserve">good </w:t>
      </w:r>
      <w:r w:rsidR="004908C1">
        <w:t xml:space="preserve">growth this year. </w:t>
      </w:r>
      <w:r w:rsidR="006C4D60">
        <w:t xml:space="preserve"> </w:t>
      </w:r>
    </w:p>
    <w:p w14:paraId="2F345A7D" w14:textId="00E62C07" w:rsidR="004908C1" w:rsidRPr="004908C1" w:rsidRDefault="004908C1" w:rsidP="006C4D60">
      <w:pPr>
        <w:rPr>
          <w:b/>
          <w:bCs/>
        </w:rPr>
      </w:pPr>
      <w:r w:rsidRPr="004908C1">
        <w:rPr>
          <w:b/>
          <w:bCs/>
        </w:rPr>
        <w:t xml:space="preserve">Low forecast for Q1 2022 growth </w:t>
      </w:r>
    </w:p>
    <w:p w14:paraId="038736B4" w14:textId="37C832EF" w:rsidR="006C4D60" w:rsidRDefault="004908C1" w:rsidP="006C4D60">
      <w:r>
        <w:t xml:space="preserve">Observing the </w:t>
      </w:r>
      <w:r w:rsidR="006C4D60">
        <w:t xml:space="preserve">close correlation between the BETI and </w:t>
      </w:r>
      <w:r>
        <w:t>South Africa’s econom</w:t>
      </w:r>
      <w:r w:rsidR="000D3600">
        <w:t>ic</w:t>
      </w:r>
      <w:r>
        <w:t xml:space="preserve"> </w:t>
      </w:r>
      <w:r w:rsidR="006C4D60">
        <w:t>GDP</w:t>
      </w:r>
      <w:r>
        <w:t xml:space="preserve">, one </w:t>
      </w:r>
      <w:r w:rsidR="006C4D60">
        <w:t xml:space="preserve">expects </w:t>
      </w:r>
      <w:r>
        <w:t xml:space="preserve">Q1 2022 growth to be somewhat lower than one would hope. </w:t>
      </w:r>
      <w:r w:rsidR="006C4D60">
        <w:t xml:space="preserve">As </w:t>
      </w:r>
      <w:r>
        <w:t>w</w:t>
      </w:r>
      <w:r w:rsidR="006C4D60">
        <w:t>e did not report on the BETI in December</w:t>
      </w:r>
      <w:r>
        <w:t xml:space="preserve"> 2021, </w:t>
      </w:r>
      <w:r w:rsidR="006C4D60">
        <w:t xml:space="preserve">we would like to point out that </w:t>
      </w:r>
      <w:r>
        <w:t>Q4 2021 GDP</w:t>
      </w:r>
      <w:r w:rsidR="006C4D60">
        <w:t xml:space="preserve"> growth should be positive but far lower than the first two quarters of 2021. </w:t>
      </w:r>
    </w:p>
    <w:p w14:paraId="633E4E3A" w14:textId="77777777" w:rsidR="005D6598" w:rsidRDefault="005D6598" w:rsidP="006C4D60">
      <w:r w:rsidRPr="005D6598">
        <w:t>The low growth recorded in the Q4 2021 GDP has resulted in a slower start for 2022 than 2021 had. Growth of about 2% for 2022 is more likely than 3% or more.</w:t>
      </w:r>
    </w:p>
    <w:p w14:paraId="4093DC63" w14:textId="557E242A" w:rsidR="006C4D60" w:rsidRDefault="004908C1" w:rsidP="006C4D60">
      <w:r>
        <w:t>All in all, although the</w:t>
      </w:r>
      <w:r w:rsidR="006C4D60">
        <w:t xml:space="preserve"> 6</w:t>
      </w:r>
      <w:r>
        <w:t>.</w:t>
      </w:r>
      <w:r w:rsidR="006C4D60">
        <w:t xml:space="preserve">2% </w:t>
      </w:r>
      <w:r>
        <w:t>year-on-year BETI growth</w:t>
      </w:r>
      <w:r w:rsidR="006C4D60">
        <w:t xml:space="preserve"> </w:t>
      </w:r>
      <w:r>
        <w:t>appears strong, the</w:t>
      </w:r>
      <w:r w:rsidR="006C4D60">
        <w:t xml:space="preserve"> BETI is </w:t>
      </w:r>
      <w:r>
        <w:t>off to a</w:t>
      </w:r>
      <w:r w:rsidR="006C4D60">
        <w:t xml:space="preserve"> subdued start to 2022. </w:t>
      </w:r>
      <w:r>
        <w:t xml:space="preserve">The </w:t>
      </w:r>
      <w:r w:rsidR="006C4D60">
        <w:t xml:space="preserve">lack of foreign </w:t>
      </w:r>
      <w:r>
        <w:t>tourism</w:t>
      </w:r>
      <w:r w:rsidR="006C4D60">
        <w:t xml:space="preserve"> and infrastructure problems </w:t>
      </w:r>
      <w:r>
        <w:t>have had a dire impact on</w:t>
      </w:r>
      <w:r w:rsidR="006C4D60">
        <w:t xml:space="preserve"> economic activity</w:t>
      </w:r>
      <w:r>
        <w:t xml:space="preserve">. </w:t>
      </w:r>
    </w:p>
    <w:bookmarkEnd w:id="7"/>
    <w:p w14:paraId="037A93B7" w14:textId="77777777" w:rsidR="006C4D60" w:rsidRDefault="006C4D60" w:rsidP="006C4D60"/>
    <w:p w14:paraId="10818D7A" w14:textId="025B69A9" w:rsidR="006C4D60" w:rsidRPr="006C4D60" w:rsidRDefault="006C4D60" w:rsidP="006C4D60">
      <w:pPr>
        <w:pStyle w:val="Heading3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C4D6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The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</w:t>
      </w:r>
      <w:r w:rsidRPr="006C4D6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umber of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</w:t>
      </w:r>
      <w:r w:rsidRPr="006C4D6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ransaction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</w:t>
      </w:r>
      <w:r w:rsidRPr="006C4D6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908C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in the</w:t>
      </w:r>
      <w:r w:rsidRPr="006C4D6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BETI</w:t>
      </w:r>
    </w:p>
    <w:p w14:paraId="3ED6EFB0" w14:textId="617420D1" w:rsidR="000122CF" w:rsidRDefault="000122CF" w:rsidP="000122CF">
      <w:bookmarkStart w:id="8" w:name="_Hlk95213548"/>
      <w:r>
        <w:t xml:space="preserve">It is </w:t>
      </w:r>
      <w:r w:rsidR="002E6A19">
        <w:t>not unusual for the</w:t>
      </w:r>
      <w:r w:rsidR="004908C1">
        <w:t xml:space="preserve"> number of transactions</w:t>
      </w:r>
      <w:r>
        <w:t xml:space="preserve"> in January</w:t>
      </w:r>
      <w:r w:rsidR="004908C1">
        <w:t xml:space="preserve"> to fall below the December figure</w:t>
      </w:r>
      <w:r w:rsidR="002E6A19">
        <w:t xml:space="preserve"> due to the seasonality of transactions</w:t>
      </w:r>
      <w:r w:rsidR="004908C1">
        <w:t xml:space="preserve">. </w:t>
      </w:r>
      <w:r>
        <w:t xml:space="preserve">However, the total amount of </w:t>
      </w:r>
      <w:r w:rsidRPr="000122CF">
        <w:t>114 988</w:t>
      </w:r>
      <w:r>
        <w:t> </w:t>
      </w:r>
      <w:r w:rsidRPr="000122CF">
        <w:t>683</w:t>
      </w:r>
      <w:r>
        <w:t xml:space="preserve"> transactions recorded in January 2022 is the lowest in nine months. </w:t>
      </w:r>
    </w:p>
    <w:p w14:paraId="5FE360B9" w14:textId="5E4718E2" w:rsidR="006C4D60" w:rsidRDefault="006C4D60" w:rsidP="006C4D60">
      <w:r>
        <w:t>The standardised nominal value of transactions was R960</w:t>
      </w:r>
      <w:r w:rsidR="000122CF">
        <w:t>.</w:t>
      </w:r>
      <w:r>
        <w:t>8 billion</w:t>
      </w:r>
      <w:r w:rsidR="000122CF">
        <w:t>,</w:t>
      </w:r>
      <w:r>
        <w:t xml:space="preserve"> which was 15</w:t>
      </w:r>
      <w:r w:rsidR="000122CF">
        <w:t>.</w:t>
      </w:r>
      <w:r>
        <w:t xml:space="preserve">7% higher </w:t>
      </w:r>
      <w:r w:rsidR="000122CF">
        <w:t>than January 2021</w:t>
      </w:r>
      <w:r>
        <w:t xml:space="preserve">. One must realise that </w:t>
      </w:r>
      <w:r w:rsidR="000122CF">
        <w:t>i</w:t>
      </w:r>
      <w:r>
        <w:t>nflation</w:t>
      </w:r>
      <w:r w:rsidR="000122CF">
        <w:t>,</w:t>
      </w:r>
      <w:r>
        <w:t xml:space="preserve"> as measure</w:t>
      </w:r>
      <w:r w:rsidR="000122CF">
        <w:t>d</w:t>
      </w:r>
      <w:r>
        <w:t xml:space="preserve"> by the CPI </w:t>
      </w:r>
      <w:r w:rsidR="000122CF">
        <w:t>(</w:t>
      </w:r>
      <w:r>
        <w:t>excluding Homeowner equivalent rent and PPI</w:t>
      </w:r>
      <w:r w:rsidR="000122CF">
        <w:t>)</w:t>
      </w:r>
      <w:r>
        <w:t xml:space="preserve"> </w:t>
      </w:r>
      <w:r w:rsidR="000122CF">
        <w:t xml:space="preserve">is now far higher than it was in </w:t>
      </w:r>
      <w:r w:rsidR="00515EDB">
        <w:t>nearly five years</w:t>
      </w:r>
      <w:r w:rsidR="000122CF">
        <w:t xml:space="preserve">. </w:t>
      </w:r>
      <w:bookmarkEnd w:id="8"/>
      <w:r>
        <w:t xml:space="preserve">The deflator </w:t>
      </w:r>
      <w:proofErr w:type="gramStart"/>
      <w:r>
        <w:t xml:space="preserve">is </w:t>
      </w:r>
      <w:r w:rsidR="000122CF">
        <w:t>estimated</w:t>
      </w:r>
      <w:proofErr w:type="gramEnd"/>
      <w:r w:rsidR="000122CF">
        <w:t xml:space="preserve"> to be</w:t>
      </w:r>
      <w:r>
        <w:t xml:space="preserve"> 8% </w:t>
      </w:r>
      <w:r w:rsidR="000122CF">
        <w:t>higher on a year-on-year basis for</w:t>
      </w:r>
      <w:r>
        <w:t xml:space="preserve"> January 2022.</w:t>
      </w:r>
    </w:p>
    <w:p w14:paraId="6E2DAF95" w14:textId="2ECF7980" w:rsidR="00AB7B06" w:rsidRDefault="00AB7B06" w:rsidP="00AB7B06">
      <w:pPr>
        <w:spacing w:after="0" w:line="240" w:lineRule="auto"/>
        <w:rPr>
          <w:b/>
          <w:bCs/>
        </w:rPr>
      </w:pPr>
      <w:r w:rsidRPr="00AB7B06">
        <w:rPr>
          <w:b/>
          <w:bCs/>
        </w:rPr>
        <w:t xml:space="preserve">Graph 1: Quarter-on-quarter percentage change in the BETI and SARB Co-Incident Index </w:t>
      </w:r>
    </w:p>
    <w:p w14:paraId="7F1CE7F6" w14:textId="7803581C" w:rsidR="00E2143F" w:rsidRDefault="00E2143F" w:rsidP="00AB7B06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582248" wp14:editId="354271D8">
            <wp:extent cx="5208434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3" b="5300"/>
                    <a:stretch/>
                  </pic:blipFill>
                  <pic:spPr bwMode="auto">
                    <a:xfrm>
                      <a:off x="0" y="0"/>
                      <a:ext cx="5213316" cy="32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30FAE" w14:textId="24774E3C" w:rsidR="00AB7B06" w:rsidRDefault="00AB7B06" w:rsidP="00AB7B06">
      <w:pPr>
        <w:spacing w:after="0" w:line="240" w:lineRule="auto"/>
        <w:rPr>
          <w:i/>
          <w:iCs/>
        </w:rPr>
      </w:pPr>
      <w:r w:rsidRPr="00AB7B06">
        <w:rPr>
          <w:i/>
          <w:iCs/>
        </w:rPr>
        <w:t xml:space="preserve">Source: Economists.co.za and BankservAfrica </w:t>
      </w:r>
    </w:p>
    <w:p w14:paraId="10011297" w14:textId="1432E694" w:rsidR="00AB7B06" w:rsidRDefault="00AB7B06" w:rsidP="00AB7B06">
      <w:pPr>
        <w:spacing w:after="0" w:line="240" w:lineRule="auto"/>
        <w:rPr>
          <w:i/>
          <w:iCs/>
        </w:rPr>
      </w:pPr>
    </w:p>
    <w:p w14:paraId="14647308" w14:textId="460E629E" w:rsidR="00866E0D" w:rsidRPr="00866E0D" w:rsidRDefault="00AB7B06" w:rsidP="00AB7B06">
      <w:pPr>
        <w:spacing w:after="0" w:line="240" w:lineRule="auto"/>
        <w:rPr>
          <w:b/>
          <w:bCs/>
        </w:rPr>
      </w:pPr>
      <w:r w:rsidRPr="00AB7B06">
        <w:rPr>
          <w:b/>
          <w:bCs/>
        </w:rPr>
        <w:t xml:space="preserve">Graph 2: </w:t>
      </w:r>
      <w:r w:rsidR="00866E0D">
        <w:rPr>
          <w:b/>
          <w:bCs/>
        </w:rPr>
        <w:t xml:space="preserve">BETI: Flattening out after a recovery? </w:t>
      </w:r>
    </w:p>
    <w:p w14:paraId="5FC3C9FB" w14:textId="559D737D" w:rsidR="00E2143F" w:rsidRPr="00AB7B06" w:rsidRDefault="00E2143F" w:rsidP="00AB7B06">
      <w:pPr>
        <w:spacing w:after="0" w:line="240" w:lineRule="auto"/>
        <w:rPr>
          <w:b/>
          <w:bCs/>
        </w:rPr>
      </w:pPr>
      <w:r>
        <w:rPr>
          <w:noProof/>
          <w:sz w:val="28"/>
          <w:szCs w:val="28"/>
        </w:rPr>
        <w:drawing>
          <wp:inline distT="0" distB="0" distL="0" distR="0" wp14:anchorId="30F7A2E6" wp14:editId="6B6CBFFE">
            <wp:extent cx="5124450" cy="293787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5" b="6555"/>
                    <a:stretch/>
                  </pic:blipFill>
                  <pic:spPr bwMode="auto">
                    <a:xfrm>
                      <a:off x="0" y="0"/>
                      <a:ext cx="5130427" cy="29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09442" w14:textId="011EF695" w:rsidR="00AB7B06" w:rsidRDefault="00AB7B06" w:rsidP="00AB7B06">
      <w:pPr>
        <w:spacing w:after="0" w:line="240" w:lineRule="auto"/>
        <w:rPr>
          <w:i/>
          <w:iCs/>
        </w:rPr>
      </w:pPr>
      <w:r w:rsidRPr="00AB7B06">
        <w:rPr>
          <w:i/>
          <w:iCs/>
        </w:rPr>
        <w:t xml:space="preserve">Source: Economists.co.za and BankservAfrica </w:t>
      </w:r>
    </w:p>
    <w:p w14:paraId="1BE67378" w14:textId="72E8850E" w:rsidR="00AB7B06" w:rsidRDefault="00AB7B06" w:rsidP="00AB7B06">
      <w:pPr>
        <w:spacing w:after="0" w:line="240" w:lineRule="auto"/>
        <w:rPr>
          <w:i/>
          <w:iCs/>
        </w:rPr>
      </w:pPr>
    </w:p>
    <w:p w14:paraId="28B75F4C" w14:textId="77777777" w:rsidR="00AB7B06" w:rsidRPr="00AB7B06" w:rsidRDefault="00AB7B06" w:rsidP="00AB7B06">
      <w:pPr>
        <w:spacing w:after="0" w:line="240" w:lineRule="auto"/>
        <w:rPr>
          <w:i/>
          <w:iCs/>
        </w:rPr>
      </w:pPr>
    </w:p>
    <w:p w14:paraId="2243447D" w14:textId="748854DF" w:rsidR="006046F8" w:rsidRDefault="00B5479F" w:rsidP="00B5479F">
      <w:pPr>
        <w:pStyle w:val="Heading3"/>
        <w:spacing w:before="0" w:line="240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D3348B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lastRenderedPageBreak/>
        <w:t>Table 1: The BankservAfrica Economic Transaction Index</w:t>
      </w: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899"/>
        <w:gridCol w:w="2262"/>
        <w:gridCol w:w="2123"/>
        <w:gridCol w:w="2067"/>
      </w:tblGrid>
      <w:tr w:rsidR="00F16372" w:rsidRPr="006204CA" w14:paraId="6E41DB8D" w14:textId="77777777" w:rsidTr="00F16372">
        <w:trPr>
          <w:trHeight w:val="1102"/>
        </w:trPr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F62864B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1899" w:type="dxa"/>
            <w:shd w:val="clear" w:color="auto" w:fill="BFD730" w:themeFill="accent3"/>
            <w:vAlign w:val="bottom"/>
            <w:hideMark/>
          </w:tcPr>
          <w:p w14:paraId="5EDB29EE" w14:textId="5D294FD5" w:rsidR="000122CF" w:rsidRDefault="000122CF" w:rsidP="00F163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The BETI Index</w:t>
            </w:r>
          </w:p>
          <w:p w14:paraId="14E87898" w14:textId="35672D5F" w:rsidR="00F16372" w:rsidRDefault="00F16372" w:rsidP="00F163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52445A4C" w14:textId="77777777" w:rsidR="00F16372" w:rsidRDefault="00F16372" w:rsidP="00F163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0E047C82" w14:textId="77777777" w:rsidR="00F16372" w:rsidRDefault="00F16372" w:rsidP="00F163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61C6D2DF" w14:textId="18E46BB3" w:rsidR="00F16372" w:rsidRPr="00F16372" w:rsidRDefault="00F16372" w:rsidP="00F163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262" w:type="dxa"/>
            <w:shd w:val="clear" w:color="auto" w:fill="F58220" w:themeFill="accent1"/>
            <w:vAlign w:val="bottom"/>
            <w:hideMark/>
          </w:tcPr>
          <w:p w14:paraId="14B4067D" w14:textId="63918A96" w:rsidR="000122CF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 xml:space="preserve">The </w:t>
            </w:r>
            <w:r w:rsidR="00F16372">
              <w:rPr>
                <w:rFonts w:eastAsia="Times New Roman" w:cstheme="minorHAnsi"/>
                <w:b/>
                <w:bCs/>
                <w:lang w:eastAsia="en-ZA"/>
              </w:rPr>
              <w:t>h</w:t>
            </w:r>
            <w:r w:rsidRPr="00F16372">
              <w:rPr>
                <w:rFonts w:eastAsia="Times New Roman" w:cstheme="minorHAnsi"/>
                <w:b/>
                <w:bCs/>
                <w:lang w:eastAsia="en-ZA"/>
              </w:rPr>
              <w:t xml:space="preserve">eadline BETI </w:t>
            </w:r>
            <w:r w:rsidR="00F16372">
              <w:rPr>
                <w:rFonts w:eastAsia="Times New Roman" w:cstheme="minorHAnsi"/>
                <w:b/>
                <w:bCs/>
                <w:lang w:eastAsia="en-ZA"/>
              </w:rPr>
              <w:t>% change</w:t>
            </w:r>
          </w:p>
          <w:p w14:paraId="475A7ED6" w14:textId="77777777" w:rsidR="00F16372" w:rsidRDefault="00F16372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46F61CA2" w14:textId="77777777" w:rsidR="00F16372" w:rsidRDefault="00F16372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239496DF" w14:textId="5969B29D" w:rsidR="00F16372" w:rsidRPr="00F16372" w:rsidRDefault="00F16372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123" w:type="dxa"/>
            <w:shd w:val="clear" w:color="auto" w:fill="BFD730" w:themeFill="accent3"/>
            <w:vAlign w:val="bottom"/>
            <w:hideMark/>
          </w:tcPr>
          <w:p w14:paraId="4D8575EB" w14:textId="63DCA54D" w:rsidR="000122CF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 xml:space="preserve">BETI </w:t>
            </w:r>
            <w:r w:rsidR="00F16372">
              <w:rPr>
                <w:rFonts w:eastAsia="Times New Roman" w:cstheme="minorHAnsi"/>
                <w:b/>
                <w:bCs/>
                <w:lang w:eastAsia="en-ZA"/>
              </w:rPr>
              <w:t xml:space="preserve">quarterly % change </w:t>
            </w:r>
          </w:p>
          <w:p w14:paraId="22BE79E7" w14:textId="77777777" w:rsidR="00F16372" w:rsidRDefault="00F16372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4F51C6BE" w14:textId="77777777" w:rsidR="00F16372" w:rsidRDefault="00F16372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166CA508" w14:textId="1409997B" w:rsidR="00F16372" w:rsidRPr="00F16372" w:rsidRDefault="00F16372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067" w:type="dxa"/>
            <w:shd w:val="clear" w:color="auto" w:fill="BFD730" w:themeFill="accent3"/>
            <w:vAlign w:val="bottom"/>
            <w:hideMark/>
          </w:tcPr>
          <w:p w14:paraId="022DA6A7" w14:textId="00576139" w:rsidR="000122CF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 xml:space="preserve">BETI </w:t>
            </w:r>
            <w:r w:rsidR="00F16372">
              <w:rPr>
                <w:rFonts w:eastAsia="Times New Roman" w:cstheme="minorHAnsi"/>
                <w:b/>
                <w:bCs/>
                <w:lang w:eastAsia="en-ZA"/>
              </w:rPr>
              <w:t>monthly % change</w:t>
            </w:r>
          </w:p>
          <w:p w14:paraId="33397411" w14:textId="77777777" w:rsidR="00F16372" w:rsidRDefault="00F16372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5258812E" w14:textId="77777777" w:rsidR="00F16372" w:rsidRDefault="00F16372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6103EA56" w14:textId="2C5EF7E3" w:rsidR="00F16372" w:rsidRPr="00F16372" w:rsidRDefault="00F16372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</w:tr>
      <w:tr w:rsidR="00F16372" w:rsidRPr="006204CA" w14:paraId="20C3FAEF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6F90A928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01-Jan-20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1BB643F7" w14:textId="64512FC4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121,0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3A5A2BE1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3,5%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305225B7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1,2%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5A7DA230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0,7%</w:t>
            </w:r>
          </w:p>
        </w:tc>
      </w:tr>
      <w:tr w:rsidR="00F16372" w:rsidRPr="006204CA" w14:paraId="2D8E08D2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197E6118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01-Feb-20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205F8706" w14:textId="03D30215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120,7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0BCBB897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2,1%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2175304E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2,1%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27CAE3B3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-0,2%</w:t>
            </w:r>
          </w:p>
        </w:tc>
      </w:tr>
      <w:tr w:rsidR="00F16372" w:rsidRPr="006204CA" w14:paraId="15EBF12B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3CF51C02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01-Mar-20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224049A7" w14:textId="135CEB65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117,1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175645BD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-0,3%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63BE34BB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0,6%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12F9D84E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-3,0%</w:t>
            </w:r>
          </w:p>
        </w:tc>
      </w:tr>
      <w:tr w:rsidR="00F16372" w:rsidRPr="006204CA" w14:paraId="6F10E3DF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178FC761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01-Apr-20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01E09608" w14:textId="3941FA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100,8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1FE85074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-15,4%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2E6337AE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-5,9%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2F5BC7E8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-13,9%</w:t>
            </w:r>
          </w:p>
        </w:tc>
      </w:tr>
      <w:tr w:rsidR="00F16372" w:rsidRPr="006204CA" w14:paraId="6E9DC1A9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7602E4FC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01-May-20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681784DD" w14:textId="32916C98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97,1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69511316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-19,2%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6656160C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-13,0%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0F98A926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-3,7%</w:t>
            </w:r>
          </w:p>
        </w:tc>
      </w:tr>
      <w:tr w:rsidR="00F16372" w:rsidRPr="006204CA" w14:paraId="3DD9A2AA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351B6CB4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01-Jun-20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7825F60D" w14:textId="629A3F1B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100,9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635D478F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-16,3%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0C8F1617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-16,7%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684F1B5D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3,9%</w:t>
            </w:r>
          </w:p>
        </w:tc>
      </w:tr>
      <w:tr w:rsidR="00F16372" w:rsidRPr="006204CA" w14:paraId="3A118492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61423277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01-Jul-20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4396EFD9" w14:textId="42FBAAE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108,3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107C31E6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-10,9%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079304C6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-9,6%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2E2AC698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7,3%</w:t>
            </w:r>
          </w:p>
        </w:tc>
      </w:tr>
      <w:tr w:rsidR="00F16372" w:rsidRPr="006204CA" w14:paraId="133AFAF6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4D17963A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01-Aug-20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1CEB09F6" w14:textId="4085E0A6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114,3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7FE9E281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-4,8%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4AA35B49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2,7%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77F1D310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5,5%</w:t>
            </w:r>
          </w:p>
        </w:tc>
      </w:tr>
      <w:tr w:rsidR="00F16372" w:rsidRPr="006204CA" w14:paraId="2E3B3C68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58BA6371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01-Sep-20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0185C91C" w14:textId="3221C0A1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117,9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0480EF99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0,1%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61746B71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13,9%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4A4AAF7D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3,2%</w:t>
            </w:r>
          </w:p>
        </w:tc>
      </w:tr>
      <w:tr w:rsidR="00F16372" w:rsidRPr="006204CA" w14:paraId="6CA249EF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31892E22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01-Oct-20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76BBABB6" w14:textId="7BAA7CC5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120,1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18B74B66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2,0%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4AD43948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15,0%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4AA665F5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1,9%</w:t>
            </w:r>
          </w:p>
        </w:tc>
      </w:tr>
      <w:tr w:rsidR="00F16372" w:rsidRPr="006204CA" w14:paraId="6C65CCC2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28FB3F2D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01-Nov-20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49B363CF" w14:textId="448B3B43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120,0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0208DA77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1,0%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28B1A7AD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10,7%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427A6447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-0,1%</w:t>
            </w:r>
          </w:p>
        </w:tc>
      </w:tr>
      <w:tr w:rsidR="00F16372" w:rsidRPr="006204CA" w14:paraId="439E2E65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186D2DEF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01-Dec-20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2F87DC41" w14:textId="771A548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122,2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0A196675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1,7%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0B7C5CDD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6,4%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3D035344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1,8%</w:t>
            </w:r>
          </w:p>
        </w:tc>
      </w:tr>
      <w:tr w:rsidR="00F16372" w:rsidRPr="006204CA" w14:paraId="1E564856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2666B89A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01-Jan-21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4DC4B29A" w14:textId="05D9B75B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119,5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0E04A2CD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-1,2%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62E658AE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2,7%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39E4EC9E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-2,2%</w:t>
            </w:r>
          </w:p>
        </w:tc>
      </w:tr>
      <w:tr w:rsidR="00F16372" w:rsidRPr="006204CA" w14:paraId="66AACDAB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6F21C409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01-Feb-21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7D6A8154" w14:textId="3BF7CA1F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122,7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79F081A7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1,7%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1AAAD38A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1,8%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26820FF4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2,7%</w:t>
            </w:r>
          </w:p>
        </w:tc>
      </w:tr>
      <w:tr w:rsidR="00F16372" w:rsidRPr="006204CA" w14:paraId="294338AB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41A104A5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01-Mar-21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593BFA84" w14:textId="41DEF7AF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124,0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6D068C37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5,9%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2F3E1A42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1,1%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7C822E9D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1,0%</w:t>
            </w:r>
          </w:p>
        </w:tc>
      </w:tr>
      <w:tr w:rsidR="00F16372" w:rsidRPr="006204CA" w14:paraId="6CF7B97B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12E1C6E0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01-Apr-21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7A972F2D" w14:textId="5FD6C958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127,4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14F9CD35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26,4%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4E422778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3,4%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5AF10FCB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2,8%</w:t>
            </w:r>
          </w:p>
        </w:tc>
      </w:tr>
      <w:tr w:rsidR="00F16372" w:rsidRPr="006204CA" w14:paraId="5972EFB0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7693A29C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01-May-21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18D22F7D" w14:textId="1F0A92CE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127,6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527488C7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31,4%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5BB0273D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4,0%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0FDE2D0C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0,1%</w:t>
            </w:r>
          </w:p>
        </w:tc>
      </w:tr>
      <w:tr w:rsidR="00F16372" w:rsidRPr="006204CA" w14:paraId="0B1F0442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296213F9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01-Jun-21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32A4F38D" w14:textId="1107E8B0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127,1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7D20359F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26,0%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57B606F4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4,3%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7D359195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-0,4%</w:t>
            </w:r>
          </w:p>
        </w:tc>
      </w:tr>
      <w:tr w:rsidR="00F16372" w:rsidRPr="006204CA" w14:paraId="310E0562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3FF306A8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01-Jul-21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69533B16" w14:textId="1504E782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124,5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390EB5F3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15,0%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046707E5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1,4%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7FA67CC8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-2,0%</w:t>
            </w:r>
          </w:p>
        </w:tc>
      </w:tr>
      <w:tr w:rsidR="00F16372" w:rsidRPr="006204CA" w14:paraId="5D3F050E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01F15CD8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01-Aug-21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23836E96" w14:textId="3510E010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129,6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0436391B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13,5%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2F39654D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0,6%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47F0000E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4,1%</w:t>
            </w:r>
          </w:p>
        </w:tc>
      </w:tr>
      <w:tr w:rsidR="00F16372" w:rsidRPr="006204CA" w14:paraId="5717F6C5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55B1E079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01-Sep-21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23FD5B80" w14:textId="729E1BDB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125,7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49ABF34C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6,6%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64A1947B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-0,6%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25CA25C6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-3,1%</w:t>
            </w:r>
          </w:p>
        </w:tc>
      </w:tr>
      <w:tr w:rsidR="00F16372" w:rsidRPr="006204CA" w14:paraId="5603317C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4D62B53D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01-Oct-21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5ECFBE8C" w14:textId="218E9121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125,7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62CDF572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4,7%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124E0888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0,5%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56AA1562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0,0%</w:t>
            </w:r>
          </w:p>
        </w:tc>
      </w:tr>
      <w:tr w:rsidR="00F16372" w:rsidRPr="006204CA" w14:paraId="6EF46BAB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538E3691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01-Nov-21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11D02E52" w14:textId="590DC4E0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127,4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7A8DCADD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6,2%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2CAC80A4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-0,7%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70CFCCE5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1,3%</w:t>
            </w:r>
          </w:p>
        </w:tc>
      </w:tr>
      <w:tr w:rsidR="00F16372" w:rsidRPr="006204CA" w14:paraId="63D05AEC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31D37057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01-Dec-21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17897EC4" w14:textId="3056D2A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127,2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10D0F1C8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4,1%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3AD8518F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0,1%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17BDB4DE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-0,1%</w:t>
            </w:r>
          </w:p>
        </w:tc>
      </w:tr>
      <w:tr w:rsidR="00F16372" w:rsidRPr="006204CA" w14:paraId="615A04E6" w14:textId="77777777" w:rsidTr="00F16372">
        <w:trPr>
          <w:trHeight w:val="312"/>
        </w:trPr>
        <w:tc>
          <w:tcPr>
            <w:tcW w:w="1983" w:type="dxa"/>
            <w:shd w:val="clear" w:color="auto" w:fill="auto"/>
            <w:vAlign w:val="bottom"/>
            <w:hideMark/>
          </w:tcPr>
          <w:p w14:paraId="4B3D0B5E" w14:textId="77777777" w:rsidR="000122CF" w:rsidRPr="00F16372" w:rsidRDefault="000122CF" w:rsidP="00F16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01-Jan-22</w:t>
            </w:r>
          </w:p>
        </w:tc>
        <w:tc>
          <w:tcPr>
            <w:tcW w:w="1899" w:type="dxa"/>
            <w:shd w:val="clear" w:color="auto" w:fill="BFD730" w:themeFill="accent3"/>
            <w:noWrap/>
            <w:vAlign w:val="bottom"/>
            <w:hideMark/>
          </w:tcPr>
          <w:p w14:paraId="7FE9E3BF" w14:textId="52465E0F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126,9</w:t>
            </w:r>
          </w:p>
        </w:tc>
        <w:tc>
          <w:tcPr>
            <w:tcW w:w="2262" w:type="dxa"/>
            <w:shd w:val="clear" w:color="auto" w:fill="F58220" w:themeFill="accent1"/>
            <w:noWrap/>
            <w:vAlign w:val="bottom"/>
            <w:hideMark/>
          </w:tcPr>
          <w:p w14:paraId="4AD304FB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6,2%</w:t>
            </w:r>
          </w:p>
        </w:tc>
        <w:tc>
          <w:tcPr>
            <w:tcW w:w="2123" w:type="dxa"/>
            <w:shd w:val="clear" w:color="auto" w:fill="BFD730" w:themeFill="accent3"/>
            <w:noWrap/>
            <w:vAlign w:val="bottom"/>
            <w:hideMark/>
          </w:tcPr>
          <w:p w14:paraId="1C72EEEC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0,1%</w:t>
            </w:r>
          </w:p>
        </w:tc>
        <w:tc>
          <w:tcPr>
            <w:tcW w:w="2067" w:type="dxa"/>
            <w:shd w:val="clear" w:color="auto" w:fill="BFD730" w:themeFill="accent3"/>
            <w:noWrap/>
            <w:vAlign w:val="bottom"/>
            <w:hideMark/>
          </w:tcPr>
          <w:p w14:paraId="00449021" w14:textId="77777777" w:rsidR="000122CF" w:rsidRPr="00F16372" w:rsidRDefault="000122CF" w:rsidP="00F16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16372">
              <w:rPr>
                <w:rFonts w:eastAsia="Times New Roman" w:cstheme="minorHAnsi"/>
                <w:b/>
                <w:bCs/>
                <w:lang w:eastAsia="en-ZA"/>
              </w:rPr>
              <w:t>-0,2%</w:t>
            </w:r>
          </w:p>
        </w:tc>
      </w:tr>
    </w:tbl>
    <w:p w14:paraId="1C55CED9" w14:textId="0A0D703A" w:rsidR="00F272F9" w:rsidRPr="00782FED" w:rsidRDefault="003B4137" w:rsidP="00782FED">
      <w:r>
        <w:rPr>
          <w:i/>
        </w:rPr>
        <w:t xml:space="preserve"> </w:t>
      </w:r>
      <w:r w:rsidR="00E66A09" w:rsidRPr="00476742">
        <w:rPr>
          <w:i/>
        </w:rPr>
        <w:t xml:space="preserve">Source: BankservAfrica and </w:t>
      </w:r>
      <w:r w:rsidR="00E66A09">
        <w:rPr>
          <w:i/>
        </w:rPr>
        <w:t>E</w:t>
      </w:r>
      <w:r w:rsidR="00E66A09" w:rsidRPr="00476742">
        <w:rPr>
          <w:i/>
        </w:rPr>
        <w:t>conomists</w:t>
      </w:r>
      <w:r w:rsidR="00E66A09">
        <w:rPr>
          <w:i/>
        </w:rPr>
        <w:t>.</w:t>
      </w:r>
      <w:r w:rsidR="00E66A09" w:rsidRPr="00476742">
        <w:rPr>
          <w:i/>
        </w:rPr>
        <w:t>co</w:t>
      </w:r>
      <w:r w:rsidR="00E66A09">
        <w:rPr>
          <w:i/>
        </w:rPr>
        <w:t>.</w:t>
      </w:r>
      <w:r w:rsidR="00E66A09" w:rsidRPr="00476742">
        <w:rPr>
          <w:i/>
        </w:rPr>
        <w:t>za</w:t>
      </w:r>
    </w:p>
    <w:p w14:paraId="7E69DA6A" w14:textId="77777777" w:rsidR="00F272F9" w:rsidRDefault="00F272F9" w:rsidP="007E3BFC">
      <w:pPr>
        <w:spacing w:after="0" w:line="240" w:lineRule="auto"/>
        <w:rPr>
          <w:b/>
        </w:rPr>
      </w:pPr>
    </w:p>
    <w:p w14:paraId="63123F8F" w14:textId="47271E60" w:rsidR="00F16372" w:rsidRDefault="007E3BFC" w:rsidP="007E3BFC">
      <w:pPr>
        <w:spacing w:after="0" w:line="240" w:lineRule="auto"/>
        <w:rPr>
          <w:b/>
        </w:rPr>
      </w:pPr>
      <w:r w:rsidRPr="002E23DD">
        <w:rPr>
          <w:b/>
        </w:rPr>
        <w:t xml:space="preserve">Table 2: The </w:t>
      </w:r>
      <w:r>
        <w:rPr>
          <w:b/>
        </w:rPr>
        <w:t xml:space="preserve">volume and average value of transactions and the standardised BETI in nominal terms </w:t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2638"/>
        <w:gridCol w:w="2349"/>
        <w:gridCol w:w="1559"/>
        <w:gridCol w:w="1668"/>
      </w:tblGrid>
      <w:tr w:rsidR="00782FED" w:rsidRPr="00782FED" w14:paraId="6F62E6FA" w14:textId="77777777" w:rsidTr="00782FED">
        <w:trPr>
          <w:trHeight w:val="1075"/>
        </w:trPr>
        <w:tc>
          <w:tcPr>
            <w:tcW w:w="1893" w:type="dxa"/>
            <w:shd w:val="clear" w:color="auto" w:fill="auto"/>
            <w:noWrap/>
            <w:vAlign w:val="bottom"/>
            <w:hideMark/>
          </w:tcPr>
          <w:p w14:paraId="043E94E9" w14:textId="77777777" w:rsidR="00F16372" w:rsidRPr="00782FED" w:rsidRDefault="00F16372" w:rsidP="00A428D9">
            <w:pPr>
              <w:spacing w:after="0" w:line="240" w:lineRule="auto"/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2638" w:type="dxa"/>
            <w:shd w:val="clear" w:color="auto" w:fill="F58220" w:themeFill="accent1"/>
            <w:vAlign w:val="bottom"/>
            <w:hideMark/>
          </w:tcPr>
          <w:p w14:paraId="0BAB2204" w14:textId="44671D79" w:rsidR="00F16372" w:rsidRPr="00782FED" w:rsidRDefault="00F16372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 xml:space="preserve">Nominal </w:t>
            </w:r>
            <w:r w:rsidR="00782FED">
              <w:rPr>
                <w:rFonts w:eastAsia="Times New Roman" w:cstheme="minorHAnsi"/>
                <w:b/>
                <w:bCs/>
                <w:lang w:eastAsia="en-ZA"/>
              </w:rPr>
              <w:t>s</w:t>
            </w:r>
            <w:r w:rsidRPr="00782FED">
              <w:rPr>
                <w:rFonts w:eastAsia="Times New Roman" w:cstheme="minorHAnsi"/>
                <w:b/>
                <w:bCs/>
                <w:lang w:eastAsia="en-ZA"/>
              </w:rPr>
              <w:t>tandardi</w:t>
            </w:r>
            <w:r w:rsidR="00782FED">
              <w:rPr>
                <w:rFonts w:eastAsia="Times New Roman" w:cstheme="minorHAnsi"/>
                <w:b/>
                <w:bCs/>
                <w:lang w:eastAsia="en-ZA"/>
              </w:rPr>
              <w:t>s</w:t>
            </w:r>
            <w:r w:rsidRPr="00782FED">
              <w:rPr>
                <w:rFonts w:eastAsia="Times New Roman" w:cstheme="minorHAnsi"/>
                <w:b/>
                <w:bCs/>
                <w:lang w:eastAsia="en-ZA"/>
              </w:rPr>
              <w:t xml:space="preserve">ed </w:t>
            </w:r>
            <w:r w:rsidR="00782FED">
              <w:rPr>
                <w:rFonts w:eastAsia="Times New Roman" w:cstheme="minorHAnsi"/>
                <w:b/>
                <w:bCs/>
                <w:lang w:eastAsia="en-ZA"/>
              </w:rPr>
              <w:t>v</w:t>
            </w:r>
            <w:r w:rsidRPr="00782FED">
              <w:rPr>
                <w:rFonts w:eastAsia="Times New Roman" w:cstheme="minorHAnsi"/>
                <w:b/>
                <w:bCs/>
                <w:lang w:eastAsia="en-ZA"/>
              </w:rPr>
              <w:t xml:space="preserve">alue of </w:t>
            </w:r>
            <w:r w:rsidR="00782FED">
              <w:rPr>
                <w:rFonts w:eastAsia="Times New Roman" w:cstheme="minorHAnsi"/>
                <w:b/>
                <w:bCs/>
                <w:lang w:eastAsia="en-ZA"/>
              </w:rPr>
              <w:t>t</w:t>
            </w:r>
            <w:r w:rsidRPr="00782FED">
              <w:rPr>
                <w:rFonts w:eastAsia="Times New Roman" w:cstheme="minorHAnsi"/>
                <w:b/>
                <w:bCs/>
                <w:lang w:eastAsia="en-ZA"/>
              </w:rPr>
              <w:t>ransactions</w:t>
            </w:r>
          </w:p>
          <w:p w14:paraId="4ACFC716" w14:textId="20156C1D" w:rsidR="00782FED" w:rsidRPr="00782FED" w:rsidRDefault="00782FED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70E15532" w14:textId="77777777" w:rsidR="00782FED" w:rsidRPr="00782FED" w:rsidRDefault="00782FED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6FE3548E" w14:textId="50B6B0D8" w:rsidR="00782FED" w:rsidRPr="00782FED" w:rsidRDefault="00782FED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349" w:type="dxa"/>
            <w:shd w:val="clear" w:color="auto" w:fill="BFD730" w:themeFill="accent3"/>
            <w:vAlign w:val="bottom"/>
            <w:hideMark/>
          </w:tcPr>
          <w:p w14:paraId="62861B22" w14:textId="06248243" w:rsidR="00F16372" w:rsidRPr="00782FED" w:rsidRDefault="00F16372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 xml:space="preserve">Number of </w:t>
            </w:r>
            <w:r w:rsidR="00782FED">
              <w:rPr>
                <w:rFonts w:eastAsia="Times New Roman" w:cstheme="minorHAnsi"/>
                <w:b/>
                <w:bCs/>
                <w:lang w:eastAsia="en-ZA"/>
              </w:rPr>
              <w:t>t</w:t>
            </w:r>
            <w:r w:rsidRPr="00782FED">
              <w:rPr>
                <w:rFonts w:eastAsia="Times New Roman" w:cstheme="minorHAnsi"/>
                <w:b/>
                <w:bCs/>
                <w:lang w:eastAsia="en-ZA"/>
              </w:rPr>
              <w:t>ransactions</w:t>
            </w:r>
          </w:p>
          <w:p w14:paraId="213A32E0" w14:textId="7C4237D3" w:rsidR="00782FED" w:rsidRDefault="00782FED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1364979C" w14:textId="77777777" w:rsidR="00782FED" w:rsidRPr="00782FED" w:rsidRDefault="00782FED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7F2FC857" w14:textId="4DCBDF16" w:rsidR="00782FED" w:rsidRPr="00782FED" w:rsidRDefault="00782FED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1559" w:type="dxa"/>
            <w:shd w:val="clear" w:color="auto" w:fill="BFD730" w:themeFill="accent3"/>
            <w:vAlign w:val="bottom"/>
            <w:hideMark/>
          </w:tcPr>
          <w:p w14:paraId="356A4A76" w14:textId="48E38A71" w:rsidR="00F16372" w:rsidRDefault="00F16372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 xml:space="preserve">Average </w:t>
            </w:r>
            <w:r w:rsidR="00782FED">
              <w:rPr>
                <w:rFonts w:eastAsia="Times New Roman" w:cstheme="minorHAnsi"/>
                <w:b/>
                <w:bCs/>
                <w:lang w:eastAsia="en-ZA"/>
              </w:rPr>
              <w:t>t</w:t>
            </w:r>
            <w:r w:rsidRPr="00782FED">
              <w:rPr>
                <w:rFonts w:eastAsia="Times New Roman" w:cstheme="minorHAnsi"/>
                <w:b/>
                <w:bCs/>
                <w:lang w:eastAsia="en-ZA"/>
              </w:rPr>
              <w:t xml:space="preserve">ransaction </w:t>
            </w:r>
            <w:r w:rsidR="00782FED">
              <w:rPr>
                <w:rFonts w:eastAsia="Times New Roman" w:cstheme="minorHAnsi"/>
                <w:b/>
                <w:bCs/>
                <w:lang w:eastAsia="en-ZA"/>
              </w:rPr>
              <w:t>v</w:t>
            </w:r>
            <w:r w:rsidRPr="00782FED">
              <w:rPr>
                <w:rFonts w:eastAsia="Times New Roman" w:cstheme="minorHAnsi"/>
                <w:b/>
                <w:bCs/>
                <w:lang w:eastAsia="en-ZA"/>
              </w:rPr>
              <w:t>alue</w:t>
            </w:r>
          </w:p>
          <w:p w14:paraId="7A8F7FF8" w14:textId="77777777" w:rsidR="00782FED" w:rsidRPr="00782FED" w:rsidRDefault="00782FED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67259C14" w14:textId="50BE73B8" w:rsidR="00782FED" w:rsidRPr="00782FED" w:rsidRDefault="00782FED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1668" w:type="dxa"/>
            <w:shd w:val="clear" w:color="auto" w:fill="BFD730" w:themeFill="accent3"/>
            <w:vAlign w:val="bottom"/>
            <w:hideMark/>
          </w:tcPr>
          <w:p w14:paraId="1C8E130A" w14:textId="36CA99C7" w:rsidR="00F16372" w:rsidRDefault="00F16372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 xml:space="preserve">Change in </w:t>
            </w:r>
            <w:r w:rsidR="00782FED">
              <w:rPr>
                <w:rFonts w:eastAsia="Times New Roman" w:cstheme="minorHAnsi"/>
                <w:b/>
                <w:bCs/>
                <w:lang w:eastAsia="en-ZA"/>
              </w:rPr>
              <w:t>t</w:t>
            </w:r>
            <w:r w:rsidRPr="00782FED">
              <w:rPr>
                <w:rFonts w:eastAsia="Times New Roman" w:cstheme="minorHAnsi"/>
                <w:b/>
                <w:bCs/>
                <w:lang w:eastAsia="en-ZA"/>
              </w:rPr>
              <w:t xml:space="preserve">ransaction </w:t>
            </w:r>
            <w:r w:rsidR="00782FED">
              <w:rPr>
                <w:rFonts w:eastAsia="Times New Roman" w:cstheme="minorHAnsi"/>
                <w:b/>
                <w:bCs/>
                <w:lang w:eastAsia="en-ZA"/>
              </w:rPr>
              <w:t>v</w:t>
            </w:r>
            <w:r w:rsidRPr="00782FED">
              <w:rPr>
                <w:rFonts w:eastAsia="Times New Roman" w:cstheme="minorHAnsi"/>
                <w:b/>
                <w:bCs/>
                <w:lang w:eastAsia="en-ZA"/>
              </w:rPr>
              <w:t>olume</w:t>
            </w:r>
          </w:p>
          <w:p w14:paraId="5CB01AB2" w14:textId="77777777" w:rsidR="00782FED" w:rsidRPr="00782FED" w:rsidRDefault="00782FED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28E18974" w14:textId="49B76AEE" w:rsidR="00782FED" w:rsidRPr="00782FED" w:rsidRDefault="00782FED" w:rsidP="00A428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</w:tr>
      <w:tr w:rsidR="00F16372" w:rsidRPr="00782FED" w14:paraId="3534527A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4043FBBB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01-Jan-20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0B1D18F7" w14:textId="0D836E24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827 069 468 236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76538203" w14:textId="5613D61C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98 568 174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7CAF9576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8339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7705D11E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3,2%</w:t>
            </w:r>
          </w:p>
        </w:tc>
      </w:tr>
      <w:tr w:rsidR="00F16372" w:rsidRPr="00782FED" w14:paraId="31F644DE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334CDF6C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01-Feb-20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2724088E" w14:textId="6082D9A0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921 749 299 725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2C68ECA7" w14:textId="39B2DC6D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101 662 462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504B9DEE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8522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7FF69670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4,9%</w:t>
            </w:r>
          </w:p>
        </w:tc>
      </w:tr>
      <w:tr w:rsidR="00F16372" w:rsidRPr="00782FED" w14:paraId="2FBCF06B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4FBCCDFE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01-Mar-20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19375ED8" w14:textId="45396421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891 197 747 730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7C3E4893" w14:textId="6AF36AD0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103 280 758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7C7333DF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8822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6A99F79B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3,3%</w:t>
            </w:r>
          </w:p>
        </w:tc>
      </w:tr>
      <w:tr w:rsidR="00F16372" w:rsidRPr="00782FED" w14:paraId="1F99B7BE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7E5FFD0D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01-Apr-20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437BE72A" w14:textId="4ADE820F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679 399 945 727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03601173" w14:textId="3A682A83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90 027 122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178A1E6E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6960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28BE1789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-12,9%</w:t>
            </w:r>
          </w:p>
        </w:tc>
      </w:tr>
      <w:tr w:rsidR="00F16372" w:rsidRPr="00782FED" w14:paraId="37E2292F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672AA6BF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01-May-20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6A4BEC76" w14:textId="5FCEE3F4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703 813 457 711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7DBB6D77" w14:textId="262399DE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92 353 231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1A635F13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7348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714324A8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-9,1%</w:t>
            </w:r>
          </w:p>
        </w:tc>
      </w:tr>
      <w:tr w:rsidR="00F16372" w:rsidRPr="00782FED" w14:paraId="6C7E1B7B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7A52B621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01-Jun-20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522209D2" w14:textId="2EFE307B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795 028 150 576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7EDFA49D" w14:textId="74551659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99 747 038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64BB0761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7821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76170740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6,5%</w:t>
            </w:r>
          </w:p>
        </w:tc>
      </w:tr>
      <w:tr w:rsidR="00F16372" w:rsidRPr="00782FED" w14:paraId="774D1442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3CF139FD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01-Jul-20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0D4A85F1" w14:textId="6BA5DE6B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842 860 988 641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7F0118A8" w14:textId="5C86E684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107 166 184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681BE861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8258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11AEBB1D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2,4%</w:t>
            </w:r>
          </w:p>
        </w:tc>
      </w:tr>
      <w:tr w:rsidR="00F16372" w:rsidRPr="00782FED" w14:paraId="37CAC6F6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630F282D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01-Aug-20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57853E75" w14:textId="264DE8CA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894 409 284 562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2DB9EEDD" w14:textId="0DCA3E88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103 606 195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510D5E63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8388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08EAEE75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-0,7%</w:t>
            </w:r>
          </w:p>
        </w:tc>
      </w:tr>
      <w:tr w:rsidR="00F16372" w:rsidRPr="00782FED" w14:paraId="6C9FD535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793F97A4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01-Sep-20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17A96B56" w14:textId="45FAB36B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931 179 397 577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5987865A" w14:textId="538E9885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105 595 111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3F3A08CE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8653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3070A612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5,9%</w:t>
            </w:r>
          </w:p>
        </w:tc>
      </w:tr>
      <w:tr w:rsidR="00F16372" w:rsidRPr="00782FED" w14:paraId="434F184D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4AC335D5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01-Oct-20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3DF515A7" w14:textId="1F6552D9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948 772 152 278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7E4C895F" w14:textId="56659A69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113 464 522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593EFC51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8549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6062A489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11,7%</w:t>
            </w:r>
          </w:p>
        </w:tc>
      </w:tr>
      <w:tr w:rsidR="00F16372" w:rsidRPr="00782FED" w14:paraId="6AAB4C11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4C641777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01-Nov-20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36E513BC" w14:textId="6FFCCDCC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973 059 693 766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0D32F588" w14:textId="7138DE3B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105 494 728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77021AE6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9051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26CEE81C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0,7%</w:t>
            </w:r>
          </w:p>
        </w:tc>
      </w:tr>
      <w:tr w:rsidR="00F16372" w:rsidRPr="00782FED" w14:paraId="5DC81C2A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48921678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lastRenderedPageBreak/>
              <w:t>01-Dec-20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2774E1D2" w14:textId="2F5A784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1 039 056 126 408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4A08022A" w14:textId="6C85FFEE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117 705 373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3047ED09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8773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525D3BB3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13,0%</w:t>
            </w:r>
          </w:p>
        </w:tc>
      </w:tr>
      <w:tr w:rsidR="00F16372" w:rsidRPr="00782FED" w14:paraId="39AE016A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60ED64CD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01-Jan-21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0E40FBBF" w14:textId="17EA2B8C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830 431 229 519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6E0677BF" w14:textId="332F34A4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99 046 275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092CBE6B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8084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1491D53B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0,5%</w:t>
            </w:r>
          </w:p>
        </w:tc>
      </w:tr>
      <w:tr w:rsidR="00F16372" w:rsidRPr="00782FED" w14:paraId="55CCCE54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63791633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01-Feb-21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37558270" w14:textId="58E4A3BC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985 568 635 898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6679C958" w14:textId="470E1E7D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105 369 295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692E19D2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8671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28A179DD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3,6%</w:t>
            </w:r>
          </w:p>
        </w:tc>
      </w:tr>
      <w:tr w:rsidR="00F16372" w:rsidRPr="00782FED" w14:paraId="13161AC8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2D144B74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01-Mar-21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7E9F59EF" w14:textId="3BDDEF76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1 016 197 489 145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424A19E3" w14:textId="267C9EF3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121 094 342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2FD0013E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8603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59CC70F4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17,2%</w:t>
            </w:r>
          </w:p>
        </w:tc>
      </w:tr>
      <w:tr w:rsidR="00F16372" w:rsidRPr="00782FED" w14:paraId="30B98EE0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520E31D6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01-Apr-21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059ACE04" w14:textId="62C17E48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1 034 989 208 807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1EDE18D1" w14:textId="5CA219A6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114 992 885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496AC797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8301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2077D881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27,7%</w:t>
            </w:r>
          </w:p>
        </w:tc>
      </w:tr>
      <w:tr w:rsidR="00F16372" w:rsidRPr="00782FED" w14:paraId="6D23DEB4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59AB0230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01-May-21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107FCAF9" w14:textId="23E9246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999 971 999 135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119A7CA4" w14:textId="52FD13DB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114 860 839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6EAC4C4F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8652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62F85D65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24,4%</w:t>
            </w:r>
          </w:p>
        </w:tc>
      </w:tr>
      <w:tr w:rsidR="00F16372" w:rsidRPr="00782FED" w14:paraId="7CF89508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142398A1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01-Jun-21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34A30812" w14:textId="724B3CA2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1 000 598 759 677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6D795B20" w14:textId="0AB5E68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115 994 019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63A9CA7E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8464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03CA24F6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16,3%</w:t>
            </w:r>
          </w:p>
        </w:tc>
      </w:tr>
      <w:tr w:rsidR="00F16372" w:rsidRPr="00782FED" w14:paraId="3EC9181E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677A3F6D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01-Jul-21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57E02B9D" w14:textId="2918D453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971 405 321 598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4DF5F8E8" w14:textId="7563C72C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122 534 840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705AB212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8083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626E5BEA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14,3%</w:t>
            </w:r>
          </w:p>
        </w:tc>
      </w:tr>
      <w:tr w:rsidR="00F16372" w:rsidRPr="00782FED" w14:paraId="0EEFFCD7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43AF1742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01-Aug-21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2F1C0915" w14:textId="26720C4B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1 079 970 334 333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619536C1" w14:textId="5815B90A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139 115 440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346278EF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7738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40C6351A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34,3%</w:t>
            </w:r>
          </w:p>
        </w:tc>
      </w:tr>
      <w:tr w:rsidR="00F16372" w:rsidRPr="00782FED" w14:paraId="55B0D845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27C38824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01-Sep-21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134AA439" w14:textId="4D05D74C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1 016 856 555 770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318ADBB3" w14:textId="3C7C3A45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122 463 947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371B3653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8379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29FFCEE4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16,0%</w:t>
            </w:r>
          </w:p>
        </w:tc>
      </w:tr>
      <w:tr w:rsidR="00F16372" w:rsidRPr="00782FED" w14:paraId="3B4EB535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7C65A7EE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01-Oct-21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62E83FA2" w14:textId="5FBB3D12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1 036 674 654 205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02DE1288" w14:textId="295587BD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126 082 582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1C79955E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8171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7F640632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11,1%</w:t>
            </w:r>
          </w:p>
        </w:tc>
      </w:tr>
      <w:tr w:rsidR="00F16372" w:rsidRPr="00782FED" w14:paraId="5B5B128E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558A94A2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01-Nov-21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4074F7A6" w14:textId="63026E20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1 129 846 454 139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624D6B40" w14:textId="2AEFE136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127 206 375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4F186F2F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8715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776E3E5B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20,6%</w:t>
            </w:r>
          </w:p>
        </w:tc>
      </w:tr>
      <w:tr w:rsidR="00F16372" w:rsidRPr="00782FED" w14:paraId="3DC67AE1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4FE3C832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01-Dec-21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7084149B" w14:textId="3AD51D1C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1 147 364 076 089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16177479" w14:textId="2136B79C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128 960 377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1CDC0AAB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8842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40920B40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9,6%</w:t>
            </w:r>
          </w:p>
        </w:tc>
      </w:tr>
      <w:tr w:rsidR="00F16372" w:rsidRPr="00782FED" w14:paraId="679D270E" w14:textId="77777777" w:rsidTr="00782FED">
        <w:trPr>
          <w:trHeight w:val="305"/>
        </w:trPr>
        <w:tc>
          <w:tcPr>
            <w:tcW w:w="1893" w:type="dxa"/>
            <w:shd w:val="clear" w:color="auto" w:fill="auto"/>
            <w:vAlign w:val="bottom"/>
            <w:hideMark/>
          </w:tcPr>
          <w:p w14:paraId="0264E169" w14:textId="77777777" w:rsidR="00F16372" w:rsidRPr="00782FED" w:rsidRDefault="00F16372" w:rsidP="00782F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01-Jan-22</w:t>
            </w:r>
          </w:p>
        </w:tc>
        <w:tc>
          <w:tcPr>
            <w:tcW w:w="2638" w:type="dxa"/>
            <w:shd w:val="clear" w:color="auto" w:fill="F58220" w:themeFill="accent1"/>
            <w:noWrap/>
            <w:vAlign w:val="bottom"/>
            <w:hideMark/>
          </w:tcPr>
          <w:p w14:paraId="73281A2F" w14:textId="58E240AD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960 782 863 733</w:t>
            </w:r>
          </w:p>
        </w:tc>
        <w:tc>
          <w:tcPr>
            <w:tcW w:w="2349" w:type="dxa"/>
            <w:shd w:val="clear" w:color="auto" w:fill="BFD730" w:themeFill="accent3"/>
            <w:noWrap/>
            <w:vAlign w:val="bottom"/>
            <w:hideMark/>
          </w:tcPr>
          <w:p w14:paraId="64818140" w14:textId="4E400BB1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114 988 683</w:t>
            </w:r>
          </w:p>
        </w:tc>
        <w:tc>
          <w:tcPr>
            <w:tcW w:w="1559" w:type="dxa"/>
            <w:shd w:val="clear" w:color="auto" w:fill="BFD730" w:themeFill="accent3"/>
            <w:noWrap/>
            <w:vAlign w:val="bottom"/>
            <w:hideMark/>
          </w:tcPr>
          <w:p w14:paraId="57484EB0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8304</w:t>
            </w:r>
          </w:p>
        </w:tc>
        <w:tc>
          <w:tcPr>
            <w:tcW w:w="1668" w:type="dxa"/>
            <w:shd w:val="clear" w:color="auto" w:fill="BFD730" w:themeFill="accent3"/>
            <w:noWrap/>
            <w:vAlign w:val="bottom"/>
            <w:hideMark/>
          </w:tcPr>
          <w:p w14:paraId="0BFF98FF" w14:textId="77777777" w:rsidR="00F16372" w:rsidRPr="00782FED" w:rsidRDefault="00F16372" w:rsidP="00782F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82FED">
              <w:rPr>
                <w:rFonts w:eastAsia="Times New Roman" w:cstheme="minorHAnsi"/>
                <w:b/>
                <w:bCs/>
                <w:lang w:eastAsia="en-ZA"/>
              </w:rPr>
              <w:t>16,1%</w:t>
            </w:r>
          </w:p>
        </w:tc>
      </w:tr>
    </w:tbl>
    <w:p w14:paraId="260F7E0F" w14:textId="6520EF7C" w:rsidR="00E66A09" w:rsidRDefault="00E66A09" w:rsidP="00E66A09">
      <w:r w:rsidRPr="00476742">
        <w:rPr>
          <w:i/>
        </w:rPr>
        <w:t xml:space="preserve">Source: BankservAfrica and </w:t>
      </w:r>
      <w:r>
        <w:rPr>
          <w:i/>
        </w:rPr>
        <w:t>E</w:t>
      </w:r>
      <w:r w:rsidRPr="00476742">
        <w:rPr>
          <w:i/>
        </w:rPr>
        <w:t>conomists</w:t>
      </w:r>
      <w:r>
        <w:rPr>
          <w:i/>
        </w:rPr>
        <w:t>.</w:t>
      </w:r>
      <w:r w:rsidRPr="00476742">
        <w:rPr>
          <w:i/>
        </w:rPr>
        <w:t>co</w:t>
      </w:r>
      <w:r>
        <w:rPr>
          <w:i/>
        </w:rPr>
        <w:t>.</w:t>
      </w:r>
      <w:r w:rsidRPr="00476742">
        <w:rPr>
          <w:i/>
        </w:rPr>
        <w:t>za</w:t>
      </w:r>
      <w:bookmarkEnd w:id="1"/>
      <w:bookmarkEnd w:id="2"/>
    </w:p>
    <w:sectPr w:rsidR="00E66A09" w:rsidSect="003B201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95615"/>
    <w:multiLevelType w:val="hybridMultilevel"/>
    <w:tmpl w:val="6434A2E6"/>
    <w:lvl w:ilvl="0" w:tplc="3432DC5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5B2865B3"/>
    <w:multiLevelType w:val="hybridMultilevel"/>
    <w:tmpl w:val="B2D4E3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4141AC"/>
    <w:multiLevelType w:val="hybridMultilevel"/>
    <w:tmpl w:val="3D00B45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ytDAwNjAzMzUyNjJT0lEKTi0uzszPAykwqgUAR8K5PiwAAAA="/>
  </w:docVars>
  <w:rsids>
    <w:rsidRoot w:val="005E72DA"/>
    <w:rsid w:val="000005E1"/>
    <w:rsid w:val="0000273D"/>
    <w:rsid w:val="000122CF"/>
    <w:rsid w:val="000130F7"/>
    <w:rsid w:val="00017142"/>
    <w:rsid w:val="00023CF6"/>
    <w:rsid w:val="00026E87"/>
    <w:rsid w:val="00031F6D"/>
    <w:rsid w:val="00032D81"/>
    <w:rsid w:val="000356A7"/>
    <w:rsid w:val="000401E9"/>
    <w:rsid w:val="000403DF"/>
    <w:rsid w:val="000479E4"/>
    <w:rsid w:val="000510F7"/>
    <w:rsid w:val="000535A5"/>
    <w:rsid w:val="000545B7"/>
    <w:rsid w:val="000602F1"/>
    <w:rsid w:val="000617AE"/>
    <w:rsid w:val="000619FC"/>
    <w:rsid w:val="000668FD"/>
    <w:rsid w:val="00072509"/>
    <w:rsid w:val="0007493A"/>
    <w:rsid w:val="00075776"/>
    <w:rsid w:val="00081495"/>
    <w:rsid w:val="00085CF4"/>
    <w:rsid w:val="00091552"/>
    <w:rsid w:val="000923BF"/>
    <w:rsid w:val="00092BBE"/>
    <w:rsid w:val="00094911"/>
    <w:rsid w:val="00094A3A"/>
    <w:rsid w:val="00095137"/>
    <w:rsid w:val="000A085F"/>
    <w:rsid w:val="000B14F7"/>
    <w:rsid w:val="000B1B20"/>
    <w:rsid w:val="000B1F49"/>
    <w:rsid w:val="000B3598"/>
    <w:rsid w:val="000B4B3B"/>
    <w:rsid w:val="000C1FEA"/>
    <w:rsid w:val="000C2863"/>
    <w:rsid w:val="000C2A99"/>
    <w:rsid w:val="000C5438"/>
    <w:rsid w:val="000D1740"/>
    <w:rsid w:val="000D2C90"/>
    <w:rsid w:val="000D3370"/>
    <w:rsid w:val="000D3600"/>
    <w:rsid w:val="000D5D2E"/>
    <w:rsid w:val="000D5E38"/>
    <w:rsid w:val="000D66E3"/>
    <w:rsid w:val="000D6C47"/>
    <w:rsid w:val="000E428E"/>
    <w:rsid w:val="000E6D56"/>
    <w:rsid w:val="000E6D71"/>
    <w:rsid w:val="000F157D"/>
    <w:rsid w:val="000F2782"/>
    <w:rsid w:val="000F5E0D"/>
    <w:rsid w:val="000F78D7"/>
    <w:rsid w:val="001022E1"/>
    <w:rsid w:val="00102457"/>
    <w:rsid w:val="00102A28"/>
    <w:rsid w:val="00103F26"/>
    <w:rsid w:val="001046A1"/>
    <w:rsid w:val="00104EC5"/>
    <w:rsid w:val="00105E65"/>
    <w:rsid w:val="00111F16"/>
    <w:rsid w:val="00112E55"/>
    <w:rsid w:val="0011486A"/>
    <w:rsid w:val="001152B6"/>
    <w:rsid w:val="001166F3"/>
    <w:rsid w:val="001171AD"/>
    <w:rsid w:val="00133663"/>
    <w:rsid w:val="00134125"/>
    <w:rsid w:val="00134140"/>
    <w:rsid w:val="00141FC6"/>
    <w:rsid w:val="001460D5"/>
    <w:rsid w:val="00155485"/>
    <w:rsid w:val="00157AE2"/>
    <w:rsid w:val="0016746E"/>
    <w:rsid w:val="00170E64"/>
    <w:rsid w:val="00173F66"/>
    <w:rsid w:val="00174E2A"/>
    <w:rsid w:val="001837FA"/>
    <w:rsid w:val="00185051"/>
    <w:rsid w:val="00185980"/>
    <w:rsid w:val="00191B8B"/>
    <w:rsid w:val="00195130"/>
    <w:rsid w:val="001963A7"/>
    <w:rsid w:val="00197F36"/>
    <w:rsid w:val="001A04DE"/>
    <w:rsid w:val="001A326C"/>
    <w:rsid w:val="001A5407"/>
    <w:rsid w:val="001A7945"/>
    <w:rsid w:val="001A7A0A"/>
    <w:rsid w:val="001B5571"/>
    <w:rsid w:val="001B62B1"/>
    <w:rsid w:val="001C30C0"/>
    <w:rsid w:val="001D0DAA"/>
    <w:rsid w:val="001D3F1C"/>
    <w:rsid w:val="001E1619"/>
    <w:rsid w:val="001E2F39"/>
    <w:rsid w:val="001E3E12"/>
    <w:rsid w:val="001E660D"/>
    <w:rsid w:val="001E66A0"/>
    <w:rsid w:val="001F4A84"/>
    <w:rsid w:val="001F4AB4"/>
    <w:rsid w:val="001F72AD"/>
    <w:rsid w:val="00203E02"/>
    <w:rsid w:val="00204034"/>
    <w:rsid w:val="0021154F"/>
    <w:rsid w:val="002203BB"/>
    <w:rsid w:val="00226D46"/>
    <w:rsid w:val="0022703A"/>
    <w:rsid w:val="0022772A"/>
    <w:rsid w:val="0023028B"/>
    <w:rsid w:val="0023643F"/>
    <w:rsid w:val="00241E2E"/>
    <w:rsid w:val="002423FD"/>
    <w:rsid w:val="00243F3C"/>
    <w:rsid w:val="002507F6"/>
    <w:rsid w:val="00251AE5"/>
    <w:rsid w:val="00251ECC"/>
    <w:rsid w:val="002526BB"/>
    <w:rsid w:val="00254D7F"/>
    <w:rsid w:val="002560EE"/>
    <w:rsid w:val="0026023A"/>
    <w:rsid w:val="00263C41"/>
    <w:rsid w:val="00275DA7"/>
    <w:rsid w:val="00275DBA"/>
    <w:rsid w:val="00276121"/>
    <w:rsid w:val="00281B22"/>
    <w:rsid w:val="00282600"/>
    <w:rsid w:val="00287C16"/>
    <w:rsid w:val="0029034B"/>
    <w:rsid w:val="00290E03"/>
    <w:rsid w:val="00292818"/>
    <w:rsid w:val="00292A5A"/>
    <w:rsid w:val="00293520"/>
    <w:rsid w:val="002944E2"/>
    <w:rsid w:val="00295532"/>
    <w:rsid w:val="00296889"/>
    <w:rsid w:val="0029708B"/>
    <w:rsid w:val="002A0259"/>
    <w:rsid w:val="002A08FA"/>
    <w:rsid w:val="002A279A"/>
    <w:rsid w:val="002A4DB8"/>
    <w:rsid w:val="002A5732"/>
    <w:rsid w:val="002A5E71"/>
    <w:rsid w:val="002B026B"/>
    <w:rsid w:val="002B4210"/>
    <w:rsid w:val="002B44A0"/>
    <w:rsid w:val="002B5AD3"/>
    <w:rsid w:val="002B6DB8"/>
    <w:rsid w:val="002C49F6"/>
    <w:rsid w:val="002C645E"/>
    <w:rsid w:val="002D6714"/>
    <w:rsid w:val="002D6E28"/>
    <w:rsid w:val="002D7B12"/>
    <w:rsid w:val="002E044B"/>
    <w:rsid w:val="002E23DD"/>
    <w:rsid w:val="002E3176"/>
    <w:rsid w:val="002E4A2A"/>
    <w:rsid w:val="002E6A19"/>
    <w:rsid w:val="002E785D"/>
    <w:rsid w:val="002F1AB5"/>
    <w:rsid w:val="002F3453"/>
    <w:rsid w:val="002F3873"/>
    <w:rsid w:val="002F4E21"/>
    <w:rsid w:val="002F7B2B"/>
    <w:rsid w:val="00300391"/>
    <w:rsid w:val="00301E4C"/>
    <w:rsid w:val="0030379C"/>
    <w:rsid w:val="00304D9E"/>
    <w:rsid w:val="00311BEC"/>
    <w:rsid w:val="00311D26"/>
    <w:rsid w:val="0031392E"/>
    <w:rsid w:val="00314603"/>
    <w:rsid w:val="00314AE2"/>
    <w:rsid w:val="003153AA"/>
    <w:rsid w:val="00315C65"/>
    <w:rsid w:val="0031689D"/>
    <w:rsid w:val="003200AA"/>
    <w:rsid w:val="00320C4A"/>
    <w:rsid w:val="0032237C"/>
    <w:rsid w:val="0032267E"/>
    <w:rsid w:val="00327375"/>
    <w:rsid w:val="00327A4B"/>
    <w:rsid w:val="00332EB6"/>
    <w:rsid w:val="00334FB7"/>
    <w:rsid w:val="00335501"/>
    <w:rsid w:val="00335884"/>
    <w:rsid w:val="00336955"/>
    <w:rsid w:val="0034302E"/>
    <w:rsid w:val="00344273"/>
    <w:rsid w:val="00344A7A"/>
    <w:rsid w:val="00344B51"/>
    <w:rsid w:val="00356CDD"/>
    <w:rsid w:val="00356F59"/>
    <w:rsid w:val="0036134E"/>
    <w:rsid w:val="0036266E"/>
    <w:rsid w:val="00362F60"/>
    <w:rsid w:val="003637FC"/>
    <w:rsid w:val="00363B1C"/>
    <w:rsid w:val="00363D89"/>
    <w:rsid w:val="00366471"/>
    <w:rsid w:val="00370548"/>
    <w:rsid w:val="003714F5"/>
    <w:rsid w:val="0037367F"/>
    <w:rsid w:val="00374129"/>
    <w:rsid w:val="003820C2"/>
    <w:rsid w:val="00382D26"/>
    <w:rsid w:val="00383E1D"/>
    <w:rsid w:val="00385D81"/>
    <w:rsid w:val="00390870"/>
    <w:rsid w:val="003921F5"/>
    <w:rsid w:val="003923B9"/>
    <w:rsid w:val="00393AFF"/>
    <w:rsid w:val="003A08CD"/>
    <w:rsid w:val="003A0D5C"/>
    <w:rsid w:val="003A1D15"/>
    <w:rsid w:val="003A5987"/>
    <w:rsid w:val="003A678B"/>
    <w:rsid w:val="003B172E"/>
    <w:rsid w:val="003B201F"/>
    <w:rsid w:val="003B2962"/>
    <w:rsid w:val="003B2ACF"/>
    <w:rsid w:val="003B4137"/>
    <w:rsid w:val="003B50DC"/>
    <w:rsid w:val="003B7FBB"/>
    <w:rsid w:val="003C4D9B"/>
    <w:rsid w:val="003C7FBD"/>
    <w:rsid w:val="003D3266"/>
    <w:rsid w:val="003D7AE4"/>
    <w:rsid w:val="003E37EF"/>
    <w:rsid w:val="003E4966"/>
    <w:rsid w:val="003E69D6"/>
    <w:rsid w:val="003F25E6"/>
    <w:rsid w:val="003F33B3"/>
    <w:rsid w:val="003F5D6B"/>
    <w:rsid w:val="00403678"/>
    <w:rsid w:val="004055C8"/>
    <w:rsid w:val="00406130"/>
    <w:rsid w:val="004066EE"/>
    <w:rsid w:val="0040692C"/>
    <w:rsid w:val="00412047"/>
    <w:rsid w:val="00413C32"/>
    <w:rsid w:val="004200AB"/>
    <w:rsid w:val="00420687"/>
    <w:rsid w:val="004209BB"/>
    <w:rsid w:val="00420F3A"/>
    <w:rsid w:val="0042104D"/>
    <w:rsid w:val="00424D84"/>
    <w:rsid w:val="00432212"/>
    <w:rsid w:val="004407FB"/>
    <w:rsid w:val="00441BFA"/>
    <w:rsid w:val="00441F8A"/>
    <w:rsid w:val="0044200B"/>
    <w:rsid w:val="004468C8"/>
    <w:rsid w:val="00446948"/>
    <w:rsid w:val="00447108"/>
    <w:rsid w:val="004517FC"/>
    <w:rsid w:val="004519DE"/>
    <w:rsid w:val="0045201B"/>
    <w:rsid w:val="00455B48"/>
    <w:rsid w:val="004567F8"/>
    <w:rsid w:val="00457356"/>
    <w:rsid w:val="00457403"/>
    <w:rsid w:val="00460C33"/>
    <w:rsid w:val="0046238F"/>
    <w:rsid w:val="004626ED"/>
    <w:rsid w:val="00466051"/>
    <w:rsid w:val="004722FE"/>
    <w:rsid w:val="0047376D"/>
    <w:rsid w:val="00476742"/>
    <w:rsid w:val="00476FC6"/>
    <w:rsid w:val="00481137"/>
    <w:rsid w:val="004829E6"/>
    <w:rsid w:val="00482CB8"/>
    <w:rsid w:val="00487B9F"/>
    <w:rsid w:val="00487F16"/>
    <w:rsid w:val="004908C1"/>
    <w:rsid w:val="0049198D"/>
    <w:rsid w:val="004926E1"/>
    <w:rsid w:val="00495304"/>
    <w:rsid w:val="004A4E9F"/>
    <w:rsid w:val="004B0289"/>
    <w:rsid w:val="004B03A7"/>
    <w:rsid w:val="004B2F37"/>
    <w:rsid w:val="004B507F"/>
    <w:rsid w:val="004B74FE"/>
    <w:rsid w:val="004C0442"/>
    <w:rsid w:val="004C2698"/>
    <w:rsid w:val="004C3A92"/>
    <w:rsid w:val="004C7822"/>
    <w:rsid w:val="004D6249"/>
    <w:rsid w:val="004E0772"/>
    <w:rsid w:val="004E3106"/>
    <w:rsid w:val="004E56A8"/>
    <w:rsid w:val="004F10E8"/>
    <w:rsid w:val="004F4C37"/>
    <w:rsid w:val="004F6F2C"/>
    <w:rsid w:val="004F70FA"/>
    <w:rsid w:val="004F727C"/>
    <w:rsid w:val="00502020"/>
    <w:rsid w:val="00502FF1"/>
    <w:rsid w:val="00503FEF"/>
    <w:rsid w:val="00506D2B"/>
    <w:rsid w:val="0051107D"/>
    <w:rsid w:val="00514BD2"/>
    <w:rsid w:val="00515EDB"/>
    <w:rsid w:val="00516F29"/>
    <w:rsid w:val="005218D6"/>
    <w:rsid w:val="00525BA3"/>
    <w:rsid w:val="0053249B"/>
    <w:rsid w:val="00534756"/>
    <w:rsid w:val="0053484A"/>
    <w:rsid w:val="0053574E"/>
    <w:rsid w:val="00536244"/>
    <w:rsid w:val="0054199F"/>
    <w:rsid w:val="00541A76"/>
    <w:rsid w:val="005465FD"/>
    <w:rsid w:val="005549B4"/>
    <w:rsid w:val="00561A35"/>
    <w:rsid w:val="00570EDF"/>
    <w:rsid w:val="00575A0D"/>
    <w:rsid w:val="00575AA9"/>
    <w:rsid w:val="00582176"/>
    <w:rsid w:val="00584B72"/>
    <w:rsid w:val="00596283"/>
    <w:rsid w:val="005A46DA"/>
    <w:rsid w:val="005A48EB"/>
    <w:rsid w:val="005A4CF7"/>
    <w:rsid w:val="005B1428"/>
    <w:rsid w:val="005B2706"/>
    <w:rsid w:val="005B5809"/>
    <w:rsid w:val="005B6C89"/>
    <w:rsid w:val="005C1F00"/>
    <w:rsid w:val="005C30E8"/>
    <w:rsid w:val="005C3175"/>
    <w:rsid w:val="005D1123"/>
    <w:rsid w:val="005D55BC"/>
    <w:rsid w:val="005D642E"/>
    <w:rsid w:val="005D6598"/>
    <w:rsid w:val="005D6A50"/>
    <w:rsid w:val="005D6B46"/>
    <w:rsid w:val="005D742F"/>
    <w:rsid w:val="005E654B"/>
    <w:rsid w:val="005E6DDA"/>
    <w:rsid w:val="005E72DA"/>
    <w:rsid w:val="005F07B3"/>
    <w:rsid w:val="00603B1D"/>
    <w:rsid w:val="006046F8"/>
    <w:rsid w:val="00606969"/>
    <w:rsid w:val="006112CF"/>
    <w:rsid w:val="00612BC8"/>
    <w:rsid w:val="00614B6A"/>
    <w:rsid w:val="00627321"/>
    <w:rsid w:val="00631EC6"/>
    <w:rsid w:val="00634479"/>
    <w:rsid w:val="006415C2"/>
    <w:rsid w:val="00641AEA"/>
    <w:rsid w:val="006551F3"/>
    <w:rsid w:val="00655974"/>
    <w:rsid w:val="00655BF3"/>
    <w:rsid w:val="00687256"/>
    <w:rsid w:val="0069223E"/>
    <w:rsid w:val="0069330C"/>
    <w:rsid w:val="0069402F"/>
    <w:rsid w:val="006A3147"/>
    <w:rsid w:val="006A3417"/>
    <w:rsid w:val="006B6AC3"/>
    <w:rsid w:val="006B7307"/>
    <w:rsid w:val="006C2D01"/>
    <w:rsid w:val="006C4D60"/>
    <w:rsid w:val="006C77D0"/>
    <w:rsid w:val="006D2E28"/>
    <w:rsid w:val="006E0180"/>
    <w:rsid w:val="006E46B1"/>
    <w:rsid w:val="006E5960"/>
    <w:rsid w:val="006E7F27"/>
    <w:rsid w:val="006F7F0B"/>
    <w:rsid w:val="007013C6"/>
    <w:rsid w:val="007060BD"/>
    <w:rsid w:val="00706815"/>
    <w:rsid w:val="00713AF1"/>
    <w:rsid w:val="00715CBE"/>
    <w:rsid w:val="00715FC3"/>
    <w:rsid w:val="00723702"/>
    <w:rsid w:val="007257E7"/>
    <w:rsid w:val="007262B4"/>
    <w:rsid w:val="00731B35"/>
    <w:rsid w:val="0073230A"/>
    <w:rsid w:val="007340CE"/>
    <w:rsid w:val="007342AC"/>
    <w:rsid w:val="00741E0F"/>
    <w:rsid w:val="00745651"/>
    <w:rsid w:val="0074663C"/>
    <w:rsid w:val="00751411"/>
    <w:rsid w:val="007528E2"/>
    <w:rsid w:val="00760A68"/>
    <w:rsid w:val="00761CA5"/>
    <w:rsid w:val="0076218A"/>
    <w:rsid w:val="007650BF"/>
    <w:rsid w:val="00771E42"/>
    <w:rsid w:val="00777FD6"/>
    <w:rsid w:val="00781B79"/>
    <w:rsid w:val="0078217A"/>
    <w:rsid w:val="00782FED"/>
    <w:rsid w:val="00785619"/>
    <w:rsid w:val="00785787"/>
    <w:rsid w:val="007929DF"/>
    <w:rsid w:val="007A02B4"/>
    <w:rsid w:val="007A469A"/>
    <w:rsid w:val="007A7A8D"/>
    <w:rsid w:val="007B176B"/>
    <w:rsid w:val="007B5453"/>
    <w:rsid w:val="007C07D1"/>
    <w:rsid w:val="007D5BC1"/>
    <w:rsid w:val="007E20A0"/>
    <w:rsid w:val="007E2EAE"/>
    <w:rsid w:val="007E309B"/>
    <w:rsid w:val="007E3BFC"/>
    <w:rsid w:val="007F172C"/>
    <w:rsid w:val="0080600C"/>
    <w:rsid w:val="008061FF"/>
    <w:rsid w:val="00807F51"/>
    <w:rsid w:val="00807FD4"/>
    <w:rsid w:val="0081367C"/>
    <w:rsid w:val="00813818"/>
    <w:rsid w:val="0082751C"/>
    <w:rsid w:val="00830D21"/>
    <w:rsid w:val="0083150B"/>
    <w:rsid w:val="00833CE3"/>
    <w:rsid w:val="00845F49"/>
    <w:rsid w:val="0084781B"/>
    <w:rsid w:val="00853791"/>
    <w:rsid w:val="00853E52"/>
    <w:rsid w:val="008601BB"/>
    <w:rsid w:val="00864513"/>
    <w:rsid w:val="00864BF5"/>
    <w:rsid w:val="00864C8A"/>
    <w:rsid w:val="00866479"/>
    <w:rsid w:val="00866E0D"/>
    <w:rsid w:val="0087033C"/>
    <w:rsid w:val="008709EB"/>
    <w:rsid w:val="008725FB"/>
    <w:rsid w:val="008743F3"/>
    <w:rsid w:val="00877948"/>
    <w:rsid w:val="008841A9"/>
    <w:rsid w:val="00892E09"/>
    <w:rsid w:val="008945DB"/>
    <w:rsid w:val="0089717B"/>
    <w:rsid w:val="008A0ADD"/>
    <w:rsid w:val="008A1DAA"/>
    <w:rsid w:val="008A20C2"/>
    <w:rsid w:val="008A4F48"/>
    <w:rsid w:val="008A5EDA"/>
    <w:rsid w:val="008A5F3E"/>
    <w:rsid w:val="008B1662"/>
    <w:rsid w:val="008B3EBC"/>
    <w:rsid w:val="008B5D49"/>
    <w:rsid w:val="008B6494"/>
    <w:rsid w:val="008C35C3"/>
    <w:rsid w:val="008C61D2"/>
    <w:rsid w:val="008C67F3"/>
    <w:rsid w:val="008C6EEF"/>
    <w:rsid w:val="008D154B"/>
    <w:rsid w:val="008D5675"/>
    <w:rsid w:val="008D74F7"/>
    <w:rsid w:val="008D7D7B"/>
    <w:rsid w:val="008E016F"/>
    <w:rsid w:val="008E082E"/>
    <w:rsid w:val="008E15FB"/>
    <w:rsid w:val="008E4583"/>
    <w:rsid w:val="008F0764"/>
    <w:rsid w:val="00901454"/>
    <w:rsid w:val="009015B4"/>
    <w:rsid w:val="00902F76"/>
    <w:rsid w:val="00903484"/>
    <w:rsid w:val="00904119"/>
    <w:rsid w:val="009046CA"/>
    <w:rsid w:val="00904BE5"/>
    <w:rsid w:val="00910146"/>
    <w:rsid w:val="0091076A"/>
    <w:rsid w:val="009112A9"/>
    <w:rsid w:val="00912565"/>
    <w:rsid w:val="00914563"/>
    <w:rsid w:val="00915605"/>
    <w:rsid w:val="00927AE1"/>
    <w:rsid w:val="009326A9"/>
    <w:rsid w:val="00935FA2"/>
    <w:rsid w:val="00936DF4"/>
    <w:rsid w:val="00940854"/>
    <w:rsid w:val="00942353"/>
    <w:rsid w:val="009444CD"/>
    <w:rsid w:val="009475AF"/>
    <w:rsid w:val="009513F0"/>
    <w:rsid w:val="009514D6"/>
    <w:rsid w:val="0095490B"/>
    <w:rsid w:val="00956B46"/>
    <w:rsid w:val="00962BBE"/>
    <w:rsid w:val="009632CF"/>
    <w:rsid w:val="00965A1B"/>
    <w:rsid w:val="00965D64"/>
    <w:rsid w:val="00972AD7"/>
    <w:rsid w:val="009743B6"/>
    <w:rsid w:val="0097556E"/>
    <w:rsid w:val="00981F0B"/>
    <w:rsid w:val="0099609F"/>
    <w:rsid w:val="00997FCE"/>
    <w:rsid w:val="009A1CD3"/>
    <w:rsid w:val="009A43DE"/>
    <w:rsid w:val="009A45A4"/>
    <w:rsid w:val="009A6A9E"/>
    <w:rsid w:val="009B122D"/>
    <w:rsid w:val="009B7767"/>
    <w:rsid w:val="009C229C"/>
    <w:rsid w:val="009C449F"/>
    <w:rsid w:val="009C44C6"/>
    <w:rsid w:val="009C4D14"/>
    <w:rsid w:val="009C605C"/>
    <w:rsid w:val="009C736F"/>
    <w:rsid w:val="009D4C3B"/>
    <w:rsid w:val="009D7FC2"/>
    <w:rsid w:val="009E0177"/>
    <w:rsid w:val="009E19E8"/>
    <w:rsid w:val="009E329A"/>
    <w:rsid w:val="009E4302"/>
    <w:rsid w:val="009E54C3"/>
    <w:rsid w:val="009E5D90"/>
    <w:rsid w:val="009E650B"/>
    <w:rsid w:val="009F1073"/>
    <w:rsid w:val="009F5CC0"/>
    <w:rsid w:val="00A00835"/>
    <w:rsid w:val="00A02F72"/>
    <w:rsid w:val="00A033A6"/>
    <w:rsid w:val="00A036F3"/>
    <w:rsid w:val="00A0527F"/>
    <w:rsid w:val="00A125B4"/>
    <w:rsid w:val="00A12772"/>
    <w:rsid w:val="00A20300"/>
    <w:rsid w:val="00A2318A"/>
    <w:rsid w:val="00A2488A"/>
    <w:rsid w:val="00A26635"/>
    <w:rsid w:val="00A3777D"/>
    <w:rsid w:val="00A40396"/>
    <w:rsid w:val="00A4289C"/>
    <w:rsid w:val="00A42C4E"/>
    <w:rsid w:val="00A46852"/>
    <w:rsid w:val="00A5237F"/>
    <w:rsid w:val="00A52BD3"/>
    <w:rsid w:val="00A5676B"/>
    <w:rsid w:val="00A60039"/>
    <w:rsid w:val="00A60DF6"/>
    <w:rsid w:val="00A6397D"/>
    <w:rsid w:val="00A67545"/>
    <w:rsid w:val="00A71B87"/>
    <w:rsid w:val="00A765D0"/>
    <w:rsid w:val="00A817DD"/>
    <w:rsid w:val="00A86B99"/>
    <w:rsid w:val="00A90C60"/>
    <w:rsid w:val="00A913F8"/>
    <w:rsid w:val="00A92F41"/>
    <w:rsid w:val="00A9594F"/>
    <w:rsid w:val="00A971F0"/>
    <w:rsid w:val="00A97A39"/>
    <w:rsid w:val="00AA0702"/>
    <w:rsid w:val="00AA07C2"/>
    <w:rsid w:val="00AA2418"/>
    <w:rsid w:val="00AA7802"/>
    <w:rsid w:val="00AB3C14"/>
    <w:rsid w:val="00AB3E5B"/>
    <w:rsid w:val="00AB6107"/>
    <w:rsid w:val="00AB7B06"/>
    <w:rsid w:val="00AC3BD5"/>
    <w:rsid w:val="00AC47F2"/>
    <w:rsid w:val="00AC771B"/>
    <w:rsid w:val="00AD3EAB"/>
    <w:rsid w:val="00AD482A"/>
    <w:rsid w:val="00AD5510"/>
    <w:rsid w:val="00AE1A0D"/>
    <w:rsid w:val="00AE3C89"/>
    <w:rsid w:val="00AE4814"/>
    <w:rsid w:val="00AE74F3"/>
    <w:rsid w:val="00AF4A51"/>
    <w:rsid w:val="00AF55B7"/>
    <w:rsid w:val="00AF6207"/>
    <w:rsid w:val="00B0039E"/>
    <w:rsid w:val="00B0182F"/>
    <w:rsid w:val="00B0592A"/>
    <w:rsid w:val="00B075C9"/>
    <w:rsid w:val="00B0799C"/>
    <w:rsid w:val="00B134B3"/>
    <w:rsid w:val="00B15422"/>
    <w:rsid w:val="00B17F0B"/>
    <w:rsid w:val="00B22A0F"/>
    <w:rsid w:val="00B30226"/>
    <w:rsid w:val="00B30E53"/>
    <w:rsid w:val="00B32015"/>
    <w:rsid w:val="00B3555D"/>
    <w:rsid w:val="00B3564C"/>
    <w:rsid w:val="00B361B4"/>
    <w:rsid w:val="00B40C53"/>
    <w:rsid w:val="00B423A9"/>
    <w:rsid w:val="00B4399E"/>
    <w:rsid w:val="00B44C80"/>
    <w:rsid w:val="00B476E0"/>
    <w:rsid w:val="00B4793A"/>
    <w:rsid w:val="00B506F6"/>
    <w:rsid w:val="00B513F2"/>
    <w:rsid w:val="00B53D7B"/>
    <w:rsid w:val="00B53DF7"/>
    <w:rsid w:val="00B5479F"/>
    <w:rsid w:val="00B54E23"/>
    <w:rsid w:val="00B550B9"/>
    <w:rsid w:val="00B57820"/>
    <w:rsid w:val="00B61650"/>
    <w:rsid w:val="00B62456"/>
    <w:rsid w:val="00B65964"/>
    <w:rsid w:val="00B70BC9"/>
    <w:rsid w:val="00B717F0"/>
    <w:rsid w:val="00B77375"/>
    <w:rsid w:val="00B81581"/>
    <w:rsid w:val="00B81B58"/>
    <w:rsid w:val="00B81ECF"/>
    <w:rsid w:val="00B84CF4"/>
    <w:rsid w:val="00B86DBB"/>
    <w:rsid w:val="00B876DF"/>
    <w:rsid w:val="00B9526D"/>
    <w:rsid w:val="00B97139"/>
    <w:rsid w:val="00B973BF"/>
    <w:rsid w:val="00BA0DDD"/>
    <w:rsid w:val="00BA12D9"/>
    <w:rsid w:val="00BA42E9"/>
    <w:rsid w:val="00BA4505"/>
    <w:rsid w:val="00BA6720"/>
    <w:rsid w:val="00BB07CE"/>
    <w:rsid w:val="00BB2921"/>
    <w:rsid w:val="00BB2CB1"/>
    <w:rsid w:val="00BB6974"/>
    <w:rsid w:val="00BB7593"/>
    <w:rsid w:val="00BB7714"/>
    <w:rsid w:val="00BB7DD1"/>
    <w:rsid w:val="00BC1167"/>
    <w:rsid w:val="00BC3AAA"/>
    <w:rsid w:val="00BC4C09"/>
    <w:rsid w:val="00BC50AF"/>
    <w:rsid w:val="00BD1426"/>
    <w:rsid w:val="00BD31AE"/>
    <w:rsid w:val="00BD5553"/>
    <w:rsid w:val="00BE05B9"/>
    <w:rsid w:val="00BE311F"/>
    <w:rsid w:val="00BE3C88"/>
    <w:rsid w:val="00BE7413"/>
    <w:rsid w:val="00BE7879"/>
    <w:rsid w:val="00BF549D"/>
    <w:rsid w:val="00C000B2"/>
    <w:rsid w:val="00C02A4B"/>
    <w:rsid w:val="00C067B5"/>
    <w:rsid w:val="00C16C62"/>
    <w:rsid w:val="00C2125D"/>
    <w:rsid w:val="00C21F7D"/>
    <w:rsid w:val="00C22A47"/>
    <w:rsid w:val="00C2388C"/>
    <w:rsid w:val="00C27A5D"/>
    <w:rsid w:val="00C40E43"/>
    <w:rsid w:val="00C42410"/>
    <w:rsid w:val="00C5042C"/>
    <w:rsid w:val="00C5181B"/>
    <w:rsid w:val="00C51983"/>
    <w:rsid w:val="00C526EF"/>
    <w:rsid w:val="00C6073A"/>
    <w:rsid w:val="00C61282"/>
    <w:rsid w:val="00C62D65"/>
    <w:rsid w:val="00C6344E"/>
    <w:rsid w:val="00C6533A"/>
    <w:rsid w:val="00C70A0F"/>
    <w:rsid w:val="00C717F3"/>
    <w:rsid w:val="00C7495D"/>
    <w:rsid w:val="00C7539C"/>
    <w:rsid w:val="00C766B2"/>
    <w:rsid w:val="00C812F8"/>
    <w:rsid w:val="00C83BFE"/>
    <w:rsid w:val="00C842F0"/>
    <w:rsid w:val="00C85DB2"/>
    <w:rsid w:val="00C8652D"/>
    <w:rsid w:val="00C87FF9"/>
    <w:rsid w:val="00C952BC"/>
    <w:rsid w:val="00CA2D86"/>
    <w:rsid w:val="00CA376E"/>
    <w:rsid w:val="00CA40A8"/>
    <w:rsid w:val="00CA4A32"/>
    <w:rsid w:val="00CA67DC"/>
    <w:rsid w:val="00CA6DAF"/>
    <w:rsid w:val="00CB4BE9"/>
    <w:rsid w:val="00CC03F9"/>
    <w:rsid w:val="00CC498F"/>
    <w:rsid w:val="00CC5CAB"/>
    <w:rsid w:val="00CD3950"/>
    <w:rsid w:val="00CD4DA8"/>
    <w:rsid w:val="00CE1078"/>
    <w:rsid w:val="00CE23DE"/>
    <w:rsid w:val="00CF1D23"/>
    <w:rsid w:val="00D05A27"/>
    <w:rsid w:val="00D1255D"/>
    <w:rsid w:val="00D13D04"/>
    <w:rsid w:val="00D13D35"/>
    <w:rsid w:val="00D14FBB"/>
    <w:rsid w:val="00D15E59"/>
    <w:rsid w:val="00D16363"/>
    <w:rsid w:val="00D16464"/>
    <w:rsid w:val="00D16E45"/>
    <w:rsid w:val="00D208FC"/>
    <w:rsid w:val="00D20E92"/>
    <w:rsid w:val="00D22974"/>
    <w:rsid w:val="00D250FE"/>
    <w:rsid w:val="00D30069"/>
    <w:rsid w:val="00D3348B"/>
    <w:rsid w:val="00D33D24"/>
    <w:rsid w:val="00D3487B"/>
    <w:rsid w:val="00D366B3"/>
    <w:rsid w:val="00D435BA"/>
    <w:rsid w:val="00D44AA4"/>
    <w:rsid w:val="00D4529D"/>
    <w:rsid w:val="00D5308B"/>
    <w:rsid w:val="00D557CC"/>
    <w:rsid w:val="00D56368"/>
    <w:rsid w:val="00D579F2"/>
    <w:rsid w:val="00D62A92"/>
    <w:rsid w:val="00D64975"/>
    <w:rsid w:val="00D65AD9"/>
    <w:rsid w:val="00D65DDA"/>
    <w:rsid w:val="00D66649"/>
    <w:rsid w:val="00D750C3"/>
    <w:rsid w:val="00D76058"/>
    <w:rsid w:val="00D7630E"/>
    <w:rsid w:val="00D83A56"/>
    <w:rsid w:val="00D909A7"/>
    <w:rsid w:val="00D96ECB"/>
    <w:rsid w:val="00DA1D11"/>
    <w:rsid w:val="00DA3ADD"/>
    <w:rsid w:val="00DB021F"/>
    <w:rsid w:val="00DB0E96"/>
    <w:rsid w:val="00DB1D77"/>
    <w:rsid w:val="00DB3727"/>
    <w:rsid w:val="00DB5E29"/>
    <w:rsid w:val="00DC3997"/>
    <w:rsid w:val="00DC702E"/>
    <w:rsid w:val="00DD06F0"/>
    <w:rsid w:val="00DD518A"/>
    <w:rsid w:val="00DD55C3"/>
    <w:rsid w:val="00DE12B2"/>
    <w:rsid w:val="00DF0208"/>
    <w:rsid w:val="00DF23DA"/>
    <w:rsid w:val="00DF462B"/>
    <w:rsid w:val="00DF62C0"/>
    <w:rsid w:val="00DF696E"/>
    <w:rsid w:val="00E022D6"/>
    <w:rsid w:val="00E073F7"/>
    <w:rsid w:val="00E07B75"/>
    <w:rsid w:val="00E107E1"/>
    <w:rsid w:val="00E16162"/>
    <w:rsid w:val="00E2143F"/>
    <w:rsid w:val="00E23E2E"/>
    <w:rsid w:val="00E25035"/>
    <w:rsid w:val="00E27A97"/>
    <w:rsid w:val="00E31651"/>
    <w:rsid w:val="00E33BFB"/>
    <w:rsid w:val="00E37EB7"/>
    <w:rsid w:val="00E51776"/>
    <w:rsid w:val="00E52D03"/>
    <w:rsid w:val="00E601B4"/>
    <w:rsid w:val="00E606F0"/>
    <w:rsid w:val="00E63BAF"/>
    <w:rsid w:val="00E63F9F"/>
    <w:rsid w:val="00E66A09"/>
    <w:rsid w:val="00E67465"/>
    <w:rsid w:val="00E721C5"/>
    <w:rsid w:val="00E75888"/>
    <w:rsid w:val="00E8014B"/>
    <w:rsid w:val="00E821FE"/>
    <w:rsid w:val="00E8232B"/>
    <w:rsid w:val="00E85EC6"/>
    <w:rsid w:val="00E86C5A"/>
    <w:rsid w:val="00E876C2"/>
    <w:rsid w:val="00E907A5"/>
    <w:rsid w:val="00E93777"/>
    <w:rsid w:val="00EA0686"/>
    <w:rsid w:val="00EA58CE"/>
    <w:rsid w:val="00EB2EAB"/>
    <w:rsid w:val="00EB3E88"/>
    <w:rsid w:val="00EB49DF"/>
    <w:rsid w:val="00EB5173"/>
    <w:rsid w:val="00EB555A"/>
    <w:rsid w:val="00EC132A"/>
    <w:rsid w:val="00EC2B6F"/>
    <w:rsid w:val="00EC4BEE"/>
    <w:rsid w:val="00EC6175"/>
    <w:rsid w:val="00ED1821"/>
    <w:rsid w:val="00ED41FC"/>
    <w:rsid w:val="00EE2018"/>
    <w:rsid w:val="00EE3E27"/>
    <w:rsid w:val="00EE408D"/>
    <w:rsid w:val="00EE6419"/>
    <w:rsid w:val="00EF1CEE"/>
    <w:rsid w:val="00EF27DD"/>
    <w:rsid w:val="00EF3D94"/>
    <w:rsid w:val="00F01C24"/>
    <w:rsid w:val="00F01F54"/>
    <w:rsid w:val="00F1031A"/>
    <w:rsid w:val="00F10A65"/>
    <w:rsid w:val="00F12157"/>
    <w:rsid w:val="00F13A5C"/>
    <w:rsid w:val="00F16372"/>
    <w:rsid w:val="00F17AA9"/>
    <w:rsid w:val="00F2319B"/>
    <w:rsid w:val="00F272F9"/>
    <w:rsid w:val="00F34258"/>
    <w:rsid w:val="00F35A42"/>
    <w:rsid w:val="00F36508"/>
    <w:rsid w:val="00F44AC5"/>
    <w:rsid w:val="00F45162"/>
    <w:rsid w:val="00F4524C"/>
    <w:rsid w:val="00F46421"/>
    <w:rsid w:val="00F46D19"/>
    <w:rsid w:val="00F47838"/>
    <w:rsid w:val="00F47E8E"/>
    <w:rsid w:val="00F54550"/>
    <w:rsid w:val="00F5565E"/>
    <w:rsid w:val="00F60825"/>
    <w:rsid w:val="00F6120F"/>
    <w:rsid w:val="00F61799"/>
    <w:rsid w:val="00F61DB7"/>
    <w:rsid w:val="00F63C74"/>
    <w:rsid w:val="00F6502C"/>
    <w:rsid w:val="00F70167"/>
    <w:rsid w:val="00F81280"/>
    <w:rsid w:val="00F822CE"/>
    <w:rsid w:val="00F84134"/>
    <w:rsid w:val="00F87FB8"/>
    <w:rsid w:val="00F92FC6"/>
    <w:rsid w:val="00F95677"/>
    <w:rsid w:val="00FA2061"/>
    <w:rsid w:val="00FA63F5"/>
    <w:rsid w:val="00FB04EE"/>
    <w:rsid w:val="00FB1101"/>
    <w:rsid w:val="00FB11D9"/>
    <w:rsid w:val="00FB33CD"/>
    <w:rsid w:val="00FB7B53"/>
    <w:rsid w:val="00FC1773"/>
    <w:rsid w:val="00FC40F3"/>
    <w:rsid w:val="00FC5904"/>
    <w:rsid w:val="00FC6840"/>
    <w:rsid w:val="00FD2513"/>
    <w:rsid w:val="00FE5B9F"/>
    <w:rsid w:val="00FE77E7"/>
    <w:rsid w:val="00FF00B7"/>
    <w:rsid w:val="00FF4116"/>
    <w:rsid w:val="00FF6CEC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98968"/>
  <w15:docId w15:val="{3D891C18-5A86-4FA5-A0EB-5029F77C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E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65F09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5822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91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833F0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72DA"/>
    <w:rPr>
      <w:rFonts w:asciiTheme="majorHAnsi" w:eastAsiaTheme="majorEastAsia" w:hAnsiTheme="majorHAnsi" w:cstheme="majorBidi"/>
      <w:b/>
      <w:bCs/>
      <w:color w:val="F58220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2DA"/>
    <w:pPr>
      <w:numPr>
        <w:ilvl w:val="1"/>
      </w:numPr>
    </w:pPr>
    <w:rPr>
      <w:rFonts w:asciiTheme="majorHAnsi" w:eastAsiaTheme="majorEastAsia" w:hAnsiTheme="majorHAnsi" w:cstheme="majorBidi"/>
      <w:i/>
      <w:iCs/>
      <w:color w:val="F5822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72DA"/>
    <w:rPr>
      <w:rFonts w:asciiTheme="majorHAnsi" w:eastAsiaTheme="majorEastAsia" w:hAnsiTheme="majorHAnsi" w:cstheme="majorBidi"/>
      <w:i/>
      <w:iCs/>
      <w:color w:val="F58220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5E71"/>
    <w:rPr>
      <w:rFonts w:asciiTheme="majorHAnsi" w:eastAsiaTheme="majorEastAsia" w:hAnsiTheme="majorHAnsi" w:cstheme="majorBidi"/>
      <w:b/>
      <w:bCs/>
      <w:color w:val="C65F09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41B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1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B79"/>
    <w:rPr>
      <w:b/>
      <w:bCs/>
      <w:sz w:val="20"/>
      <w:szCs w:val="20"/>
    </w:rPr>
  </w:style>
  <w:style w:type="paragraph" w:styleId="NoSpacing">
    <w:name w:val="No Spacing"/>
    <w:uiPriority w:val="1"/>
    <w:qFormat/>
    <w:rsid w:val="009F10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94911"/>
    <w:rPr>
      <w:rFonts w:asciiTheme="majorHAnsi" w:eastAsiaTheme="majorEastAsia" w:hAnsiTheme="majorHAnsi" w:cstheme="majorBidi"/>
      <w:color w:val="833F06" w:themeColor="accent1" w:themeShade="7F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5465FD"/>
  </w:style>
  <w:style w:type="paragraph" w:styleId="NormalWeb">
    <w:name w:val="Normal (Web)"/>
    <w:basedOn w:val="Normal"/>
    <w:uiPriority w:val="99"/>
    <w:unhideWhenUsed/>
    <w:rsid w:val="00B9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6E5960"/>
    <w:rPr>
      <w:i/>
      <w:iCs/>
    </w:rPr>
  </w:style>
  <w:style w:type="character" w:styleId="Strong">
    <w:name w:val="Strong"/>
    <w:basedOn w:val="DefaultParagraphFont"/>
    <w:uiPriority w:val="22"/>
    <w:qFormat/>
    <w:rsid w:val="006E5960"/>
    <w:rPr>
      <w:b/>
      <w:bCs/>
    </w:rPr>
  </w:style>
  <w:style w:type="paragraph" w:styleId="Revision">
    <w:name w:val="Revision"/>
    <w:hidden/>
    <w:uiPriority w:val="99"/>
    <w:semiHidden/>
    <w:rsid w:val="00F45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1CE5.16B0977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81CE5.89F590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ankservAfrica_Excel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58220"/>
      </a:accent1>
      <a:accent2>
        <a:srgbClr val="FAA620"/>
      </a:accent2>
      <a:accent3>
        <a:srgbClr val="BFD730"/>
      </a:accent3>
      <a:accent4>
        <a:srgbClr val="E1E31C"/>
      </a:accent4>
      <a:accent5>
        <a:srgbClr val="808080"/>
      </a:accent5>
      <a:accent6>
        <a:srgbClr val="624C41"/>
      </a:accent6>
      <a:hlink>
        <a:srgbClr val="F58220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46706-545A-4951-A69D-3B64EAFD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Schussler</dc:creator>
  <cp:lastModifiedBy>Leigh-Anne Sa Joe</cp:lastModifiedBy>
  <cp:revision>2</cp:revision>
  <cp:lastPrinted>2020-08-11T05:50:00Z</cp:lastPrinted>
  <dcterms:created xsi:type="dcterms:W3CDTF">2022-02-09T06:38:00Z</dcterms:created>
  <dcterms:modified xsi:type="dcterms:W3CDTF">2022-02-09T06:38:00Z</dcterms:modified>
</cp:coreProperties>
</file>