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0CECDE" w14:textId="720204E4" w:rsidR="00E81B17" w:rsidRDefault="00D87DB9"/>
    <w:p w14:paraId="52829BBC" w14:textId="779D4D57" w:rsidR="00692FC7" w:rsidRDefault="00692FC7"/>
    <w:p w14:paraId="567276C6" w14:textId="700F4A7C" w:rsidR="00692FC7" w:rsidRDefault="00692FC7">
      <w:pPr>
        <w:rPr>
          <w:rFonts w:ascii="Arial" w:hAnsi="Arial" w:cs="Arial"/>
          <w:b/>
          <w:bCs/>
        </w:rPr>
      </w:pPr>
      <w:r w:rsidRPr="008556A1">
        <w:rPr>
          <w:rFonts w:ascii="Arial" w:hAnsi="Arial" w:cs="Arial"/>
          <w:b/>
          <w:bCs/>
        </w:rPr>
        <w:t>Annexure A</w:t>
      </w:r>
      <w:r>
        <w:rPr>
          <w:rFonts w:ascii="Arial" w:hAnsi="Arial" w:cs="Arial"/>
          <w:b/>
          <w:bCs/>
        </w:rPr>
        <w:t xml:space="preserve">: Brief explanations regarding the </w:t>
      </w:r>
      <w:r w:rsidRPr="001B23B4">
        <w:rPr>
          <w:rFonts w:ascii="Arial" w:hAnsi="Arial" w:cs="Arial"/>
          <w:b/>
          <w:bCs/>
        </w:rPr>
        <w:t>statements, promises or forecasts</w:t>
      </w:r>
      <w:r>
        <w:rPr>
          <w:rFonts w:ascii="Arial" w:hAnsi="Arial" w:cs="Arial"/>
          <w:b/>
          <w:bCs/>
        </w:rPr>
        <w:t xml:space="preserve"> </w:t>
      </w:r>
      <w:r w:rsidR="00AA000C">
        <w:rPr>
          <w:rFonts w:ascii="Arial" w:hAnsi="Arial" w:cs="Arial"/>
          <w:b/>
          <w:bCs/>
        </w:rPr>
        <w:t>that</w:t>
      </w:r>
      <w:r>
        <w:rPr>
          <w:rFonts w:ascii="Arial" w:hAnsi="Arial" w:cs="Arial"/>
          <w:b/>
          <w:bCs/>
        </w:rPr>
        <w:t xml:space="preserve"> Viceroy </w:t>
      </w:r>
      <w:r w:rsidR="00AA000C">
        <w:rPr>
          <w:rFonts w:ascii="Arial" w:hAnsi="Arial" w:cs="Arial"/>
          <w:b/>
          <w:bCs/>
        </w:rPr>
        <w:t>published</w:t>
      </w:r>
    </w:p>
    <w:p w14:paraId="36DE1124" w14:textId="004464F4" w:rsidR="00692FC7" w:rsidRDefault="00692FC7">
      <w:pPr>
        <w:rPr>
          <w:rFonts w:ascii="Arial" w:hAnsi="Arial" w:cs="Arial"/>
          <w:b/>
          <w:bCs/>
        </w:rPr>
      </w:pPr>
    </w:p>
    <w:p w14:paraId="5AE1A275" w14:textId="1D2236BA" w:rsidR="00692FC7" w:rsidRDefault="00692FC7">
      <w:pPr>
        <w:rPr>
          <w:rFonts w:ascii="Arial" w:hAnsi="Arial" w:cs="Arial"/>
          <w:b/>
          <w:bCs/>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8211"/>
      </w:tblGrid>
      <w:tr w:rsidR="00692FC7" w:rsidRPr="003D6ADB" w14:paraId="376D73DB" w14:textId="77777777" w:rsidTr="000C5CCF">
        <w:tc>
          <w:tcPr>
            <w:tcW w:w="339" w:type="dxa"/>
            <w:shd w:val="clear" w:color="auto" w:fill="auto"/>
          </w:tcPr>
          <w:p w14:paraId="6D71C756" w14:textId="7D7E5D62" w:rsidR="00692FC7" w:rsidRDefault="00692FC7" w:rsidP="000C5CCF">
            <w:pPr>
              <w:contextualSpacing/>
              <w:rPr>
                <w:rFonts w:ascii="Arial" w:eastAsia="Calibri" w:hAnsi="Arial" w:cs="Arial"/>
              </w:rPr>
            </w:pPr>
            <w:r>
              <w:rPr>
                <w:rFonts w:ascii="Arial" w:eastAsia="Calibri" w:hAnsi="Arial" w:cs="Arial"/>
              </w:rPr>
              <w:t>1</w:t>
            </w:r>
            <w:r w:rsidR="00D87DB9">
              <w:rPr>
                <w:rFonts w:ascii="Arial" w:eastAsia="Calibri" w:hAnsi="Arial" w:cs="Arial"/>
              </w:rPr>
              <w:t>.</w:t>
            </w:r>
          </w:p>
          <w:p w14:paraId="40F9151E" w14:textId="77777777" w:rsidR="00692FC7" w:rsidRPr="003D6ADB" w:rsidRDefault="00692FC7" w:rsidP="000C5CCF">
            <w:pPr>
              <w:contextualSpacing/>
              <w:rPr>
                <w:rFonts w:ascii="Arial" w:eastAsia="Calibri" w:hAnsi="Arial" w:cs="Arial"/>
              </w:rPr>
            </w:pPr>
          </w:p>
        </w:tc>
        <w:tc>
          <w:tcPr>
            <w:tcW w:w="8211" w:type="dxa"/>
            <w:shd w:val="clear" w:color="auto" w:fill="auto"/>
          </w:tcPr>
          <w:p w14:paraId="2EAC08E0" w14:textId="77777777" w:rsidR="00692FC7" w:rsidRPr="008556A1" w:rsidRDefault="00692FC7" w:rsidP="000C5CCF">
            <w:pPr>
              <w:contextualSpacing/>
              <w:rPr>
                <w:rFonts w:ascii="Arial" w:eastAsia="Calibri" w:hAnsi="Arial" w:cs="Arial"/>
                <w:b/>
                <w:bCs/>
              </w:rPr>
            </w:pPr>
            <w:r>
              <w:rPr>
                <w:rFonts w:ascii="Arial" w:eastAsia="Calibri" w:hAnsi="Arial" w:cs="Arial"/>
                <w:b/>
                <w:bCs/>
              </w:rPr>
              <w:t>S</w:t>
            </w:r>
            <w:r w:rsidRPr="008556A1">
              <w:rPr>
                <w:rFonts w:ascii="Arial" w:eastAsia="Calibri" w:hAnsi="Arial" w:cs="Arial"/>
                <w:b/>
                <w:bCs/>
                <w:color w:val="000000"/>
              </w:rPr>
              <w:t>tatement</w:t>
            </w:r>
            <w:r>
              <w:rPr>
                <w:rFonts w:ascii="Arial" w:eastAsia="Calibri" w:hAnsi="Arial" w:cs="Arial"/>
                <w:b/>
                <w:bCs/>
                <w:color w:val="000000"/>
              </w:rPr>
              <w:t>, promise or forecast</w:t>
            </w:r>
            <w:r w:rsidRPr="008556A1">
              <w:rPr>
                <w:rFonts w:ascii="Arial" w:eastAsia="Calibri" w:hAnsi="Arial" w:cs="Arial"/>
                <w:b/>
                <w:bCs/>
                <w:color w:val="000000"/>
              </w:rPr>
              <w:t xml:space="preserve"> </w:t>
            </w:r>
            <w:r w:rsidRPr="008556A1">
              <w:rPr>
                <w:rFonts w:ascii="Arial" w:eastAsia="Calibri" w:hAnsi="Arial" w:cs="Arial"/>
                <w:b/>
                <w:bCs/>
              </w:rPr>
              <w:t>that Capitec had to write-off more than 42% of the gross collectable principal debt due to it in FY2017</w:t>
            </w:r>
            <w:r>
              <w:rPr>
                <w:rFonts w:ascii="Arial" w:eastAsia="Calibri" w:hAnsi="Arial" w:cs="Arial"/>
                <w:b/>
                <w:bCs/>
              </w:rPr>
              <w:t>.</w:t>
            </w:r>
          </w:p>
          <w:p w14:paraId="18DD3F36" w14:textId="77777777" w:rsidR="00692FC7" w:rsidRDefault="00692FC7" w:rsidP="000C5CCF">
            <w:pPr>
              <w:pStyle w:val="Default"/>
            </w:pPr>
          </w:p>
          <w:p w14:paraId="7ACEB92E" w14:textId="6C98511A" w:rsidR="00692FC7" w:rsidRPr="003B0684" w:rsidRDefault="00692FC7" w:rsidP="00F3789E">
            <w:pPr>
              <w:pStyle w:val="Default"/>
              <w:rPr>
                <w:sz w:val="20"/>
                <w:szCs w:val="20"/>
              </w:rPr>
            </w:pPr>
            <w:r w:rsidRPr="003B0684">
              <w:rPr>
                <w:sz w:val="20"/>
                <w:szCs w:val="20"/>
              </w:rPr>
              <w:t xml:space="preserve">Viceroy </w:t>
            </w:r>
            <w:r w:rsidR="009428DD">
              <w:rPr>
                <w:sz w:val="20"/>
                <w:szCs w:val="20"/>
              </w:rPr>
              <w:t xml:space="preserve">incorrectly </w:t>
            </w:r>
            <w:r w:rsidRPr="003B0684">
              <w:rPr>
                <w:sz w:val="20"/>
                <w:szCs w:val="20"/>
              </w:rPr>
              <w:t xml:space="preserve">applied Capitec’s entire end of year reported written-off number (which is </w:t>
            </w:r>
            <w:r w:rsidRPr="003B0684">
              <w:rPr>
                <w:i/>
                <w:iCs/>
                <w:sz w:val="20"/>
                <w:szCs w:val="20"/>
              </w:rPr>
              <w:t xml:space="preserve">inter alia </w:t>
            </w:r>
            <w:r w:rsidRPr="003B0684">
              <w:rPr>
                <w:sz w:val="20"/>
                <w:szCs w:val="20"/>
              </w:rPr>
              <w:t xml:space="preserve">applicable to the principal repayments on loans of all maturities and issuances that fell due during the year, the fees charged thereon, as well as interest raised thereon) </w:t>
            </w:r>
            <w:r w:rsidR="00870592">
              <w:rPr>
                <w:sz w:val="20"/>
                <w:szCs w:val="20"/>
              </w:rPr>
              <w:t xml:space="preserve">as numerator </w:t>
            </w:r>
            <w:r w:rsidRPr="003B0684">
              <w:rPr>
                <w:sz w:val="20"/>
                <w:szCs w:val="20"/>
              </w:rPr>
              <w:t>to only the beginning of year principal loan balances</w:t>
            </w:r>
            <w:r w:rsidR="00870592">
              <w:rPr>
                <w:sz w:val="20"/>
                <w:szCs w:val="20"/>
              </w:rPr>
              <w:t xml:space="preserve"> as denominator</w:t>
            </w:r>
            <w:r w:rsidRPr="003B0684">
              <w:rPr>
                <w:sz w:val="20"/>
                <w:szCs w:val="20"/>
              </w:rPr>
              <w:t xml:space="preserve">, and then claimed that Capitec wrote off more than 42% of </w:t>
            </w:r>
            <w:r w:rsidR="00870592">
              <w:rPr>
                <w:sz w:val="20"/>
                <w:szCs w:val="20"/>
              </w:rPr>
              <w:t>the</w:t>
            </w:r>
            <w:r w:rsidRPr="003B0684">
              <w:rPr>
                <w:sz w:val="20"/>
                <w:szCs w:val="20"/>
              </w:rPr>
              <w:t xml:space="preserve"> gross collectable principal due to it during FY2017.</w:t>
            </w:r>
          </w:p>
          <w:p w14:paraId="67A30D40" w14:textId="77777777" w:rsidR="00692FC7" w:rsidRPr="003B0684" w:rsidRDefault="00692FC7" w:rsidP="00F3789E">
            <w:pPr>
              <w:pStyle w:val="Default"/>
              <w:rPr>
                <w:sz w:val="20"/>
                <w:szCs w:val="20"/>
              </w:rPr>
            </w:pPr>
          </w:p>
          <w:p w14:paraId="518005DB" w14:textId="77777777" w:rsidR="00692FC7" w:rsidRPr="003D6ADB" w:rsidRDefault="00692FC7" w:rsidP="00115864">
            <w:pPr>
              <w:pStyle w:val="ListParagraph"/>
              <w:numPr>
                <w:ilvl w:val="0"/>
                <w:numId w:val="4"/>
              </w:numPr>
              <w:spacing w:after="0" w:line="240" w:lineRule="auto"/>
              <w:ind w:left="690"/>
              <w:rPr>
                <w:rFonts w:ascii="Arial" w:eastAsia="Calibri" w:hAnsi="Arial" w:cs="Arial"/>
                <w:sz w:val="20"/>
                <w:szCs w:val="20"/>
              </w:rPr>
            </w:pPr>
          </w:p>
        </w:tc>
      </w:tr>
      <w:tr w:rsidR="00692FC7" w:rsidRPr="003D6ADB" w14:paraId="77EAFEF9" w14:textId="77777777" w:rsidTr="000C5CCF">
        <w:tc>
          <w:tcPr>
            <w:tcW w:w="339" w:type="dxa"/>
            <w:shd w:val="clear" w:color="auto" w:fill="auto"/>
          </w:tcPr>
          <w:p w14:paraId="7D027577" w14:textId="73D17A60" w:rsidR="00692FC7" w:rsidRPr="003D6ADB" w:rsidRDefault="00692FC7" w:rsidP="000C5CCF">
            <w:pPr>
              <w:contextualSpacing/>
              <w:rPr>
                <w:rFonts w:ascii="Arial" w:eastAsia="Calibri" w:hAnsi="Arial" w:cs="Arial"/>
              </w:rPr>
            </w:pPr>
            <w:r w:rsidRPr="003D6ADB">
              <w:rPr>
                <w:rFonts w:ascii="Arial" w:eastAsia="Calibri" w:hAnsi="Arial" w:cs="Arial"/>
              </w:rPr>
              <w:t>2</w:t>
            </w:r>
            <w:r w:rsidR="00D87DB9">
              <w:rPr>
                <w:rFonts w:ascii="Arial" w:eastAsia="Calibri" w:hAnsi="Arial" w:cs="Arial"/>
              </w:rPr>
              <w:t>.</w:t>
            </w:r>
          </w:p>
        </w:tc>
        <w:tc>
          <w:tcPr>
            <w:tcW w:w="8211" w:type="dxa"/>
            <w:shd w:val="clear" w:color="auto" w:fill="auto"/>
          </w:tcPr>
          <w:p w14:paraId="62615F6C" w14:textId="79B12C0D" w:rsidR="00692FC7" w:rsidRPr="008556A1" w:rsidRDefault="00692FC7" w:rsidP="00743EC7">
            <w:pPr>
              <w:contextualSpacing/>
              <w:rPr>
                <w:rFonts w:ascii="Arial" w:eastAsia="Calibri" w:hAnsi="Arial" w:cs="Arial"/>
                <w:b/>
                <w:bCs/>
              </w:rPr>
            </w:pPr>
            <w:r>
              <w:rPr>
                <w:rFonts w:ascii="Arial" w:eastAsia="Calibri" w:hAnsi="Arial" w:cs="Arial"/>
                <w:b/>
                <w:bCs/>
              </w:rPr>
              <w:t>S</w:t>
            </w:r>
            <w:r w:rsidRPr="008556A1">
              <w:rPr>
                <w:rFonts w:ascii="Arial" w:eastAsia="Calibri" w:hAnsi="Arial" w:cs="Arial"/>
                <w:b/>
                <w:bCs/>
                <w:color w:val="000000"/>
              </w:rPr>
              <w:t>tatement</w:t>
            </w:r>
            <w:r>
              <w:rPr>
                <w:rFonts w:ascii="Arial" w:eastAsia="Calibri" w:hAnsi="Arial" w:cs="Arial"/>
                <w:b/>
                <w:bCs/>
                <w:color w:val="000000"/>
              </w:rPr>
              <w:t>, promise or forecast</w:t>
            </w:r>
            <w:r w:rsidRPr="008556A1">
              <w:rPr>
                <w:rFonts w:ascii="Arial" w:eastAsia="Calibri" w:hAnsi="Arial" w:cs="Arial"/>
                <w:b/>
                <w:bCs/>
                <w:color w:val="000000"/>
              </w:rPr>
              <w:t xml:space="preserve"> that </w:t>
            </w:r>
            <w:r w:rsidRPr="008556A1">
              <w:rPr>
                <w:rFonts w:ascii="Arial" w:eastAsia="Calibri" w:hAnsi="Arial" w:cs="Arial"/>
                <w:b/>
                <w:bCs/>
              </w:rPr>
              <w:t xml:space="preserve">Capitec had a pervasive practice of rescheduling the loans of its delinquent clients through the issuance of new loans to </w:t>
            </w:r>
            <w:r w:rsidR="009644C0">
              <w:rPr>
                <w:rFonts w:ascii="Arial" w:eastAsia="Calibri" w:hAnsi="Arial" w:cs="Arial"/>
                <w:b/>
                <w:bCs/>
              </w:rPr>
              <w:t>such</w:t>
            </w:r>
            <w:r w:rsidRPr="008556A1">
              <w:rPr>
                <w:rFonts w:ascii="Arial" w:eastAsia="Calibri" w:hAnsi="Arial" w:cs="Arial"/>
                <w:b/>
                <w:bCs/>
              </w:rPr>
              <w:t xml:space="preserve"> clients</w:t>
            </w:r>
            <w:r>
              <w:rPr>
                <w:rFonts w:ascii="Arial" w:eastAsia="Calibri" w:hAnsi="Arial" w:cs="Arial"/>
                <w:b/>
                <w:bCs/>
              </w:rPr>
              <w:t>.</w:t>
            </w:r>
          </w:p>
          <w:p w14:paraId="4C96A28D" w14:textId="77777777" w:rsidR="00692FC7" w:rsidRDefault="00692FC7" w:rsidP="00743EC7">
            <w:pPr>
              <w:pStyle w:val="Default"/>
            </w:pPr>
          </w:p>
          <w:p w14:paraId="27A3CCCE" w14:textId="51D2F8C0" w:rsidR="00692FC7" w:rsidRPr="003B0684" w:rsidRDefault="002638B9" w:rsidP="00743EC7">
            <w:pPr>
              <w:pStyle w:val="Default"/>
              <w:rPr>
                <w:sz w:val="20"/>
                <w:szCs w:val="20"/>
              </w:rPr>
            </w:pPr>
            <w:r>
              <w:rPr>
                <w:sz w:val="20"/>
                <w:szCs w:val="20"/>
              </w:rPr>
              <w:t>T</w:t>
            </w:r>
            <w:r w:rsidR="00743EC7">
              <w:rPr>
                <w:sz w:val="20"/>
                <w:szCs w:val="20"/>
              </w:rPr>
              <w:t xml:space="preserve">he FSCA found </w:t>
            </w:r>
            <w:r w:rsidR="00692FC7" w:rsidRPr="003B0684">
              <w:rPr>
                <w:sz w:val="20"/>
                <w:szCs w:val="20"/>
              </w:rPr>
              <w:t>that:</w:t>
            </w:r>
          </w:p>
          <w:p w14:paraId="51F4B1E8" w14:textId="77777777" w:rsidR="00692FC7" w:rsidRPr="003B0684" w:rsidRDefault="00692FC7" w:rsidP="00743EC7">
            <w:pPr>
              <w:pStyle w:val="Default"/>
              <w:numPr>
                <w:ilvl w:val="0"/>
                <w:numId w:val="22"/>
              </w:numPr>
              <w:rPr>
                <w:sz w:val="20"/>
                <w:szCs w:val="20"/>
              </w:rPr>
            </w:pPr>
            <w:r w:rsidRPr="003B0684">
              <w:rPr>
                <w:sz w:val="20"/>
                <w:szCs w:val="20"/>
              </w:rPr>
              <w:t xml:space="preserve">The pleadings that Viceroy relied on did not contain allegations that the clients were delinquent when obtaining new loans from Capitec. </w:t>
            </w:r>
          </w:p>
          <w:p w14:paraId="485277EE" w14:textId="77777777" w:rsidR="009644C0" w:rsidRDefault="00692FC7" w:rsidP="00743EC7">
            <w:pPr>
              <w:pStyle w:val="Default"/>
              <w:numPr>
                <w:ilvl w:val="0"/>
                <w:numId w:val="22"/>
              </w:numPr>
              <w:spacing w:after="148"/>
              <w:rPr>
                <w:sz w:val="20"/>
                <w:szCs w:val="20"/>
              </w:rPr>
            </w:pPr>
            <w:r w:rsidRPr="003B0684">
              <w:rPr>
                <w:sz w:val="20"/>
                <w:szCs w:val="20"/>
              </w:rPr>
              <w:t xml:space="preserve">Viceroy had not spoken to “legal experts” </w:t>
            </w:r>
            <w:r w:rsidR="009644C0">
              <w:rPr>
                <w:sz w:val="20"/>
                <w:szCs w:val="20"/>
              </w:rPr>
              <w:t>to</w:t>
            </w:r>
            <w:r w:rsidRPr="003B0684">
              <w:rPr>
                <w:sz w:val="20"/>
                <w:szCs w:val="20"/>
              </w:rPr>
              <w:t xml:space="preserve"> confirm</w:t>
            </w:r>
            <w:r w:rsidR="009644C0">
              <w:rPr>
                <w:sz w:val="20"/>
                <w:szCs w:val="20"/>
              </w:rPr>
              <w:t xml:space="preserve"> that</w:t>
            </w:r>
            <w:r w:rsidRPr="003B0684">
              <w:rPr>
                <w:sz w:val="20"/>
                <w:szCs w:val="20"/>
              </w:rPr>
              <w:t xml:space="preserve"> the cases represent pervasive conduct as claimed, nor about the merits of the cases. </w:t>
            </w:r>
          </w:p>
          <w:p w14:paraId="055B292A" w14:textId="381BAE0B" w:rsidR="009644C0" w:rsidRDefault="009644C0" w:rsidP="00743EC7">
            <w:pPr>
              <w:pStyle w:val="Default"/>
              <w:numPr>
                <w:ilvl w:val="0"/>
                <w:numId w:val="22"/>
              </w:numPr>
              <w:rPr>
                <w:sz w:val="20"/>
                <w:szCs w:val="20"/>
              </w:rPr>
            </w:pPr>
            <w:r>
              <w:rPr>
                <w:sz w:val="20"/>
                <w:szCs w:val="20"/>
              </w:rPr>
              <w:t xml:space="preserve">Even if the pleadings in four cases evidenced what Viceroy stated, that number of </w:t>
            </w:r>
            <w:r w:rsidRPr="009644C0">
              <w:rPr>
                <w:sz w:val="20"/>
                <w:szCs w:val="20"/>
              </w:rPr>
              <w:t xml:space="preserve"> cases </w:t>
            </w:r>
            <w:r>
              <w:rPr>
                <w:sz w:val="20"/>
                <w:szCs w:val="20"/>
              </w:rPr>
              <w:t xml:space="preserve">during </w:t>
            </w:r>
            <w:r w:rsidRPr="009644C0">
              <w:rPr>
                <w:sz w:val="20"/>
                <w:szCs w:val="20"/>
              </w:rPr>
              <w:t xml:space="preserve">an 11-year period cannot be said to be statistically significant to draw a conclusion </w:t>
            </w:r>
            <w:r>
              <w:rPr>
                <w:sz w:val="20"/>
                <w:szCs w:val="20"/>
              </w:rPr>
              <w:t xml:space="preserve">of </w:t>
            </w:r>
            <w:r w:rsidRPr="009644C0">
              <w:rPr>
                <w:sz w:val="20"/>
                <w:szCs w:val="20"/>
              </w:rPr>
              <w:t>widespread conduct for a lender with more than 8 million clients and which had issued 3.5 million loans during FY2017.</w:t>
            </w:r>
          </w:p>
          <w:p w14:paraId="1E865471" w14:textId="22B46E83" w:rsidR="00692FC7" w:rsidRPr="009644C0" w:rsidRDefault="00692FC7" w:rsidP="00F3789E">
            <w:pPr>
              <w:pStyle w:val="Default"/>
              <w:numPr>
                <w:ilvl w:val="0"/>
                <w:numId w:val="22"/>
              </w:numPr>
              <w:rPr>
                <w:sz w:val="20"/>
                <w:szCs w:val="20"/>
              </w:rPr>
            </w:pPr>
            <w:r w:rsidRPr="009644C0">
              <w:rPr>
                <w:sz w:val="20"/>
                <w:szCs w:val="20"/>
              </w:rPr>
              <w:t xml:space="preserve">Viceroy did not </w:t>
            </w:r>
            <w:r w:rsidR="00743EC7">
              <w:rPr>
                <w:sz w:val="20"/>
                <w:szCs w:val="20"/>
              </w:rPr>
              <w:t>obtain</w:t>
            </w:r>
            <w:r w:rsidRPr="009644C0">
              <w:rPr>
                <w:sz w:val="20"/>
                <w:szCs w:val="20"/>
              </w:rPr>
              <w:t xml:space="preserve"> consumer datasets of “</w:t>
            </w:r>
            <w:r w:rsidRPr="009644C0">
              <w:rPr>
                <w:i/>
                <w:iCs/>
                <w:sz w:val="20"/>
                <w:szCs w:val="20"/>
              </w:rPr>
              <w:t>Tens of thousands of Capitec borrowers</w:t>
            </w:r>
            <w:r w:rsidRPr="009644C0">
              <w:rPr>
                <w:sz w:val="20"/>
                <w:szCs w:val="20"/>
              </w:rPr>
              <w:t>”</w:t>
            </w:r>
            <w:r w:rsidR="00743EC7">
              <w:rPr>
                <w:sz w:val="20"/>
                <w:szCs w:val="20"/>
              </w:rPr>
              <w:t xml:space="preserve"> from debt counsellors, </w:t>
            </w:r>
            <w:r w:rsidRPr="009644C0">
              <w:rPr>
                <w:sz w:val="20"/>
                <w:szCs w:val="20"/>
              </w:rPr>
              <w:t xml:space="preserve">and </w:t>
            </w:r>
            <w:r w:rsidR="00743EC7">
              <w:rPr>
                <w:sz w:val="20"/>
                <w:szCs w:val="20"/>
              </w:rPr>
              <w:t xml:space="preserve">it </w:t>
            </w:r>
            <w:r w:rsidRPr="009644C0">
              <w:rPr>
                <w:sz w:val="20"/>
                <w:szCs w:val="20"/>
              </w:rPr>
              <w:t>could therefore not have reviewed th</w:t>
            </w:r>
            <w:r w:rsidR="00743EC7">
              <w:rPr>
                <w:sz w:val="20"/>
                <w:szCs w:val="20"/>
              </w:rPr>
              <w:t>ose</w:t>
            </w:r>
            <w:r w:rsidRPr="009644C0">
              <w:rPr>
                <w:sz w:val="20"/>
                <w:szCs w:val="20"/>
              </w:rPr>
              <w:t xml:space="preserve"> data</w:t>
            </w:r>
            <w:r w:rsidR="009644C0">
              <w:rPr>
                <w:sz w:val="20"/>
                <w:szCs w:val="20"/>
              </w:rPr>
              <w:t xml:space="preserve">sets </w:t>
            </w:r>
            <w:r w:rsidRPr="009644C0">
              <w:rPr>
                <w:sz w:val="20"/>
                <w:szCs w:val="20"/>
              </w:rPr>
              <w:t xml:space="preserve">as claimed. </w:t>
            </w:r>
          </w:p>
          <w:p w14:paraId="22622CE6" w14:textId="77777777" w:rsidR="00692FC7" w:rsidRPr="003B0684" w:rsidRDefault="00692FC7" w:rsidP="00F3789E">
            <w:pPr>
              <w:pStyle w:val="Default"/>
              <w:rPr>
                <w:sz w:val="20"/>
                <w:szCs w:val="20"/>
              </w:rPr>
            </w:pPr>
          </w:p>
          <w:p w14:paraId="2B612FB9" w14:textId="3772D904" w:rsidR="00692FC7" w:rsidRPr="003B0684" w:rsidRDefault="002638B9" w:rsidP="00F3789E">
            <w:pPr>
              <w:pStyle w:val="Default"/>
              <w:rPr>
                <w:sz w:val="20"/>
                <w:szCs w:val="20"/>
              </w:rPr>
            </w:pPr>
            <w:r>
              <w:rPr>
                <w:sz w:val="20"/>
                <w:szCs w:val="20"/>
              </w:rPr>
              <w:t>T</w:t>
            </w:r>
            <w:r w:rsidR="00692FC7" w:rsidRPr="003B0684">
              <w:rPr>
                <w:sz w:val="20"/>
                <w:szCs w:val="20"/>
              </w:rPr>
              <w:t xml:space="preserve">here </w:t>
            </w:r>
            <w:r>
              <w:rPr>
                <w:sz w:val="20"/>
                <w:szCs w:val="20"/>
              </w:rPr>
              <w:t>was</w:t>
            </w:r>
            <w:r w:rsidR="00692FC7" w:rsidRPr="003B0684">
              <w:rPr>
                <w:sz w:val="20"/>
                <w:szCs w:val="20"/>
              </w:rPr>
              <w:t xml:space="preserve"> no basis to conclude that there existed a widespread Capitec practice (amounting to R3 billion per year) of rescheduling delinquent loans through the issuance of new loans.</w:t>
            </w:r>
          </w:p>
          <w:p w14:paraId="4A70A093" w14:textId="77777777" w:rsidR="00692FC7" w:rsidRPr="003B0684" w:rsidRDefault="00692FC7" w:rsidP="00F3789E">
            <w:pPr>
              <w:pStyle w:val="Default"/>
              <w:rPr>
                <w:sz w:val="20"/>
                <w:szCs w:val="20"/>
              </w:rPr>
            </w:pPr>
          </w:p>
          <w:p w14:paraId="54DE86EC" w14:textId="77777777" w:rsidR="00692FC7" w:rsidRPr="003D6ADB" w:rsidRDefault="00692FC7" w:rsidP="00115864">
            <w:pPr>
              <w:jc w:val="both"/>
              <w:rPr>
                <w:rFonts w:ascii="Arial" w:eastAsia="Calibri" w:hAnsi="Arial" w:cs="Arial"/>
                <w:color w:val="000000"/>
              </w:rPr>
            </w:pPr>
          </w:p>
        </w:tc>
      </w:tr>
      <w:tr w:rsidR="00692FC7" w:rsidRPr="003D6ADB" w14:paraId="75A8B61C" w14:textId="77777777" w:rsidTr="000C5CCF">
        <w:tc>
          <w:tcPr>
            <w:tcW w:w="339" w:type="dxa"/>
            <w:shd w:val="clear" w:color="auto" w:fill="auto"/>
          </w:tcPr>
          <w:p w14:paraId="0D447E3C" w14:textId="4650A5CB" w:rsidR="00692FC7" w:rsidRPr="003D6ADB" w:rsidRDefault="00692FC7" w:rsidP="000C5CCF">
            <w:pPr>
              <w:contextualSpacing/>
              <w:rPr>
                <w:rFonts w:ascii="Arial" w:eastAsia="Calibri" w:hAnsi="Arial" w:cs="Arial"/>
              </w:rPr>
            </w:pPr>
            <w:r w:rsidRPr="003D6ADB">
              <w:rPr>
                <w:rFonts w:ascii="Arial" w:eastAsia="Calibri" w:hAnsi="Arial" w:cs="Arial"/>
              </w:rPr>
              <w:t>3</w:t>
            </w:r>
            <w:r w:rsidR="00D87DB9">
              <w:rPr>
                <w:rFonts w:ascii="Arial" w:eastAsia="Calibri" w:hAnsi="Arial" w:cs="Arial"/>
              </w:rPr>
              <w:t>.</w:t>
            </w:r>
          </w:p>
        </w:tc>
        <w:tc>
          <w:tcPr>
            <w:tcW w:w="8211" w:type="dxa"/>
            <w:shd w:val="clear" w:color="auto" w:fill="FFFFFF" w:themeFill="background1"/>
          </w:tcPr>
          <w:p w14:paraId="17AB8D4E" w14:textId="77777777" w:rsidR="00692FC7" w:rsidRPr="00907EC5" w:rsidRDefault="00692FC7" w:rsidP="000C5CCF">
            <w:pPr>
              <w:contextualSpacing/>
              <w:rPr>
                <w:rFonts w:ascii="Arial" w:eastAsia="Calibri" w:hAnsi="Arial" w:cs="Arial"/>
                <w:b/>
                <w:bCs/>
              </w:rPr>
            </w:pPr>
            <w:r w:rsidRPr="00907EC5">
              <w:rPr>
                <w:rFonts w:ascii="Arial" w:eastAsia="Calibri" w:hAnsi="Arial" w:cs="Arial"/>
                <w:b/>
                <w:bCs/>
              </w:rPr>
              <w:t>S</w:t>
            </w:r>
            <w:r w:rsidRPr="00907EC5">
              <w:rPr>
                <w:rFonts w:ascii="Arial" w:eastAsia="Calibri" w:hAnsi="Arial" w:cs="Arial"/>
                <w:b/>
                <w:bCs/>
                <w:color w:val="000000"/>
              </w:rPr>
              <w:t xml:space="preserve">tatement, promise or forecast that </w:t>
            </w:r>
            <w:r w:rsidRPr="00907EC5">
              <w:rPr>
                <w:rFonts w:ascii="Arial" w:eastAsia="Calibri" w:hAnsi="Arial" w:cs="Arial"/>
                <w:b/>
                <w:bCs/>
              </w:rPr>
              <w:t>Capitec’s loan book was irreconcilable by approximately R3bn.</w:t>
            </w:r>
          </w:p>
          <w:p w14:paraId="2B58A415" w14:textId="77777777" w:rsidR="00692FC7" w:rsidRPr="00907EC5" w:rsidRDefault="00692FC7" w:rsidP="000C5CCF">
            <w:pPr>
              <w:contextualSpacing/>
              <w:rPr>
                <w:rFonts w:ascii="Arial" w:eastAsia="Calibri" w:hAnsi="Arial" w:cs="Arial"/>
                <w:sz w:val="20"/>
                <w:szCs w:val="20"/>
              </w:rPr>
            </w:pPr>
          </w:p>
          <w:p w14:paraId="029B7CB2" w14:textId="070A5C1B" w:rsidR="00692FC7" w:rsidRPr="003B0684" w:rsidRDefault="00692FC7" w:rsidP="00F3789E">
            <w:pPr>
              <w:autoSpaceDE w:val="0"/>
              <w:autoSpaceDN w:val="0"/>
              <w:rPr>
                <w:rFonts w:ascii="Arial" w:hAnsi="Arial" w:cs="Arial"/>
                <w:color w:val="000000"/>
                <w:sz w:val="20"/>
                <w:szCs w:val="20"/>
                <w:lang w:val="en-US"/>
              </w:rPr>
            </w:pPr>
            <w:r w:rsidRPr="003B0684">
              <w:rPr>
                <w:rFonts w:ascii="Arial" w:hAnsi="Arial" w:cs="Arial"/>
                <w:color w:val="000000"/>
                <w:sz w:val="20"/>
                <w:szCs w:val="20"/>
              </w:rPr>
              <w:t xml:space="preserve">Viceroy </w:t>
            </w:r>
            <w:r w:rsidR="00711E78">
              <w:rPr>
                <w:rFonts w:ascii="Arial" w:hAnsi="Arial" w:cs="Arial"/>
                <w:color w:val="000000"/>
                <w:sz w:val="20"/>
                <w:szCs w:val="20"/>
              </w:rPr>
              <w:t xml:space="preserve">incorrectly </w:t>
            </w:r>
            <w:r w:rsidRPr="003B0684">
              <w:rPr>
                <w:rFonts w:ascii="Arial" w:hAnsi="Arial" w:cs="Arial"/>
                <w:color w:val="000000"/>
                <w:sz w:val="20"/>
                <w:szCs w:val="20"/>
              </w:rPr>
              <w:t xml:space="preserve">stated that Capitec </w:t>
            </w:r>
            <w:r w:rsidR="004766AF">
              <w:rPr>
                <w:rFonts w:ascii="Arial" w:hAnsi="Arial" w:cs="Arial"/>
                <w:color w:val="000000"/>
                <w:sz w:val="20"/>
                <w:szCs w:val="20"/>
              </w:rPr>
              <w:t>misrepresented the balance of its unpaid loans by consistently</w:t>
            </w:r>
            <w:r w:rsidRPr="003B0684">
              <w:rPr>
                <w:rFonts w:ascii="Arial" w:hAnsi="Arial" w:cs="Arial"/>
                <w:color w:val="000000"/>
                <w:sz w:val="20"/>
                <w:szCs w:val="20"/>
              </w:rPr>
              <w:t xml:space="preserve"> </w:t>
            </w:r>
            <w:r w:rsidR="004766AF">
              <w:rPr>
                <w:rFonts w:ascii="Arial" w:hAnsi="Arial" w:cs="Arial"/>
                <w:color w:val="000000"/>
                <w:sz w:val="20"/>
                <w:szCs w:val="20"/>
              </w:rPr>
              <w:t xml:space="preserve">“rescheduling” between </w:t>
            </w:r>
            <w:r w:rsidRPr="003B0684">
              <w:rPr>
                <w:rFonts w:ascii="Arial" w:hAnsi="Arial" w:cs="Arial"/>
                <w:color w:val="000000"/>
                <w:sz w:val="20"/>
                <w:szCs w:val="20"/>
              </w:rPr>
              <w:t xml:space="preserve">R2.5 billion to R3 </w:t>
            </w:r>
            <w:r w:rsidR="00115864" w:rsidRPr="003B0684">
              <w:rPr>
                <w:rFonts w:ascii="Arial" w:hAnsi="Arial" w:cs="Arial"/>
                <w:color w:val="000000"/>
                <w:sz w:val="20"/>
                <w:szCs w:val="20"/>
              </w:rPr>
              <w:t>billions</w:t>
            </w:r>
            <w:r w:rsidRPr="003B0684">
              <w:rPr>
                <w:rFonts w:ascii="Arial" w:hAnsi="Arial" w:cs="Arial"/>
                <w:color w:val="000000"/>
                <w:sz w:val="20"/>
                <w:szCs w:val="20"/>
              </w:rPr>
              <w:t xml:space="preserve"> of loan principal each year. (As part of an alleged widespread practice of issuing new loans to repay delinquent loans so that it could conceal defaults, and charge interest and massive fees on those defaulted loans.) This it stated, is evidenced by Capitec’</w:t>
            </w:r>
            <w:r w:rsidR="00743EC7">
              <w:rPr>
                <w:rFonts w:ascii="Arial" w:hAnsi="Arial" w:cs="Arial"/>
                <w:color w:val="000000"/>
                <w:sz w:val="20"/>
                <w:szCs w:val="20"/>
              </w:rPr>
              <w:t>s</w:t>
            </w:r>
            <w:r w:rsidRPr="003B0684">
              <w:rPr>
                <w:rFonts w:ascii="Arial" w:hAnsi="Arial" w:cs="Arial"/>
                <w:color w:val="000000"/>
                <w:sz w:val="20"/>
                <w:szCs w:val="20"/>
              </w:rPr>
              <w:t xml:space="preserve"> loan book being irreconcilable, as shown in two loan book reconciliations that Viceroy presented. </w:t>
            </w:r>
          </w:p>
          <w:p w14:paraId="220B5B95" w14:textId="77777777" w:rsidR="00692FC7" w:rsidRPr="003B0684" w:rsidRDefault="00692FC7" w:rsidP="00F3789E">
            <w:pPr>
              <w:autoSpaceDE w:val="0"/>
              <w:autoSpaceDN w:val="0"/>
              <w:rPr>
                <w:rFonts w:ascii="Arial" w:hAnsi="Arial" w:cs="Arial"/>
                <w:color w:val="000000"/>
              </w:rPr>
            </w:pPr>
          </w:p>
          <w:p w14:paraId="5E0DEE42" w14:textId="4839F8C4" w:rsidR="00692FC7" w:rsidRPr="003B0684" w:rsidRDefault="00692FC7" w:rsidP="00F3789E">
            <w:pPr>
              <w:autoSpaceDE w:val="0"/>
              <w:autoSpaceDN w:val="0"/>
              <w:rPr>
                <w:rFonts w:ascii="Arial" w:hAnsi="Arial" w:cs="Arial"/>
                <w:color w:val="000000"/>
                <w:sz w:val="20"/>
                <w:szCs w:val="20"/>
              </w:rPr>
            </w:pPr>
            <w:r w:rsidRPr="003B0684">
              <w:rPr>
                <w:rFonts w:ascii="Arial" w:hAnsi="Arial" w:cs="Arial"/>
                <w:color w:val="000000"/>
                <w:sz w:val="20"/>
                <w:szCs w:val="20"/>
              </w:rPr>
              <w:t xml:space="preserve">Viceroy omitted two repayments and made calculation errors that were material, and which underpinned the R3 billion irreconcilable loan book narrative. </w:t>
            </w:r>
          </w:p>
          <w:p w14:paraId="577A3BE8" w14:textId="77777777" w:rsidR="00692FC7" w:rsidRPr="003B0684" w:rsidRDefault="00692FC7" w:rsidP="000C5CCF">
            <w:pPr>
              <w:rPr>
                <w:rFonts w:ascii="Arial" w:hAnsi="Arial" w:cs="Arial"/>
                <w:sz w:val="20"/>
                <w:szCs w:val="20"/>
              </w:rPr>
            </w:pPr>
          </w:p>
          <w:p w14:paraId="1E4FC797" w14:textId="77777777" w:rsidR="00692FC7" w:rsidRPr="00907EC5" w:rsidRDefault="00692FC7" w:rsidP="009428DD">
            <w:pPr>
              <w:jc w:val="both"/>
              <w:rPr>
                <w:rFonts w:ascii="Arial" w:eastAsia="Calibri" w:hAnsi="Arial" w:cs="Arial"/>
                <w:sz w:val="20"/>
                <w:szCs w:val="20"/>
              </w:rPr>
            </w:pPr>
          </w:p>
        </w:tc>
      </w:tr>
      <w:tr w:rsidR="00692FC7" w:rsidRPr="003D6ADB" w14:paraId="1D2B5C5F" w14:textId="77777777" w:rsidTr="000C5CCF">
        <w:tc>
          <w:tcPr>
            <w:tcW w:w="339" w:type="dxa"/>
            <w:shd w:val="clear" w:color="auto" w:fill="auto"/>
          </w:tcPr>
          <w:p w14:paraId="645F413D" w14:textId="1EF52C66" w:rsidR="00692FC7" w:rsidRPr="003D6ADB" w:rsidRDefault="00692FC7" w:rsidP="000C5CCF">
            <w:pPr>
              <w:contextualSpacing/>
              <w:rPr>
                <w:rFonts w:ascii="Arial" w:eastAsia="Calibri" w:hAnsi="Arial" w:cs="Arial"/>
              </w:rPr>
            </w:pPr>
            <w:r w:rsidRPr="003D6ADB">
              <w:rPr>
                <w:rFonts w:ascii="Arial" w:eastAsia="Calibri" w:hAnsi="Arial" w:cs="Arial"/>
              </w:rPr>
              <w:lastRenderedPageBreak/>
              <w:t>4</w:t>
            </w:r>
            <w:r w:rsidR="00D87DB9">
              <w:rPr>
                <w:rFonts w:ascii="Arial" w:eastAsia="Calibri" w:hAnsi="Arial" w:cs="Arial"/>
              </w:rPr>
              <w:t>.</w:t>
            </w:r>
          </w:p>
        </w:tc>
        <w:tc>
          <w:tcPr>
            <w:tcW w:w="8211" w:type="dxa"/>
            <w:shd w:val="clear" w:color="auto" w:fill="auto"/>
          </w:tcPr>
          <w:p w14:paraId="35569EBF" w14:textId="77777777" w:rsidR="00692FC7" w:rsidRPr="008556A1" w:rsidRDefault="00692FC7" w:rsidP="000C5CCF">
            <w:pPr>
              <w:contextualSpacing/>
              <w:rPr>
                <w:rFonts w:ascii="Arial" w:eastAsia="Calibri" w:hAnsi="Arial" w:cs="Arial"/>
                <w:b/>
                <w:bCs/>
              </w:rPr>
            </w:pPr>
            <w:r w:rsidRPr="00907EC5">
              <w:rPr>
                <w:rFonts w:ascii="Arial" w:eastAsia="Calibri" w:hAnsi="Arial" w:cs="Arial"/>
                <w:b/>
                <w:bCs/>
              </w:rPr>
              <w:t>S</w:t>
            </w:r>
            <w:r w:rsidRPr="00907EC5">
              <w:rPr>
                <w:rFonts w:ascii="Arial" w:eastAsia="Calibri" w:hAnsi="Arial" w:cs="Arial"/>
                <w:b/>
                <w:bCs/>
                <w:color w:val="000000"/>
              </w:rPr>
              <w:t xml:space="preserve">tatement, promise or forecast </w:t>
            </w:r>
            <w:r w:rsidRPr="008556A1">
              <w:rPr>
                <w:rFonts w:ascii="Arial" w:eastAsia="Calibri" w:hAnsi="Arial" w:cs="Arial"/>
                <w:b/>
                <w:bCs/>
                <w:color w:val="000000"/>
              </w:rPr>
              <w:t xml:space="preserve">that </w:t>
            </w:r>
            <w:r w:rsidRPr="008556A1">
              <w:rPr>
                <w:rFonts w:ascii="Arial" w:eastAsia="Calibri" w:hAnsi="Arial" w:cs="Arial"/>
                <w:b/>
                <w:bCs/>
              </w:rPr>
              <w:t>Capitec was guilty of reckless lending and w</w:t>
            </w:r>
            <w:r>
              <w:rPr>
                <w:rFonts w:ascii="Arial" w:eastAsia="Calibri" w:hAnsi="Arial" w:cs="Arial"/>
                <w:b/>
                <w:bCs/>
              </w:rPr>
              <w:t>ould</w:t>
            </w:r>
            <w:r w:rsidRPr="008556A1">
              <w:rPr>
                <w:rFonts w:ascii="Arial" w:eastAsia="Calibri" w:hAnsi="Arial" w:cs="Arial"/>
                <w:b/>
                <w:bCs/>
              </w:rPr>
              <w:t xml:space="preserve"> lose a court case that w</w:t>
            </w:r>
            <w:r>
              <w:rPr>
                <w:rFonts w:ascii="Arial" w:eastAsia="Calibri" w:hAnsi="Arial" w:cs="Arial"/>
                <w:b/>
                <w:bCs/>
              </w:rPr>
              <w:t>ould</w:t>
            </w:r>
            <w:r w:rsidRPr="008556A1">
              <w:rPr>
                <w:rFonts w:ascii="Arial" w:eastAsia="Calibri" w:hAnsi="Arial" w:cs="Arial"/>
                <w:b/>
                <w:bCs/>
              </w:rPr>
              <w:t xml:space="preserve"> trigger a class action lawsuit.</w:t>
            </w:r>
          </w:p>
          <w:p w14:paraId="5714DA34" w14:textId="77777777" w:rsidR="00692FC7" w:rsidRPr="003D6ADB" w:rsidRDefault="00692FC7" w:rsidP="000C5CCF">
            <w:pPr>
              <w:tabs>
                <w:tab w:val="left" w:pos="1620"/>
              </w:tabs>
              <w:autoSpaceDE w:val="0"/>
              <w:autoSpaceDN w:val="0"/>
              <w:adjustRightInd w:val="0"/>
              <w:contextualSpacing/>
              <w:jc w:val="both"/>
              <w:rPr>
                <w:rFonts w:ascii="Arial" w:eastAsia="Calibri" w:hAnsi="Arial" w:cs="Arial"/>
                <w:color w:val="000000"/>
                <w:sz w:val="20"/>
                <w:szCs w:val="20"/>
              </w:rPr>
            </w:pPr>
          </w:p>
          <w:p w14:paraId="6FDDECBC" w14:textId="77777777" w:rsidR="00692FC7" w:rsidRDefault="00692FC7" w:rsidP="000C5CCF">
            <w:pPr>
              <w:autoSpaceDE w:val="0"/>
              <w:autoSpaceDN w:val="0"/>
              <w:adjustRightInd w:val="0"/>
              <w:spacing w:after="158"/>
              <w:rPr>
                <w:rFonts w:ascii="Arial" w:eastAsiaTheme="minorHAnsi" w:hAnsi="Arial" w:cs="Arial"/>
                <w:color w:val="000000"/>
                <w:sz w:val="20"/>
                <w:szCs w:val="20"/>
                <w:lang w:val="en-US"/>
              </w:rPr>
            </w:pPr>
            <w:r w:rsidRPr="006A7CD8">
              <w:rPr>
                <w:rFonts w:ascii="Arial" w:eastAsiaTheme="minorHAnsi" w:hAnsi="Arial" w:cs="Arial"/>
                <w:color w:val="000000"/>
                <w:sz w:val="20"/>
                <w:szCs w:val="20"/>
                <w:lang w:val="en-US"/>
              </w:rPr>
              <w:t xml:space="preserve">(i) Viceroy’s interpretation of the merits of the lawsuits was not based on the opinion of “legal experts” with whom it had spoken. </w:t>
            </w:r>
          </w:p>
          <w:p w14:paraId="2FCFEA26" w14:textId="63E1562A" w:rsidR="00692FC7" w:rsidRPr="003B0684" w:rsidRDefault="00692FC7" w:rsidP="000C5CCF">
            <w:pPr>
              <w:autoSpaceDE w:val="0"/>
              <w:autoSpaceDN w:val="0"/>
              <w:adjustRightInd w:val="0"/>
              <w:spacing w:after="158"/>
              <w:rPr>
                <w:rFonts w:ascii="Arial" w:eastAsiaTheme="minorHAnsi" w:hAnsi="Arial" w:cs="Arial"/>
                <w:color w:val="000000"/>
                <w:sz w:val="20"/>
                <w:szCs w:val="20"/>
                <w:lang w:val="en-US"/>
              </w:rPr>
            </w:pPr>
            <w:r w:rsidRPr="006A7CD8">
              <w:rPr>
                <w:rFonts w:ascii="Arial" w:eastAsiaTheme="minorHAnsi" w:hAnsi="Arial" w:cs="Arial"/>
                <w:color w:val="000000"/>
                <w:sz w:val="20"/>
                <w:szCs w:val="20"/>
                <w:lang w:val="en-US"/>
              </w:rPr>
              <w:t xml:space="preserve">(ii) </w:t>
            </w:r>
            <w:r w:rsidR="0029684D">
              <w:rPr>
                <w:rFonts w:ascii="Arial" w:eastAsiaTheme="minorHAnsi" w:hAnsi="Arial" w:cs="Arial"/>
                <w:color w:val="000000"/>
                <w:sz w:val="20"/>
                <w:szCs w:val="20"/>
                <w:lang w:val="en-US"/>
              </w:rPr>
              <w:t>It incorrectly framed the</w:t>
            </w:r>
            <w:r w:rsidRPr="006A7CD8">
              <w:rPr>
                <w:rFonts w:ascii="Arial" w:eastAsiaTheme="minorHAnsi" w:hAnsi="Arial" w:cs="Arial"/>
                <w:color w:val="000000"/>
                <w:sz w:val="20"/>
                <w:szCs w:val="20"/>
                <w:lang w:val="en-US"/>
              </w:rPr>
              <w:t xml:space="preserve"> outcome of the test case as an imminent certainty, without any meaningful discussion of </w:t>
            </w:r>
            <w:r w:rsidRPr="003B0684">
              <w:rPr>
                <w:rFonts w:ascii="Arial" w:eastAsiaTheme="minorHAnsi" w:hAnsi="Arial" w:cs="Arial"/>
                <w:color w:val="000000"/>
                <w:sz w:val="20"/>
                <w:szCs w:val="20"/>
                <w:lang w:val="en-US"/>
              </w:rPr>
              <w:t xml:space="preserve">at least eight </w:t>
            </w:r>
            <w:r w:rsidRPr="006A7CD8">
              <w:rPr>
                <w:rFonts w:ascii="Arial" w:eastAsiaTheme="minorHAnsi" w:hAnsi="Arial" w:cs="Arial"/>
                <w:color w:val="000000"/>
                <w:sz w:val="20"/>
                <w:szCs w:val="20"/>
                <w:lang w:val="en-US"/>
              </w:rPr>
              <w:t xml:space="preserve">limitations and assumptions applicable to that statement. </w:t>
            </w:r>
          </w:p>
          <w:p w14:paraId="56568567" w14:textId="57A51427" w:rsidR="00692FC7" w:rsidRPr="003B0684" w:rsidRDefault="00692FC7" w:rsidP="000C5CCF">
            <w:pPr>
              <w:pStyle w:val="Default"/>
              <w:rPr>
                <w:sz w:val="20"/>
                <w:szCs w:val="20"/>
              </w:rPr>
            </w:pPr>
            <w:r w:rsidRPr="006A7CD8">
              <w:rPr>
                <w:sz w:val="20"/>
                <w:szCs w:val="20"/>
              </w:rPr>
              <w:t xml:space="preserve">(iii) </w:t>
            </w:r>
            <w:r w:rsidR="0029684D">
              <w:rPr>
                <w:sz w:val="20"/>
                <w:szCs w:val="20"/>
              </w:rPr>
              <w:t>It presented t</w:t>
            </w:r>
            <w:r w:rsidRPr="006A7CD8">
              <w:rPr>
                <w:sz w:val="20"/>
                <w:szCs w:val="20"/>
              </w:rPr>
              <w:t xml:space="preserve">he </w:t>
            </w:r>
            <w:r w:rsidRPr="003B0684">
              <w:rPr>
                <w:sz w:val="20"/>
                <w:szCs w:val="20"/>
              </w:rPr>
              <w:t xml:space="preserve">subject of the litigation </w:t>
            </w:r>
            <w:r w:rsidR="0029684D">
              <w:rPr>
                <w:sz w:val="20"/>
                <w:szCs w:val="20"/>
              </w:rPr>
              <w:t xml:space="preserve">to relate </w:t>
            </w:r>
            <w:r w:rsidRPr="003B0684">
              <w:rPr>
                <w:sz w:val="20"/>
                <w:szCs w:val="20"/>
              </w:rPr>
              <w:t xml:space="preserve">to the sale of a </w:t>
            </w:r>
            <w:r w:rsidR="0029684D">
              <w:rPr>
                <w:sz w:val="20"/>
                <w:szCs w:val="20"/>
              </w:rPr>
              <w:t xml:space="preserve">Multi-Loan </w:t>
            </w:r>
            <w:r w:rsidRPr="003B0684">
              <w:rPr>
                <w:sz w:val="20"/>
                <w:szCs w:val="20"/>
              </w:rPr>
              <w:t xml:space="preserve">product that </w:t>
            </w:r>
            <w:r w:rsidR="0029684D">
              <w:rPr>
                <w:sz w:val="20"/>
                <w:szCs w:val="20"/>
              </w:rPr>
              <w:t>had it stated had been</w:t>
            </w:r>
            <w:r w:rsidRPr="003B0684">
              <w:rPr>
                <w:sz w:val="20"/>
                <w:szCs w:val="20"/>
              </w:rPr>
              <w:t xml:space="preserve"> </w:t>
            </w:r>
            <w:r w:rsidR="0029684D" w:rsidRPr="003B0684">
              <w:rPr>
                <w:sz w:val="20"/>
                <w:szCs w:val="20"/>
              </w:rPr>
              <w:t>prohibited</w:t>
            </w:r>
            <w:r w:rsidR="0029684D">
              <w:rPr>
                <w:sz w:val="20"/>
                <w:szCs w:val="20"/>
              </w:rPr>
              <w:t>,</w:t>
            </w:r>
            <w:r w:rsidR="0029684D" w:rsidRPr="003B0684">
              <w:rPr>
                <w:sz w:val="20"/>
                <w:szCs w:val="20"/>
              </w:rPr>
              <w:t xml:space="preserve"> when</w:t>
            </w:r>
            <w:r w:rsidRPr="003B0684">
              <w:rPr>
                <w:sz w:val="20"/>
                <w:szCs w:val="20"/>
              </w:rPr>
              <w:t xml:space="preserve"> </w:t>
            </w:r>
            <w:r w:rsidR="0029684D">
              <w:rPr>
                <w:sz w:val="20"/>
                <w:szCs w:val="20"/>
              </w:rPr>
              <w:t xml:space="preserve">the product </w:t>
            </w:r>
            <w:r w:rsidRPr="006A7CD8">
              <w:rPr>
                <w:sz w:val="20"/>
                <w:szCs w:val="20"/>
              </w:rPr>
              <w:t>was not a prohibited product.</w:t>
            </w:r>
            <w:r w:rsidRPr="003B0684">
              <w:rPr>
                <w:sz w:val="20"/>
                <w:szCs w:val="20"/>
              </w:rPr>
              <w:t xml:space="preserve"> </w:t>
            </w:r>
            <w:r w:rsidRPr="006A7CD8">
              <w:rPr>
                <w:sz w:val="20"/>
                <w:szCs w:val="20"/>
              </w:rPr>
              <w:t>Notwithstanding having seen Capitec’s explanations that the product was never “</w:t>
            </w:r>
            <w:r w:rsidRPr="006A7CD8">
              <w:rPr>
                <w:i/>
                <w:iCs/>
                <w:sz w:val="20"/>
                <w:szCs w:val="20"/>
              </w:rPr>
              <w:t>prohibited</w:t>
            </w:r>
            <w:r w:rsidRPr="006A7CD8">
              <w:rPr>
                <w:sz w:val="20"/>
                <w:szCs w:val="20"/>
              </w:rPr>
              <w:t>”, and that the relevant NCA Regulation w</w:t>
            </w:r>
            <w:r w:rsidR="0029684D">
              <w:rPr>
                <w:sz w:val="20"/>
                <w:szCs w:val="20"/>
              </w:rPr>
              <w:t>as</w:t>
            </w:r>
            <w:r w:rsidRPr="006A7CD8">
              <w:rPr>
                <w:sz w:val="20"/>
                <w:szCs w:val="20"/>
              </w:rPr>
              <w:t xml:space="preserve"> available for anyone to view, Viceroy did not publish a full and frank correction regarding its statements about the sale of a “</w:t>
            </w:r>
            <w:r w:rsidRPr="0029684D">
              <w:rPr>
                <w:i/>
                <w:iCs/>
                <w:sz w:val="20"/>
                <w:szCs w:val="20"/>
              </w:rPr>
              <w:t>prohibited</w:t>
            </w:r>
            <w:r w:rsidRPr="006A7CD8">
              <w:rPr>
                <w:sz w:val="20"/>
                <w:szCs w:val="20"/>
              </w:rPr>
              <w:t xml:space="preserve">” product. </w:t>
            </w:r>
          </w:p>
          <w:p w14:paraId="504892D7" w14:textId="77777777" w:rsidR="00692FC7" w:rsidRDefault="00692FC7" w:rsidP="000C5CCF">
            <w:pPr>
              <w:pStyle w:val="Default"/>
              <w:rPr>
                <w:sz w:val="20"/>
                <w:szCs w:val="20"/>
              </w:rPr>
            </w:pPr>
          </w:p>
          <w:p w14:paraId="0B361475" w14:textId="6EBD81B9" w:rsidR="00692FC7" w:rsidRPr="003B0684" w:rsidRDefault="00692FC7" w:rsidP="000C5CCF">
            <w:pPr>
              <w:pStyle w:val="Default"/>
              <w:rPr>
                <w:sz w:val="20"/>
                <w:szCs w:val="20"/>
              </w:rPr>
            </w:pPr>
            <w:r w:rsidRPr="006A7CD8">
              <w:rPr>
                <w:sz w:val="20"/>
                <w:szCs w:val="20"/>
              </w:rPr>
              <w:t>(iv) The description of “triggering” a class action implies that a class action automatically follows</w:t>
            </w:r>
            <w:r w:rsidR="0029684D">
              <w:rPr>
                <w:sz w:val="20"/>
                <w:szCs w:val="20"/>
              </w:rPr>
              <w:t xml:space="preserve"> the test case</w:t>
            </w:r>
            <w:r w:rsidRPr="006A7CD8">
              <w:rPr>
                <w:sz w:val="20"/>
                <w:szCs w:val="20"/>
              </w:rPr>
              <w:t xml:space="preserve">. </w:t>
            </w:r>
            <w:r w:rsidRPr="003B0684">
              <w:rPr>
                <w:sz w:val="20"/>
                <w:szCs w:val="20"/>
              </w:rPr>
              <w:t>The statement was made without any discussion of the limitations and assumptions applicable to such statement</w:t>
            </w:r>
            <w:r w:rsidR="0029684D">
              <w:rPr>
                <w:sz w:val="20"/>
                <w:szCs w:val="20"/>
              </w:rPr>
              <w:t>. For example</w:t>
            </w:r>
            <w:r w:rsidRPr="003B0684">
              <w:rPr>
                <w:sz w:val="20"/>
                <w:szCs w:val="20"/>
              </w:rPr>
              <w:t xml:space="preserve">, </w:t>
            </w:r>
            <w:r w:rsidRPr="006A7CD8">
              <w:rPr>
                <w:sz w:val="20"/>
                <w:szCs w:val="20"/>
              </w:rPr>
              <w:t xml:space="preserve">that it is a lengthy process to certify a </w:t>
            </w:r>
            <w:r w:rsidR="0029684D">
              <w:rPr>
                <w:sz w:val="20"/>
                <w:szCs w:val="20"/>
              </w:rPr>
              <w:t>C</w:t>
            </w:r>
            <w:r w:rsidRPr="006A7CD8">
              <w:rPr>
                <w:sz w:val="20"/>
                <w:szCs w:val="20"/>
              </w:rPr>
              <w:t xml:space="preserve">lass </w:t>
            </w:r>
            <w:r w:rsidR="0029684D">
              <w:rPr>
                <w:sz w:val="20"/>
                <w:szCs w:val="20"/>
              </w:rPr>
              <w:t>A</w:t>
            </w:r>
            <w:r w:rsidRPr="006A7CD8">
              <w:rPr>
                <w:sz w:val="20"/>
                <w:szCs w:val="20"/>
              </w:rPr>
              <w:t>ction</w:t>
            </w:r>
            <w:r w:rsidRPr="003B0684">
              <w:rPr>
                <w:sz w:val="20"/>
                <w:szCs w:val="20"/>
              </w:rPr>
              <w:t>, t</w:t>
            </w:r>
            <w:r w:rsidRPr="006A7CD8">
              <w:rPr>
                <w:sz w:val="20"/>
                <w:szCs w:val="20"/>
              </w:rPr>
              <w:t>h</w:t>
            </w:r>
            <w:r w:rsidR="0029684D">
              <w:rPr>
                <w:sz w:val="20"/>
                <w:szCs w:val="20"/>
              </w:rPr>
              <w:t>at</w:t>
            </w:r>
            <w:r w:rsidRPr="006A7CD8">
              <w:rPr>
                <w:sz w:val="20"/>
                <w:szCs w:val="20"/>
              </w:rPr>
              <w:t xml:space="preserve"> </w:t>
            </w:r>
            <w:r w:rsidR="0029684D">
              <w:rPr>
                <w:sz w:val="20"/>
                <w:szCs w:val="20"/>
              </w:rPr>
              <w:t xml:space="preserve">a Class Action is </w:t>
            </w:r>
            <w:r w:rsidRPr="006A7CD8">
              <w:rPr>
                <w:sz w:val="20"/>
                <w:szCs w:val="20"/>
              </w:rPr>
              <w:t xml:space="preserve">not a common process in South Africa, and </w:t>
            </w:r>
            <w:r w:rsidR="0029684D">
              <w:rPr>
                <w:sz w:val="20"/>
                <w:szCs w:val="20"/>
              </w:rPr>
              <w:t>that</w:t>
            </w:r>
            <w:r w:rsidRPr="006A7CD8">
              <w:rPr>
                <w:sz w:val="20"/>
                <w:szCs w:val="20"/>
              </w:rPr>
              <w:t xml:space="preserve"> a decision by a court to certify a class action is subject to appeal and review. </w:t>
            </w:r>
          </w:p>
          <w:p w14:paraId="34BB7185" w14:textId="77777777" w:rsidR="00692FC7" w:rsidRDefault="00692FC7" w:rsidP="000C5CCF">
            <w:pPr>
              <w:pStyle w:val="Default"/>
              <w:rPr>
                <w:sz w:val="20"/>
                <w:szCs w:val="20"/>
              </w:rPr>
            </w:pPr>
          </w:p>
          <w:p w14:paraId="15FECAD1" w14:textId="3F35C5B5" w:rsidR="00692FC7" w:rsidRPr="003B0684" w:rsidRDefault="00692FC7" w:rsidP="000C5CCF">
            <w:pPr>
              <w:pStyle w:val="Default"/>
              <w:rPr>
                <w:sz w:val="20"/>
                <w:szCs w:val="20"/>
              </w:rPr>
            </w:pPr>
            <w:r w:rsidRPr="006A7CD8">
              <w:rPr>
                <w:sz w:val="20"/>
                <w:szCs w:val="20"/>
              </w:rPr>
              <w:t xml:space="preserve">(v) </w:t>
            </w:r>
            <w:r w:rsidRPr="003B0684">
              <w:rPr>
                <w:sz w:val="20"/>
                <w:szCs w:val="20"/>
              </w:rPr>
              <w:t xml:space="preserve">Viceroy </w:t>
            </w:r>
            <w:r w:rsidR="0029684D">
              <w:rPr>
                <w:sz w:val="20"/>
                <w:szCs w:val="20"/>
              </w:rPr>
              <w:t>presented an</w:t>
            </w:r>
            <w:r w:rsidRPr="003B0684">
              <w:rPr>
                <w:sz w:val="20"/>
                <w:szCs w:val="20"/>
              </w:rPr>
              <w:t xml:space="preserve"> imminent final ruling against Capitec in the (still to be certified) </w:t>
            </w:r>
            <w:r w:rsidR="0029684D">
              <w:rPr>
                <w:sz w:val="20"/>
                <w:szCs w:val="20"/>
              </w:rPr>
              <w:t>C</w:t>
            </w:r>
            <w:r w:rsidRPr="003B0684">
              <w:rPr>
                <w:sz w:val="20"/>
                <w:szCs w:val="20"/>
              </w:rPr>
              <w:t xml:space="preserve">lass </w:t>
            </w:r>
            <w:r w:rsidR="0029684D">
              <w:rPr>
                <w:sz w:val="20"/>
                <w:szCs w:val="20"/>
              </w:rPr>
              <w:t>A</w:t>
            </w:r>
            <w:r w:rsidRPr="003B0684">
              <w:rPr>
                <w:sz w:val="20"/>
                <w:szCs w:val="20"/>
              </w:rPr>
              <w:t xml:space="preserve">ction lawsuit as a </w:t>
            </w:r>
            <w:r w:rsidRPr="003B0684">
              <w:rPr>
                <w:i/>
                <w:iCs/>
                <w:sz w:val="20"/>
                <w:szCs w:val="20"/>
              </w:rPr>
              <w:t xml:space="preserve">fait accompli, </w:t>
            </w:r>
            <w:r w:rsidRPr="003B0684">
              <w:rPr>
                <w:sz w:val="20"/>
                <w:szCs w:val="20"/>
              </w:rPr>
              <w:t>without discussion of the limitations and assumptions</w:t>
            </w:r>
            <w:r w:rsidR="0029684D">
              <w:rPr>
                <w:sz w:val="20"/>
                <w:szCs w:val="20"/>
              </w:rPr>
              <w:t xml:space="preserve"> applicable to that statement</w:t>
            </w:r>
            <w:r w:rsidRPr="003B0684">
              <w:rPr>
                <w:sz w:val="20"/>
                <w:szCs w:val="20"/>
              </w:rPr>
              <w:t>. For example</w:t>
            </w:r>
            <w:r>
              <w:rPr>
                <w:sz w:val="20"/>
                <w:szCs w:val="20"/>
              </w:rPr>
              <w:t>, it did not mention</w:t>
            </w:r>
            <w:r w:rsidRPr="003B0684">
              <w:rPr>
                <w:sz w:val="20"/>
                <w:szCs w:val="20"/>
              </w:rPr>
              <w:t xml:space="preserve"> that the evidence presented by all parties involved in the </w:t>
            </w:r>
            <w:r w:rsidR="0029684D">
              <w:rPr>
                <w:sz w:val="20"/>
                <w:szCs w:val="20"/>
              </w:rPr>
              <w:t>C</w:t>
            </w:r>
            <w:r w:rsidRPr="003B0684">
              <w:rPr>
                <w:sz w:val="20"/>
                <w:szCs w:val="20"/>
              </w:rPr>
              <w:t xml:space="preserve">lass </w:t>
            </w:r>
            <w:r w:rsidR="0029684D">
              <w:rPr>
                <w:sz w:val="20"/>
                <w:szCs w:val="20"/>
              </w:rPr>
              <w:t>A</w:t>
            </w:r>
            <w:r w:rsidRPr="003B0684">
              <w:rPr>
                <w:sz w:val="20"/>
                <w:szCs w:val="20"/>
              </w:rPr>
              <w:t>ction lawsuit would have to be considered by a Judge before making a ruling</w:t>
            </w:r>
            <w:r w:rsidR="0029684D">
              <w:rPr>
                <w:sz w:val="20"/>
                <w:szCs w:val="20"/>
              </w:rPr>
              <w:t xml:space="preserve"> which could go either way</w:t>
            </w:r>
            <w:r w:rsidRPr="003B0684">
              <w:rPr>
                <w:sz w:val="20"/>
                <w:szCs w:val="20"/>
              </w:rPr>
              <w:t xml:space="preserve">, and that ruling would </w:t>
            </w:r>
            <w:r w:rsidR="0029684D">
              <w:rPr>
                <w:sz w:val="20"/>
                <w:szCs w:val="20"/>
              </w:rPr>
              <w:t xml:space="preserve">then </w:t>
            </w:r>
            <w:r w:rsidRPr="003B0684">
              <w:rPr>
                <w:sz w:val="20"/>
                <w:szCs w:val="20"/>
              </w:rPr>
              <w:t>be subject to appeals and reviews.</w:t>
            </w:r>
          </w:p>
          <w:p w14:paraId="6AB7830C" w14:textId="222A668A" w:rsidR="00F3789E" w:rsidRPr="003D6ADB" w:rsidRDefault="00F3789E" w:rsidP="000C5CCF">
            <w:pPr>
              <w:tabs>
                <w:tab w:val="left" w:pos="1620"/>
              </w:tabs>
              <w:autoSpaceDE w:val="0"/>
              <w:autoSpaceDN w:val="0"/>
              <w:adjustRightInd w:val="0"/>
              <w:contextualSpacing/>
              <w:jc w:val="both"/>
              <w:rPr>
                <w:rFonts w:ascii="Arial" w:eastAsia="Calibri" w:hAnsi="Arial" w:cs="Arial"/>
              </w:rPr>
            </w:pPr>
          </w:p>
        </w:tc>
      </w:tr>
      <w:tr w:rsidR="00692FC7" w:rsidRPr="003D6ADB" w14:paraId="34479811" w14:textId="77777777" w:rsidTr="000C5CCF">
        <w:tc>
          <w:tcPr>
            <w:tcW w:w="339" w:type="dxa"/>
            <w:shd w:val="clear" w:color="auto" w:fill="auto"/>
          </w:tcPr>
          <w:p w14:paraId="23836967" w14:textId="3EB4FBC1" w:rsidR="00692FC7" w:rsidRPr="003D6ADB" w:rsidRDefault="00692FC7" w:rsidP="0084661A">
            <w:pPr>
              <w:contextualSpacing/>
              <w:rPr>
                <w:rFonts w:ascii="Arial" w:eastAsia="Calibri" w:hAnsi="Arial" w:cs="Arial"/>
              </w:rPr>
            </w:pPr>
            <w:r w:rsidRPr="003D6ADB">
              <w:rPr>
                <w:rFonts w:ascii="Arial" w:eastAsia="Calibri" w:hAnsi="Arial" w:cs="Arial"/>
              </w:rPr>
              <w:t>5</w:t>
            </w:r>
            <w:r w:rsidR="00D87DB9">
              <w:rPr>
                <w:rFonts w:ascii="Arial" w:eastAsia="Calibri" w:hAnsi="Arial" w:cs="Arial"/>
              </w:rPr>
              <w:t>.</w:t>
            </w:r>
          </w:p>
        </w:tc>
        <w:tc>
          <w:tcPr>
            <w:tcW w:w="8211" w:type="dxa"/>
            <w:shd w:val="clear" w:color="auto" w:fill="auto"/>
          </w:tcPr>
          <w:p w14:paraId="036F5370" w14:textId="77777777" w:rsidR="00692FC7" w:rsidRPr="003B0684" w:rsidRDefault="00692FC7" w:rsidP="0084661A">
            <w:pPr>
              <w:contextualSpacing/>
              <w:jc w:val="both"/>
              <w:rPr>
                <w:rFonts w:ascii="Arial" w:eastAsia="Calibri" w:hAnsi="Arial" w:cs="Arial"/>
                <w:b/>
                <w:bCs/>
                <w:sz w:val="20"/>
                <w:szCs w:val="20"/>
              </w:rPr>
            </w:pPr>
            <w:r w:rsidRPr="003B0684">
              <w:rPr>
                <w:rFonts w:ascii="Arial" w:eastAsia="Calibri" w:hAnsi="Arial" w:cs="Arial"/>
                <w:b/>
                <w:bCs/>
                <w:sz w:val="20"/>
                <w:szCs w:val="20"/>
              </w:rPr>
              <w:t>S</w:t>
            </w:r>
            <w:r w:rsidRPr="003B0684">
              <w:rPr>
                <w:rFonts w:ascii="Arial" w:eastAsia="Calibri" w:hAnsi="Arial" w:cs="Arial"/>
                <w:b/>
                <w:bCs/>
                <w:color w:val="000000"/>
                <w:sz w:val="20"/>
                <w:szCs w:val="20"/>
              </w:rPr>
              <w:t xml:space="preserve">tatement, promise or forecast that the </w:t>
            </w:r>
            <w:r w:rsidRPr="003B0684">
              <w:rPr>
                <w:rFonts w:ascii="Arial" w:eastAsia="Calibri" w:hAnsi="Arial" w:cs="Arial"/>
                <w:b/>
                <w:bCs/>
                <w:sz w:val="20"/>
                <w:szCs w:val="20"/>
              </w:rPr>
              <w:t>Class Action Lawsuit would result in Capitec being ordered to pay R12.7bn to its former and current clients.</w:t>
            </w:r>
          </w:p>
          <w:p w14:paraId="60E099F2" w14:textId="77777777" w:rsidR="00692FC7" w:rsidRPr="003B0684" w:rsidRDefault="00692FC7" w:rsidP="0084661A">
            <w:pPr>
              <w:pStyle w:val="Default"/>
              <w:rPr>
                <w:sz w:val="20"/>
                <w:szCs w:val="20"/>
              </w:rPr>
            </w:pPr>
          </w:p>
          <w:p w14:paraId="237EC3D7" w14:textId="519768B1" w:rsidR="00692FC7" w:rsidRPr="003B0684" w:rsidRDefault="00692FC7" w:rsidP="0084661A">
            <w:pPr>
              <w:pStyle w:val="Default"/>
              <w:rPr>
                <w:sz w:val="20"/>
                <w:szCs w:val="20"/>
              </w:rPr>
            </w:pPr>
            <w:r w:rsidRPr="003B0684">
              <w:rPr>
                <w:sz w:val="20"/>
                <w:szCs w:val="20"/>
              </w:rPr>
              <w:t xml:space="preserve">The alleged R12.7 billion liability represented approximately 49% of Capitec’s Net Asset Value, and </w:t>
            </w:r>
            <w:r w:rsidR="0029684D">
              <w:rPr>
                <w:sz w:val="20"/>
                <w:szCs w:val="20"/>
              </w:rPr>
              <w:t xml:space="preserve">the statement </w:t>
            </w:r>
            <w:r w:rsidRPr="003B0684">
              <w:rPr>
                <w:sz w:val="20"/>
                <w:szCs w:val="20"/>
              </w:rPr>
              <w:t>played a s</w:t>
            </w:r>
            <w:r w:rsidR="0029684D">
              <w:rPr>
                <w:sz w:val="20"/>
                <w:szCs w:val="20"/>
              </w:rPr>
              <w:t>ignificant</w:t>
            </w:r>
            <w:r w:rsidRPr="003B0684">
              <w:rPr>
                <w:sz w:val="20"/>
                <w:szCs w:val="20"/>
              </w:rPr>
              <w:t xml:space="preserve"> role to support Viceroy’s </w:t>
            </w:r>
            <w:r w:rsidR="0029684D">
              <w:rPr>
                <w:sz w:val="20"/>
                <w:szCs w:val="20"/>
              </w:rPr>
              <w:t>narrative</w:t>
            </w:r>
            <w:r w:rsidRPr="003B0684">
              <w:rPr>
                <w:sz w:val="20"/>
                <w:szCs w:val="20"/>
              </w:rPr>
              <w:t xml:space="preserve"> regarding Capitec’s alleged near insolvency and failure to </w:t>
            </w:r>
            <w:r w:rsidR="0029684D">
              <w:rPr>
                <w:sz w:val="20"/>
                <w:szCs w:val="20"/>
              </w:rPr>
              <w:t>disclose</w:t>
            </w:r>
            <w:r w:rsidRPr="003B0684">
              <w:rPr>
                <w:sz w:val="20"/>
                <w:szCs w:val="20"/>
              </w:rPr>
              <w:t xml:space="preserve"> all liabilities. </w:t>
            </w:r>
          </w:p>
          <w:p w14:paraId="512BCA4C" w14:textId="77777777" w:rsidR="00692FC7" w:rsidRPr="003B0684" w:rsidRDefault="00692FC7" w:rsidP="0084661A">
            <w:pPr>
              <w:pStyle w:val="Default"/>
              <w:rPr>
                <w:sz w:val="20"/>
                <w:szCs w:val="20"/>
              </w:rPr>
            </w:pPr>
          </w:p>
          <w:p w14:paraId="17FCB27C" w14:textId="53A9AF59" w:rsidR="00692FC7" w:rsidRPr="003B0684" w:rsidRDefault="0029684D" w:rsidP="0084661A">
            <w:pPr>
              <w:pStyle w:val="Default"/>
              <w:rPr>
                <w:sz w:val="20"/>
                <w:szCs w:val="20"/>
              </w:rPr>
            </w:pPr>
            <w:r>
              <w:rPr>
                <w:rFonts w:eastAsia="Calibri"/>
                <w:sz w:val="20"/>
                <w:szCs w:val="20"/>
              </w:rPr>
              <w:t>T</w:t>
            </w:r>
            <w:r w:rsidR="00692FC7" w:rsidRPr="003B0684">
              <w:rPr>
                <w:rFonts w:eastAsia="Calibri"/>
                <w:sz w:val="20"/>
                <w:szCs w:val="20"/>
              </w:rPr>
              <w:t xml:space="preserve">he </w:t>
            </w:r>
            <w:r>
              <w:rPr>
                <w:rFonts w:eastAsia="Calibri"/>
                <w:sz w:val="20"/>
                <w:szCs w:val="20"/>
              </w:rPr>
              <w:t xml:space="preserve">R12.7bn </w:t>
            </w:r>
            <w:r w:rsidR="00692FC7" w:rsidRPr="003B0684">
              <w:rPr>
                <w:sz w:val="20"/>
                <w:szCs w:val="20"/>
              </w:rPr>
              <w:t xml:space="preserve">refund liability was overstated </w:t>
            </w:r>
          </w:p>
          <w:p w14:paraId="5457EF99" w14:textId="77777777" w:rsidR="00692FC7" w:rsidRPr="003B0684" w:rsidRDefault="00692FC7" w:rsidP="0084661A">
            <w:pPr>
              <w:pStyle w:val="Default"/>
              <w:rPr>
                <w:sz w:val="20"/>
                <w:szCs w:val="20"/>
              </w:rPr>
            </w:pPr>
          </w:p>
          <w:p w14:paraId="5D669AC2" w14:textId="1A00ACD5" w:rsidR="0084661A" w:rsidRDefault="0029684D" w:rsidP="00115864">
            <w:pPr>
              <w:pStyle w:val="ListParagraph"/>
              <w:numPr>
                <w:ilvl w:val="0"/>
                <w:numId w:val="23"/>
              </w:numPr>
              <w:tabs>
                <w:tab w:val="left" w:pos="1620"/>
              </w:tabs>
              <w:autoSpaceDE w:val="0"/>
              <w:autoSpaceDN w:val="0"/>
              <w:adjustRightInd w:val="0"/>
              <w:ind w:left="240" w:hanging="240"/>
              <w:jc w:val="both"/>
              <w:rPr>
                <w:rFonts w:ascii="Arial" w:eastAsia="Calibri" w:hAnsi="Arial" w:cs="Arial"/>
                <w:i/>
                <w:iCs/>
                <w:color w:val="000000"/>
                <w:kern w:val="20"/>
                <w:sz w:val="20"/>
                <w:szCs w:val="20"/>
              </w:rPr>
            </w:pPr>
            <w:r w:rsidRPr="00F3789E">
              <w:rPr>
                <w:rFonts w:ascii="Arial" w:eastAsia="Calibri" w:hAnsi="Arial" w:cs="Arial"/>
                <w:i/>
                <w:iCs/>
                <w:color w:val="000000"/>
                <w:kern w:val="20"/>
                <w:sz w:val="20"/>
                <w:szCs w:val="20"/>
              </w:rPr>
              <w:t xml:space="preserve">Viceroy </w:t>
            </w:r>
            <w:r w:rsidR="00F3789E" w:rsidRPr="00F3789E">
              <w:rPr>
                <w:rFonts w:ascii="Arial" w:eastAsia="Calibri" w:hAnsi="Arial" w:cs="Arial"/>
                <w:i/>
                <w:iCs/>
                <w:color w:val="000000"/>
                <w:kern w:val="20"/>
                <w:sz w:val="20"/>
                <w:szCs w:val="20"/>
              </w:rPr>
              <w:t xml:space="preserve">had </w:t>
            </w:r>
            <w:r w:rsidRPr="00F3789E">
              <w:rPr>
                <w:rFonts w:ascii="Arial" w:eastAsia="Calibri" w:hAnsi="Arial" w:cs="Arial"/>
                <w:i/>
                <w:iCs/>
                <w:color w:val="000000"/>
                <w:kern w:val="20"/>
                <w:sz w:val="20"/>
                <w:szCs w:val="20"/>
              </w:rPr>
              <w:t>f</w:t>
            </w:r>
            <w:r w:rsidR="00692FC7" w:rsidRPr="00F3789E">
              <w:rPr>
                <w:rFonts w:ascii="Arial" w:eastAsia="Calibri" w:hAnsi="Arial" w:cs="Arial"/>
                <w:i/>
                <w:iCs/>
                <w:color w:val="000000"/>
                <w:kern w:val="20"/>
                <w:sz w:val="20"/>
                <w:szCs w:val="20"/>
              </w:rPr>
              <w:t>ailed to take extinctive prescription</w:t>
            </w:r>
            <w:r w:rsidR="00F3789E" w:rsidRPr="00F3789E">
              <w:rPr>
                <w:rFonts w:ascii="Arial" w:eastAsia="Calibri" w:hAnsi="Arial" w:cs="Arial"/>
                <w:i/>
                <w:iCs/>
                <w:color w:val="000000"/>
                <w:kern w:val="20"/>
                <w:sz w:val="20"/>
                <w:szCs w:val="20"/>
              </w:rPr>
              <w:t xml:space="preserve"> into account</w:t>
            </w:r>
            <w:r w:rsidR="00692FC7" w:rsidRPr="00F3789E">
              <w:rPr>
                <w:rFonts w:ascii="Arial" w:eastAsia="Calibri" w:hAnsi="Arial" w:cs="Arial"/>
                <w:i/>
                <w:iCs/>
                <w:color w:val="000000"/>
                <w:kern w:val="20"/>
                <w:sz w:val="20"/>
                <w:szCs w:val="20"/>
              </w:rPr>
              <w:t xml:space="preserve">. </w:t>
            </w:r>
          </w:p>
          <w:p w14:paraId="26F32067" w14:textId="77777777" w:rsidR="00115864" w:rsidRPr="00115864" w:rsidRDefault="00115864" w:rsidP="00115864">
            <w:pPr>
              <w:pStyle w:val="ListParagraph"/>
              <w:tabs>
                <w:tab w:val="left" w:pos="1620"/>
              </w:tabs>
              <w:autoSpaceDE w:val="0"/>
              <w:autoSpaceDN w:val="0"/>
              <w:adjustRightInd w:val="0"/>
              <w:ind w:left="240"/>
              <w:jc w:val="both"/>
              <w:rPr>
                <w:rFonts w:ascii="Arial" w:eastAsia="Calibri" w:hAnsi="Arial" w:cs="Arial"/>
                <w:i/>
                <w:iCs/>
                <w:color w:val="000000"/>
                <w:kern w:val="20"/>
                <w:sz w:val="20"/>
                <w:szCs w:val="20"/>
              </w:rPr>
            </w:pPr>
          </w:p>
          <w:p w14:paraId="7FF468B4" w14:textId="5FBBB1B8" w:rsidR="00692FC7" w:rsidRPr="00F3789E" w:rsidRDefault="0029684D" w:rsidP="00F3789E">
            <w:pPr>
              <w:pStyle w:val="ListParagraph"/>
              <w:numPr>
                <w:ilvl w:val="0"/>
                <w:numId w:val="23"/>
              </w:numPr>
              <w:tabs>
                <w:tab w:val="left" w:pos="1620"/>
              </w:tabs>
              <w:autoSpaceDE w:val="0"/>
              <w:autoSpaceDN w:val="0"/>
              <w:adjustRightInd w:val="0"/>
              <w:ind w:left="240" w:hanging="240"/>
              <w:jc w:val="both"/>
              <w:rPr>
                <w:rFonts w:ascii="Arial" w:eastAsia="Calibri" w:hAnsi="Arial" w:cs="Arial"/>
                <w:i/>
                <w:iCs/>
                <w:color w:val="000000"/>
                <w:kern w:val="20"/>
                <w:sz w:val="20"/>
                <w:szCs w:val="20"/>
              </w:rPr>
            </w:pPr>
            <w:r w:rsidRPr="00F3789E">
              <w:rPr>
                <w:rFonts w:ascii="Arial" w:eastAsia="Calibri" w:hAnsi="Arial" w:cs="Arial"/>
                <w:i/>
                <w:iCs/>
                <w:color w:val="000000"/>
                <w:kern w:val="20"/>
                <w:sz w:val="20"/>
                <w:szCs w:val="20"/>
              </w:rPr>
              <w:t xml:space="preserve">Viceroy </w:t>
            </w:r>
            <w:r w:rsidR="002638B9">
              <w:rPr>
                <w:rFonts w:ascii="Arial" w:eastAsia="Calibri" w:hAnsi="Arial" w:cs="Arial"/>
                <w:i/>
                <w:iCs/>
                <w:color w:val="000000"/>
                <w:kern w:val="20"/>
                <w:sz w:val="20"/>
                <w:szCs w:val="20"/>
              </w:rPr>
              <w:t xml:space="preserve">incorrectly </w:t>
            </w:r>
            <w:r w:rsidRPr="00F3789E">
              <w:rPr>
                <w:rFonts w:ascii="Arial" w:eastAsia="Calibri" w:hAnsi="Arial" w:cs="Arial"/>
                <w:i/>
                <w:iCs/>
                <w:color w:val="000000"/>
                <w:kern w:val="20"/>
                <w:sz w:val="20"/>
                <w:szCs w:val="20"/>
              </w:rPr>
              <w:t>i</w:t>
            </w:r>
            <w:r w:rsidR="00692FC7" w:rsidRPr="00F3789E">
              <w:rPr>
                <w:rFonts w:ascii="Arial" w:eastAsia="Calibri" w:hAnsi="Arial" w:cs="Arial"/>
                <w:i/>
                <w:iCs/>
                <w:color w:val="000000"/>
                <w:kern w:val="20"/>
                <w:sz w:val="20"/>
                <w:szCs w:val="20"/>
              </w:rPr>
              <w:t xml:space="preserve">ncluded the initiation fees </w:t>
            </w:r>
            <w:r w:rsidR="0084661A" w:rsidRPr="00F3789E">
              <w:rPr>
                <w:rFonts w:ascii="Arial" w:eastAsia="Calibri" w:hAnsi="Arial" w:cs="Arial"/>
                <w:i/>
                <w:iCs/>
                <w:color w:val="000000"/>
                <w:kern w:val="20"/>
                <w:sz w:val="20"/>
                <w:szCs w:val="20"/>
              </w:rPr>
              <w:t xml:space="preserve">charged </w:t>
            </w:r>
            <w:r w:rsidR="00692FC7" w:rsidRPr="00F3789E">
              <w:rPr>
                <w:rFonts w:ascii="Arial" w:eastAsia="Calibri" w:hAnsi="Arial" w:cs="Arial"/>
                <w:i/>
                <w:iCs/>
                <w:color w:val="000000"/>
                <w:kern w:val="20"/>
                <w:sz w:val="20"/>
                <w:szCs w:val="20"/>
              </w:rPr>
              <w:t xml:space="preserve">on all products sold since 2007 in the calculation. </w:t>
            </w:r>
          </w:p>
          <w:p w14:paraId="5FD99240" w14:textId="16823EA5" w:rsidR="00692FC7" w:rsidRPr="00F3789E" w:rsidRDefault="0029684D" w:rsidP="00F3789E">
            <w:pPr>
              <w:pStyle w:val="ListParagraph"/>
              <w:numPr>
                <w:ilvl w:val="0"/>
                <w:numId w:val="23"/>
              </w:numPr>
              <w:tabs>
                <w:tab w:val="left" w:pos="1620"/>
              </w:tabs>
              <w:autoSpaceDE w:val="0"/>
              <w:autoSpaceDN w:val="0"/>
              <w:adjustRightInd w:val="0"/>
              <w:ind w:left="240" w:hanging="240"/>
              <w:jc w:val="both"/>
              <w:rPr>
                <w:rFonts w:ascii="Arial" w:eastAsia="Calibri" w:hAnsi="Arial" w:cs="Arial"/>
                <w:i/>
                <w:iCs/>
                <w:color w:val="000000"/>
                <w:kern w:val="20"/>
                <w:sz w:val="20"/>
                <w:szCs w:val="20"/>
              </w:rPr>
            </w:pPr>
            <w:r w:rsidRPr="00F3789E">
              <w:rPr>
                <w:rFonts w:ascii="Arial" w:eastAsia="Calibri" w:hAnsi="Arial" w:cs="Arial"/>
                <w:i/>
                <w:iCs/>
                <w:color w:val="000000"/>
                <w:kern w:val="20"/>
                <w:sz w:val="20"/>
                <w:szCs w:val="20"/>
              </w:rPr>
              <w:t>Viceroy u</w:t>
            </w:r>
            <w:r w:rsidR="00692FC7" w:rsidRPr="00F3789E">
              <w:rPr>
                <w:rFonts w:ascii="Arial" w:eastAsia="Calibri" w:hAnsi="Arial" w:cs="Arial"/>
                <w:i/>
                <w:iCs/>
                <w:color w:val="000000"/>
                <w:kern w:val="20"/>
                <w:sz w:val="20"/>
                <w:szCs w:val="20"/>
              </w:rPr>
              <w:t>sed incorrect ratios from which it the</w:t>
            </w:r>
            <w:r w:rsidR="0084661A" w:rsidRPr="00F3789E">
              <w:rPr>
                <w:rFonts w:ascii="Arial" w:eastAsia="Calibri" w:hAnsi="Arial" w:cs="Arial"/>
                <w:i/>
                <w:iCs/>
                <w:color w:val="000000"/>
                <w:kern w:val="20"/>
                <w:sz w:val="20"/>
                <w:szCs w:val="20"/>
              </w:rPr>
              <w:t>n</w:t>
            </w:r>
            <w:r w:rsidR="00692FC7" w:rsidRPr="00F3789E">
              <w:rPr>
                <w:rFonts w:ascii="Arial" w:eastAsia="Calibri" w:hAnsi="Arial" w:cs="Arial"/>
                <w:i/>
                <w:iCs/>
                <w:color w:val="000000"/>
                <w:kern w:val="20"/>
                <w:sz w:val="20"/>
                <w:szCs w:val="20"/>
              </w:rPr>
              <w:t xml:space="preserve"> extrapolated other numbers</w:t>
            </w:r>
            <w:r w:rsidR="00F3789E" w:rsidRPr="00F3789E">
              <w:rPr>
                <w:rFonts w:ascii="Arial" w:eastAsia="Calibri" w:hAnsi="Arial" w:cs="Arial"/>
                <w:i/>
                <w:iCs/>
                <w:color w:val="000000"/>
                <w:kern w:val="20"/>
                <w:sz w:val="20"/>
                <w:szCs w:val="20"/>
              </w:rPr>
              <w:t>.</w:t>
            </w:r>
          </w:p>
          <w:p w14:paraId="2515115B" w14:textId="77777777" w:rsidR="00692FC7" w:rsidRPr="003B0684" w:rsidRDefault="00692FC7" w:rsidP="00115864">
            <w:pPr>
              <w:pStyle w:val="Default"/>
              <w:rPr>
                <w:rFonts w:eastAsia="Calibri"/>
                <w:sz w:val="20"/>
                <w:szCs w:val="20"/>
              </w:rPr>
            </w:pPr>
          </w:p>
        </w:tc>
      </w:tr>
      <w:tr w:rsidR="00692FC7" w:rsidRPr="003D6ADB" w14:paraId="355169C6" w14:textId="77777777" w:rsidTr="000C5CCF">
        <w:tc>
          <w:tcPr>
            <w:tcW w:w="339" w:type="dxa"/>
            <w:shd w:val="clear" w:color="auto" w:fill="auto"/>
          </w:tcPr>
          <w:p w14:paraId="39A18D02" w14:textId="402AE584" w:rsidR="00692FC7" w:rsidRPr="003D6ADB" w:rsidRDefault="00692FC7" w:rsidP="003E7E15">
            <w:pPr>
              <w:contextualSpacing/>
              <w:rPr>
                <w:rFonts w:ascii="Arial" w:eastAsia="Calibri" w:hAnsi="Arial" w:cs="Arial"/>
              </w:rPr>
            </w:pPr>
            <w:r w:rsidRPr="003D6ADB">
              <w:rPr>
                <w:rFonts w:ascii="Arial" w:eastAsia="Calibri" w:hAnsi="Arial" w:cs="Arial"/>
              </w:rPr>
              <w:t>6</w:t>
            </w:r>
            <w:r w:rsidR="00D87DB9">
              <w:rPr>
                <w:rFonts w:ascii="Arial" w:eastAsia="Calibri" w:hAnsi="Arial" w:cs="Arial"/>
              </w:rPr>
              <w:t>.</w:t>
            </w:r>
          </w:p>
        </w:tc>
        <w:tc>
          <w:tcPr>
            <w:tcW w:w="8211" w:type="dxa"/>
            <w:shd w:val="clear" w:color="auto" w:fill="auto"/>
          </w:tcPr>
          <w:p w14:paraId="05AB4E7C" w14:textId="77777777" w:rsidR="00692FC7" w:rsidRPr="008556A1" w:rsidRDefault="00692FC7" w:rsidP="003E7E15">
            <w:pPr>
              <w:contextualSpacing/>
              <w:jc w:val="both"/>
              <w:rPr>
                <w:rFonts w:ascii="Arial" w:eastAsia="Calibri" w:hAnsi="Arial" w:cs="Arial"/>
                <w:b/>
                <w:bCs/>
              </w:rPr>
            </w:pPr>
            <w:r w:rsidRPr="00907EC5">
              <w:rPr>
                <w:rFonts w:ascii="Arial" w:eastAsia="Calibri" w:hAnsi="Arial" w:cs="Arial"/>
                <w:b/>
                <w:bCs/>
              </w:rPr>
              <w:t>S</w:t>
            </w:r>
            <w:r w:rsidRPr="00907EC5">
              <w:rPr>
                <w:rFonts w:ascii="Arial" w:eastAsia="Calibri" w:hAnsi="Arial" w:cs="Arial"/>
                <w:b/>
                <w:bCs/>
                <w:color w:val="000000"/>
              </w:rPr>
              <w:t>tatement, promise or forecast</w:t>
            </w:r>
            <w:r>
              <w:rPr>
                <w:rFonts w:ascii="Arial" w:eastAsia="Calibri" w:hAnsi="Arial" w:cs="Arial"/>
                <w:b/>
                <w:bCs/>
                <w:color w:val="000000"/>
              </w:rPr>
              <w:t xml:space="preserve"> that “</w:t>
            </w:r>
            <w:r w:rsidRPr="00F04A48">
              <w:rPr>
                <w:rFonts w:ascii="Arial" w:eastAsia="Calibri" w:hAnsi="Arial" w:cs="Arial"/>
                <w:b/>
                <w:bCs/>
                <w:i/>
                <w:iCs/>
              </w:rPr>
              <w:t>Capitec’s board is largely and unsurprisingly made up of several executives from both PSG and Steinhoff</w:t>
            </w:r>
            <w:r w:rsidRPr="008556A1">
              <w:rPr>
                <w:rFonts w:ascii="Arial" w:eastAsia="Calibri" w:hAnsi="Arial" w:cs="Arial"/>
                <w:b/>
                <w:bCs/>
              </w:rPr>
              <w:t>”.</w:t>
            </w:r>
          </w:p>
          <w:p w14:paraId="17EEACD6" w14:textId="77777777" w:rsidR="00692FC7" w:rsidRDefault="00692FC7" w:rsidP="003E7E15">
            <w:pPr>
              <w:jc w:val="both"/>
              <w:rPr>
                <w:rFonts w:ascii="Arial" w:hAnsi="Arial" w:cs="Arial"/>
                <w:sz w:val="20"/>
                <w:szCs w:val="20"/>
              </w:rPr>
            </w:pPr>
          </w:p>
          <w:p w14:paraId="46B8A9A8" w14:textId="3AC7E459" w:rsidR="00692FC7" w:rsidRPr="003D6ADB" w:rsidRDefault="00692FC7" w:rsidP="00ED64FA">
            <w:pPr>
              <w:pStyle w:val="Default"/>
              <w:rPr>
                <w:rFonts w:eastAsia="Calibri"/>
                <w:sz w:val="20"/>
                <w:szCs w:val="20"/>
              </w:rPr>
            </w:pPr>
            <w:r w:rsidRPr="003B0684">
              <w:rPr>
                <w:sz w:val="20"/>
                <w:szCs w:val="20"/>
              </w:rPr>
              <w:t>Contrary to its own research documents, and the true facts, Viceroy stated that “</w:t>
            </w:r>
            <w:r w:rsidRPr="003B0684">
              <w:rPr>
                <w:i/>
                <w:iCs/>
                <w:sz w:val="20"/>
                <w:szCs w:val="20"/>
              </w:rPr>
              <w:t>Capitec’s board is largely and unsurprisingly made up of several executives from both PSG and Steinhoff</w:t>
            </w:r>
            <w:r w:rsidRPr="003B0684">
              <w:rPr>
                <w:sz w:val="20"/>
                <w:szCs w:val="20"/>
              </w:rPr>
              <w:t xml:space="preserve">”. </w:t>
            </w:r>
          </w:p>
        </w:tc>
      </w:tr>
      <w:tr w:rsidR="00692FC7" w:rsidRPr="003D6ADB" w14:paraId="50219A1D" w14:textId="77777777" w:rsidTr="000C5CCF">
        <w:tc>
          <w:tcPr>
            <w:tcW w:w="339" w:type="dxa"/>
            <w:shd w:val="clear" w:color="auto" w:fill="auto"/>
          </w:tcPr>
          <w:p w14:paraId="0F539F4F" w14:textId="48B3E0F4" w:rsidR="00692FC7" w:rsidRPr="003D6ADB" w:rsidRDefault="00692FC7" w:rsidP="000C5CCF">
            <w:pPr>
              <w:contextualSpacing/>
              <w:jc w:val="both"/>
              <w:rPr>
                <w:rFonts w:ascii="Arial" w:eastAsia="Calibri" w:hAnsi="Arial" w:cs="Arial"/>
              </w:rPr>
            </w:pPr>
            <w:r w:rsidRPr="003D6ADB">
              <w:rPr>
                <w:rFonts w:ascii="Arial" w:eastAsia="Calibri" w:hAnsi="Arial" w:cs="Arial"/>
              </w:rPr>
              <w:lastRenderedPageBreak/>
              <w:t>7</w:t>
            </w:r>
            <w:r w:rsidR="00D87DB9">
              <w:rPr>
                <w:rFonts w:ascii="Arial" w:eastAsia="Calibri" w:hAnsi="Arial" w:cs="Arial"/>
              </w:rPr>
              <w:t>.</w:t>
            </w:r>
          </w:p>
        </w:tc>
        <w:tc>
          <w:tcPr>
            <w:tcW w:w="8211" w:type="dxa"/>
            <w:shd w:val="clear" w:color="auto" w:fill="auto"/>
          </w:tcPr>
          <w:p w14:paraId="16134D07" w14:textId="77777777" w:rsidR="00692FC7" w:rsidRPr="008556A1" w:rsidRDefault="00692FC7" w:rsidP="000C5CCF">
            <w:pPr>
              <w:contextualSpacing/>
              <w:jc w:val="both"/>
              <w:rPr>
                <w:rFonts w:ascii="Arial" w:eastAsia="Calibri" w:hAnsi="Arial" w:cs="Arial"/>
                <w:b/>
                <w:bCs/>
              </w:rPr>
            </w:pPr>
            <w:r w:rsidRPr="00907EC5">
              <w:rPr>
                <w:rFonts w:ascii="Arial" w:eastAsia="Calibri" w:hAnsi="Arial" w:cs="Arial"/>
                <w:b/>
                <w:bCs/>
              </w:rPr>
              <w:t>S</w:t>
            </w:r>
            <w:r w:rsidRPr="00907EC5">
              <w:rPr>
                <w:rFonts w:ascii="Arial" w:eastAsia="Calibri" w:hAnsi="Arial" w:cs="Arial"/>
                <w:b/>
                <w:bCs/>
                <w:color w:val="000000"/>
              </w:rPr>
              <w:t>tatement, promise or forecast</w:t>
            </w:r>
            <w:r>
              <w:rPr>
                <w:rFonts w:ascii="Arial" w:eastAsia="Calibri" w:hAnsi="Arial" w:cs="Arial"/>
                <w:b/>
                <w:bCs/>
                <w:color w:val="000000"/>
              </w:rPr>
              <w:t xml:space="preserve"> </w:t>
            </w:r>
            <w:r w:rsidRPr="008556A1">
              <w:rPr>
                <w:rFonts w:ascii="Arial" w:eastAsia="Calibri" w:hAnsi="Arial" w:cs="Arial"/>
                <w:b/>
                <w:bCs/>
                <w:color w:val="000000"/>
              </w:rPr>
              <w:t xml:space="preserve">that </w:t>
            </w:r>
            <w:r w:rsidRPr="008556A1">
              <w:rPr>
                <w:rFonts w:ascii="Arial" w:eastAsia="Calibri" w:hAnsi="Arial" w:cs="Arial"/>
                <w:b/>
                <w:bCs/>
              </w:rPr>
              <w:t xml:space="preserve">Capitec </w:t>
            </w:r>
            <w:r>
              <w:rPr>
                <w:rFonts w:ascii="Arial" w:eastAsia="Calibri" w:hAnsi="Arial" w:cs="Arial"/>
                <w:b/>
                <w:bCs/>
              </w:rPr>
              <w:t>needed to</w:t>
            </w:r>
            <w:r w:rsidRPr="008556A1">
              <w:rPr>
                <w:rFonts w:ascii="Arial" w:eastAsia="Calibri" w:hAnsi="Arial" w:cs="Arial"/>
                <w:b/>
                <w:bCs/>
              </w:rPr>
              <w:t xml:space="preserve"> recognise an additional R11.37bn of impairments to accurately reflect its liabilities.</w:t>
            </w:r>
          </w:p>
          <w:p w14:paraId="7D7EC946" w14:textId="77777777" w:rsidR="00692FC7" w:rsidRPr="003D6ADB" w:rsidRDefault="00692FC7" w:rsidP="000C5CCF">
            <w:pPr>
              <w:contextualSpacing/>
              <w:jc w:val="both"/>
              <w:rPr>
                <w:rFonts w:ascii="Arial" w:eastAsia="Calibri" w:hAnsi="Arial" w:cs="Arial"/>
                <w:iCs/>
                <w:sz w:val="20"/>
                <w:szCs w:val="20"/>
              </w:rPr>
            </w:pPr>
          </w:p>
          <w:p w14:paraId="03FC8A6E" w14:textId="77777777" w:rsidR="00692FC7" w:rsidRPr="003B0684" w:rsidRDefault="00692FC7" w:rsidP="003E7E15">
            <w:pPr>
              <w:pStyle w:val="Default"/>
              <w:rPr>
                <w:rFonts w:eastAsia="Calibri"/>
                <w:iCs/>
                <w:sz w:val="20"/>
                <w:szCs w:val="20"/>
              </w:rPr>
            </w:pPr>
            <w:r w:rsidRPr="003B0684">
              <w:rPr>
                <w:sz w:val="20"/>
                <w:szCs w:val="20"/>
              </w:rPr>
              <w:t>Under the heading “</w:t>
            </w:r>
            <w:r w:rsidRPr="003B0684">
              <w:rPr>
                <w:i/>
                <w:iCs/>
                <w:sz w:val="20"/>
                <w:szCs w:val="20"/>
              </w:rPr>
              <w:t>Capitec’s impossibly low arrears</w:t>
            </w:r>
            <w:r w:rsidRPr="003B0684">
              <w:rPr>
                <w:sz w:val="20"/>
                <w:szCs w:val="20"/>
              </w:rPr>
              <w:t xml:space="preserve">” Viceroy stated that Capitec required a further “impairment” of R5.93 billion and further write-off of R5.44 billion. (In total R11.37 billion) </w:t>
            </w:r>
          </w:p>
          <w:p w14:paraId="0A574527" w14:textId="77777777" w:rsidR="00692FC7" w:rsidRPr="003B0684" w:rsidRDefault="00692FC7" w:rsidP="003E7E15">
            <w:pPr>
              <w:pStyle w:val="Default"/>
              <w:rPr>
                <w:sz w:val="20"/>
                <w:szCs w:val="20"/>
              </w:rPr>
            </w:pPr>
          </w:p>
          <w:p w14:paraId="51049C91" w14:textId="328D3970" w:rsidR="00692FC7" w:rsidRPr="003B0684" w:rsidRDefault="00692FC7" w:rsidP="003E7E15">
            <w:pPr>
              <w:pStyle w:val="Default"/>
              <w:rPr>
                <w:sz w:val="20"/>
                <w:szCs w:val="20"/>
              </w:rPr>
            </w:pPr>
            <w:r w:rsidRPr="003B0684">
              <w:rPr>
                <w:sz w:val="20"/>
                <w:szCs w:val="20"/>
              </w:rPr>
              <w:t xml:space="preserve">The alleged existence of a R11.37 billion write-off and provision liability formed a key component of Viceroy’s narrative that Capitec was a net liability bank, and it </w:t>
            </w:r>
            <w:r w:rsidR="003E7E15">
              <w:rPr>
                <w:sz w:val="20"/>
                <w:szCs w:val="20"/>
              </w:rPr>
              <w:t>was a</w:t>
            </w:r>
            <w:r w:rsidRPr="003B0684">
              <w:rPr>
                <w:sz w:val="20"/>
                <w:szCs w:val="20"/>
              </w:rPr>
              <w:t xml:space="preserve"> material statement to make about Capitec from a quantitative a</w:t>
            </w:r>
            <w:r w:rsidR="003E7E15">
              <w:rPr>
                <w:sz w:val="20"/>
                <w:szCs w:val="20"/>
              </w:rPr>
              <w:t>s well as</w:t>
            </w:r>
            <w:r w:rsidRPr="003B0684">
              <w:rPr>
                <w:sz w:val="20"/>
                <w:szCs w:val="20"/>
              </w:rPr>
              <w:t xml:space="preserve"> a qualitative perspective. </w:t>
            </w:r>
          </w:p>
          <w:p w14:paraId="38F757BE" w14:textId="77777777" w:rsidR="00692FC7" w:rsidRPr="003B0684" w:rsidRDefault="00692FC7" w:rsidP="003E7E15">
            <w:pPr>
              <w:pStyle w:val="Default"/>
              <w:rPr>
                <w:sz w:val="20"/>
                <w:szCs w:val="20"/>
              </w:rPr>
            </w:pPr>
          </w:p>
          <w:p w14:paraId="4D0EE986" w14:textId="77777777" w:rsidR="00692FC7" w:rsidRPr="003D6ADB" w:rsidRDefault="00692FC7" w:rsidP="00115864">
            <w:pPr>
              <w:pStyle w:val="Default"/>
              <w:rPr>
                <w:rFonts w:eastAsia="Calibri"/>
              </w:rPr>
            </w:pPr>
          </w:p>
        </w:tc>
      </w:tr>
    </w:tbl>
    <w:p w14:paraId="449A45BA" w14:textId="77777777" w:rsidR="00692FC7" w:rsidRDefault="00692FC7"/>
    <w:sectPr w:rsidR="00692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BB32ED9"/>
    <w:multiLevelType w:val="hybridMultilevel"/>
    <w:tmpl w:val="76449A55"/>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EAA7F18"/>
    <w:multiLevelType w:val="hybridMultilevel"/>
    <w:tmpl w:val="A978BE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25E8DDF"/>
    <w:multiLevelType w:val="hybridMultilevel"/>
    <w:tmpl w:val="CE746F7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6258BA2"/>
    <w:multiLevelType w:val="hybridMultilevel"/>
    <w:tmpl w:val="2AC5487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F247F84"/>
    <w:multiLevelType w:val="hybridMultilevel"/>
    <w:tmpl w:val="3306582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421982A"/>
    <w:multiLevelType w:val="hybridMultilevel"/>
    <w:tmpl w:val="40C361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7F867F6"/>
    <w:multiLevelType w:val="hybridMultilevel"/>
    <w:tmpl w:val="87D0ACE4"/>
    <w:lvl w:ilvl="0" w:tplc="A9B8A5D6">
      <w:start w:val="1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9F04E6"/>
    <w:multiLevelType w:val="hybridMultilevel"/>
    <w:tmpl w:val="31E20814"/>
    <w:lvl w:ilvl="0" w:tplc="D5E06A9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8F0422"/>
    <w:multiLevelType w:val="hybridMultilevel"/>
    <w:tmpl w:val="94C85352"/>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140A8A95"/>
    <w:multiLevelType w:val="hybridMultilevel"/>
    <w:tmpl w:val="8C54F6E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DF69798"/>
    <w:multiLevelType w:val="hybridMultilevel"/>
    <w:tmpl w:val="4A4C9A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2BEBD35"/>
    <w:multiLevelType w:val="hybridMultilevel"/>
    <w:tmpl w:val="6DB2A1B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65138EC"/>
    <w:multiLevelType w:val="hybridMultilevel"/>
    <w:tmpl w:val="53D8F048"/>
    <w:lvl w:ilvl="0" w:tplc="1AC68F14">
      <w:numFmt w:val="bullet"/>
      <w:lvlText w:val="-"/>
      <w:lvlJc w:val="left"/>
      <w:pPr>
        <w:ind w:left="720" w:hanging="360"/>
      </w:pPr>
      <w:rPr>
        <w:rFonts w:ascii="Arial" w:eastAsiaTheme="minorHAnsi"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EC6DC4"/>
    <w:multiLevelType w:val="hybridMultilevel"/>
    <w:tmpl w:val="AA0AE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CC22E4"/>
    <w:multiLevelType w:val="hybridMultilevel"/>
    <w:tmpl w:val="D2C855F2"/>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71A2227"/>
    <w:multiLevelType w:val="hybridMultilevel"/>
    <w:tmpl w:val="ED768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D54423"/>
    <w:multiLevelType w:val="hybridMultilevel"/>
    <w:tmpl w:val="9106F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7B8C9A"/>
    <w:multiLevelType w:val="hybridMultilevel"/>
    <w:tmpl w:val="26BAB8F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69B71E2"/>
    <w:multiLevelType w:val="hybridMultilevel"/>
    <w:tmpl w:val="F1CCCA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661D82"/>
    <w:multiLevelType w:val="hybridMultilevel"/>
    <w:tmpl w:val="6D98514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7BF5507"/>
    <w:multiLevelType w:val="hybridMultilevel"/>
    <w:tmpl w:val="BFBAF4BC"/>
    <w:lvl w:ilvl="0" w:tplc="04090001">
      <w:start w:val="1"/>
      <w:numFmt w:val="bullet"/>
      <w:lvlText w:val=""/>
      <w:lvlJc w:val="left"/>
      <w:pPr>
        <w:ind w:left="2047" w:hanging="360"/>
      </w:pPr>
      <w:rPr>
        <w:rFonts w:ascii="Symbol" w:hAnsi="Symbol" w:hint="default"/>
      </w:rPr>
    </w:lvl>
    <w:lvl w:ilvl="1" w:tplc="04090003" w:tentative="1">
      <w:start w:val="1"/>
      <w:numFmt w:val="bullet"/>
      <w:lvlText w:val="o"/>
      <w:lvlJc w:val="left"/>
      <w:pPr>
        <w:ind w:left="2767" w:hanging="360"/>
      </w:pPr>
      <w:rPr>
        <w:rFonts w:ascii="Courier New" w:hAnsi="Courier New" w:cs="Courier New" w:hint="default"/>
      </w:rPr>
    </w:lvl>
    <w:lvl w:ilvl="2" w:tplc="04090005">
      <w:start w:val="1"/>
      <w:numFmt w:val="bullet"/>
      <w:lvlText w:val=""/>
      <w:lvlJc w:val="left"/>
      <w:pPr>
        <w:ind w:left="3487" w:hanging="360"/>
      </w:pPr>
      <w:rPr>
        <w:rFonts w:ascii="Wingdings" w:hAnsi="Wingdings" w:hint="default"/>
      </w:rPr>
    </w:lvl>
    <w:lvl w:ilvl="3" w:tplc="04090001" w:tentative="1">
      <w:start w:val="1"/>
      <w:numFmt w:val="bullet"/>
      <w:lvlText w:val=""/>
      <w:lvlJc w:val="left"/>
      <w:pPr>
        <w:ind w:left="4207" w:hanging="360"/>
      </w:pPr>
      <w:rPr>
        <w:rFonts w:ascii="Symbol" w:hAnsi="Symbol" w:hint="default"/>
      </w:rPr>
    </w:lvl>
    <w:lvl w:ilvl="4" w:tplc="04090003" w:tentative="1">
      <w:start w:val="1"/>
      <w:numFmt w:val="bullet"/>
      <w:lvlText w:val="o"/>
      <w:lvlJc w:val="left"/>
      <w:pPr>
        <w:ind w:left="4927" w:hanging="360"/>
      </w:pPr>
      <w:rPr>
        <w:rFonts w:ascii="Courier New" w:hAnsi="Courier New" w:cs="Courier New" w:hint="default"/>
      </w:rPr>
    </w:lvl>
    <w:lvl w:ilvl="5" w:tplc="04090005" w:tentative="1">
      <w:start w:val="1"/>
      <w:numFmt w:val="bullet"/>
      <w:lvlText w:val=""/>
      <w:lvlJc w:val="left"/>
      <w:pPr>
        <w:ind w:left="5647" w:hanging="360"/>
      </w:pPr>
      <w:rPr>
        <w:rFonts w:ascii="Wingdings" w:hAnsi="Wingdings" w:hint="default"/>
      </w:rPr>
    </w:lvl>
    <w:lvl w:ilvl="6" w:tplc="04090001" w:tentative="1">
      <w:start w:val="1"/>
      <w:numFmt w:val="bullet"/>
      <w:lvlText w:val=""/>
      <w:lvlJc w:val="left"/>
      <w:pPr>
        <w:ind w:left="6367" w:hanging="360"/>
      </w:pPr>
      <w:rPr>
        <w:rFonts w:ascii="Symbol" w:hAnsi="Symbol" w:hint="default"/>
      </w:rPr>
    </w:lvl>
    <w:lvl w:ilvl="7" w:tplc="04090003" w:tentative="1">
      <w:start w:val="1"/>
      <w:numFmt w:val="bullet"/>
      <w:lvlText w:val="o"/>
      <w:lvlJc w:val="left"/>
      <w:pPr>
        <w:ind w:left="7087" w:hanging="360"/>
      </w:pPr>
      <w:rPr>
        <w:rFonts w:ascii="Courier New" w:hAnsi="Courier New" w:cs="Courier New" w:hint="default"/>
      </w:rPr>
    </w:lvl>
    <w:lvl w:ilvl="8" w:tplc="04090005" w:tentative="1">
      <w:start w:val="1"/>
      <w:numFmt w:val="bullet"/>
      <w:lvlText w:val=""/>
      <w:lvlJc w:val="left"/>
      <w:pPr>
        <w:ind w:left="7807" w:hanging="360"/>
      </w:pPr>
      <w:rPr>
        <w:rFonts w:ascii="Wingdings" w:hAnsi="Wingdings" w:hint="default"/>
      </w:rPr>
    </w:lvl>
  </w:abstractNum>
  <w:abstractNum w:abstractNumId="21" w15:restartNumberingAfterBreak="0">
    <w:nsid w:val="73B66675"/>
    <w:multiLevelType w:val="hybridMultilevel"/>
    <w:tmpl w:val="60F4FF70"/>
    <w:lvl w:ilvl="0" w:tplc="A9B8A5D6">
      <w:start w:val="1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FD5A77"/>
    <w:multiLevelType w:val="hybridMultilevel"/>
    <w:tmpl w:val="F9BE5896"/>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20"/>
  </w:num>
  <w:num w:numId="2">
    <w:abstractNumId w:val="6"/>
  </w:num>
  <w:num w:numId="3">
    <w:abstractNumId w:val="7"/>
  </w:num>
  <w:num w:numId="4">
    <w:abstractNumId w:val="8"/>
  </w:num>
  <w:num w:numId="5">
    <w:abstractNumId w:val="16"/>
  </w:num>
  <w:num w:numId="6">
    <w:abstractNumId w:val="12"/>
  </w:num>
  <w:num w:numId="7">
    <w:abstractNumId w:val="22"/>
  </w:num>
  <w:num w:numId="8">
    <w:abstractNumId w:val="13"/>
  </w:num>
  <w:num w:numId="9">
    <w:abstractNumId w:val="15"/>
  </w:num>
  <w:num w:numId="10">
    <w:abstractNumId w:val="0"/>
  </w:num>
  <w:num w:numId="11">
    <w:abstractNumId w:val="2"/>
  </w:num>
  <w:num w:numId="12">
    <w:abstractNumId w:val="14"/>
  </w:num>
  <w:num w:numId="13">
    <w:abstractNumId w:val="4"/>
  </w:num>
  <w:num w:numId="14">
    <w:abstractNumId w:val="3"/>
  </w:num>
  <w:num w:numId="15">
    <w:abstractNumId w:val="17"/>
  </w:num>
  <w:num w:numId="16">
    <w:abstractNumId w:val="11"/>
  </w:num>
  <w:num w:numId="17">
    <w:abstractNumId w:val="9"/>
  </w:num>
  <w:num w:numId="18">
    <w:abstractNumId w:val="19"/>
  </w:num>
  <w:num w:numId="19">
    <w:abstractNumId w:val="5"/>
  </w:num>
  <w:num w:numId="20">
    <w:abstractNumId w:val="10"/>
  </w:num>
  <w:num w:numId="21">
    <w:abstractNumId w:val="1"/>
  </w:num>
  <w:num w:numId="22">
    <w:abstractNumId w:val="2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2EB"/>
    <w:rsid w:val="0005749E"/>
    <w:rsid w:val="00115864"/>
    <w:rsid w:val="001808C5"/>
    <w:rsid w:val="00186FAB"/>
    <w:rsid w:val="002638B9"/>
    <w:rsid w:val="0029684D"/>
    <w:rsid w:val="002D6A32"/>
    <w:rsid w:val="003B0684"/>
    <w:rsid w:val="003E7E15"/>
    <w:rsid w:val="00434B6E"/>
    <w:rsid w:val="004766AF"/>
    <w:rsid w:val="00692FC7"/>
    <w:rsid w:val="006A7CD8"/>
    <w:rsid w:val="006D4ACA"/>
    <w:rsid w:val="00711E78"/>
    <w:rsid w:val="00743EC7"/>
    <w:rsid w:val="0084661A"/>
    <w:rsid w:val="00870592"/>
    <w:rsid w:val="008B22EB"/>
    <w:rsid w:val="008F3047"/>
    <w:rsid w:val="00907EC5"/>
    <w:rsid w:val="00935A11"/>
    <w:rsid w:val="009428DD"/>
    <w:rsid w:val="009644C0"/>
    <w:rsid w:val="00A8202E"/>
    <w:rsid w:val="00AA000C"/>
    <w:rsid w:val="00C23533"/>
    <w:rsid w:val="00D87DB9"/>
    <w:rsid w:val="00E01590"/>
    <w:rsid w:val="00ED64FA"/>
    <w:rsid w:val="00F04A48"/>
    <w:rsid w:val="00F34604"/>
    <w:rsid w:val="00F3789E"/>
    <w:rsid w:val="00F61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AF1E5"/>
  <w15:chartTrackingRefBased/>
  <w15:docId w15:val="{D27E1D28-3964-4577-9272-441DEE47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2EB"/>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8B22EB"/>
    <w:rPr>
      <w:rFonts w:ascii="Calibri" w:hAnsi="Calibri" w:cs="Calibri"/>
    </w:rPr>
  </w:style>
  <w:style w:type="paragraph" w:styleId="ListParagraph">
    <w:name w:val="List Paragraph"/>
    <w:basedOn w:val="Normal"/>
    <w:link w:val="ListParagraphChar"/>
    <w:uiPriority w:val="34"/>
    <w:qFormat/>
    <w:rsid w:val="008B22EB"/>
    <w:pPr>
      <w:spacing w:after="160" w:line="252" w:lineRule="auto"/>
      <w:ind w:left="720"/>
      <w:contextualSpacing/>
    </w:pPr>
    <w:rPr>
      <w:rFonts w:ascii="Calibri" w:eastAsiaTheme="minorHAnsi" w:hAnsi="Calibri" w:cs="Calibri"/>
      <w:sz w:val="22"/>
      <w:szCs w:val="22"/>
      <w:lang w:val="en-US"/>
    </w:rPr>
  </w:style>
  <w:style w:type="paragraph" w:customStyle="1" w:styleId="Default">
    <w:name w:val="Default"/>
    <w:rsid w:val="008B22E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428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8DD"/>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70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Erris Van Kerken</dc:creator>
  <cp:keywords/>
  <dc:description/>
  <cp:lastModifiedBy>Tembisa Marele</cp:lastModifiedBy>
  <cp:revision>3</cp:revision>
  <cp:lastPrinted>2021-09-08T05:29:00Z</cp:lastPrinted>
  <dcterms:created xsi:type="dcterms:W3CDTF">2021-09-08T08:02:00Z</dcterms:created>
  <dcterms:modified xsi:type="dcterms:W3CDTF">2021-09-08T08:03:00Z</dcterms:modified>
</cp:coreProperties>
</file>